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6,1% a menos e tem chances 19% menores de chegar a um cargo qualificado. O diploma quase iguala o salário, mas não abre a porta.”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10,5%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encolhe: 39,5%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6,1%</w:t>
      </w:r>
      <w:r>
        <w:rPr>
          <w:rFonts w:ascii="Calibri" w:hAnsi="Calibri"/>
          <w:b w:val="0"/>
          <w:i w:val="0"/>
          <w:sz w:val="22"/>
        </w:rPr>
        <w:t>. Dentro da mesma ocupação ainda persistem 5,6%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41.454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 mediado pelo bairro; gap líquido 6,1%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 do gap são retornos diferenciais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(4,3%→8,4%); retornos maiores na base (26,5% no q10)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0,814 para cargo qualificado; 0,761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há uma barreira própria no acesso à ocupação, que o diploma não desfaz. Política de educação isolada tem retorno marginal decrescente; é preciso agir simultaneamente sobre acesso (Lei 15.142/2025, que substituiu a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0,353 — 35%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1,5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(raça × gênero).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−0,1104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−10,5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−0,0669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−0,0637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−6,2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42,3%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−0,0629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−6,1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43,0%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−0,0579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47,6%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0,3018, σ² = 0,5524 → ICC = 0,353. Traduza: 35%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−0,1272 (EP 0,0013)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0,145; LR contra o M3 = 26.267. A penalidade varia entre bairros, e a covariância negativa (−0,0157)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0,30182 por ML e 0,30182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Comparar vizinhos reduz o gap em cerca de 40%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5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82,1%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 e formalidade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7.699.278 em 41.459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42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reduz a discriminação medida de 17,9% para 15,4% do gap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26,5%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22,3%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−4,9%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20,6%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16,9%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−8,4%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−0,0439, Z = −25,87, p &lt; 0,001. O erro-padrão vem de bootstrap m-out-of-n em blocos de UPA (1.243 de 41.459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17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7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entre pares (QR, condicional) e piso pegajoso na renda do país (RIF, incondicional): duas perguntas, dois padrões.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 w:val="true"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ICC UPA (A2)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0,814 (0,810–0,818)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−2,6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0,054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0,769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0,083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0,872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0,761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0,900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2,0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19% menor que a de um branco do mesmo bairro e perfil; no décimo superior da renda, 24% menor. O gradiente (0,814 → 0,769 → 0,761)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2,6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0,878 com efeito aleatório contra 0,870 só com efeitos fixos; corte de Youden 0,30 (sensibilidade 0,79, especificidade 0,79). O teste LR contra o logit pooled é 77.940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89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98,4% da estimativa fosse viés para invalidar a inferência; a correlação parcial exigida do confundidor (ITCV = 0,043)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A2) = 1,5: um confundidor não medido precisaria estar associado a ser negro e ao acesso com OR de pelo menos 1,5 (com o desfecho comum, a OR vira razão de risco pela raiz quadrada). É modesto — a escolaridade tem efeito muito maior sobre o acesso —; diga que o E-value mostra a escala do viés necessário, não que o descarta.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18 covariáveis comparadas entre brancos e negros, 9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−1,17)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2,66 (CBO: Profissionais); nenhum dos 23 preditores acima de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1,36.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  <w:tblHeader w:val="true"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0,0003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0,644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0,653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0,0084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0,640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0,0081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(6.159.418 de treino, 1.539.855 de teste): R² = 0,644 ± 0,0006.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0,618.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R$ 664 por mês (34,6% do rendimento), com correção de smearing de Duan (1,159)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14ª posição entre 28 preditores no XGBoost (|SHAP| = 0,0266). Sem a renda média do bairro entre as features, a contribuição da raça é 0,0295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6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bairro, diploma superior e jornada dominam a previsão de renda; a raça aparece na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19,9%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−97,0%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197,0%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1.429.355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56,4%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77,2%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22,8%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2.662.039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27,4%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72,6%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1.765.796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mulher negra teve o maior gap (80,7% contra o homem branco), mas suas desvantagens de raça e de gênero se acumularam sem se multiplicar: em log-pontos, o gap dela (0,592) ficou abaixo da soma das penalidades isoladas (0,629). Somar os percentuais (80,7 contra 19,9 + 56,4) daria a impressão contrária: a escala percentual é convexa, e só a de log-pontos é aditiva.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aparente vantagem da mulher negra no acesso a cargos CBO 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pelas ocupações feminizadas, mas não chega ao comando nem ao topo.</w:t>
      </w:r>
    </w:p>
    <w:p>
      <w:pPr>
        <w:pStyle w:val="Heading2"/>
      </w:pPr>
      <w:r>
        <w:rPr>
          <w:rFonts w:ascii="Calibri" w:hAnsi="Calibri"/>
          <w:color w:val="1F3864"/>
        </w:rPr>
        <w:t>4.6  O que o agregado esconde: cor, setor e idade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Pretos × pardos (mesmo perfil e bairro): salário 7,4% × 5,8%; acesso OR 0,785 × 0,820; top 10% OR 0,725 × 0,768. A distância cresce no topo (QR, 9º decil: 10,0% × 8,0%). Leitura: compatível com colorismo (discriminação graduada pela tonalidade da pele, Telles 2004); 'negro' segue como categoria da política, porque os dois grupos estão abaixo dos brancos em todas as medidas.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Setor: a porta é igualmente desigual (acesso OR 0,783 no privado × 0,786 no público); o teto não (top 10% 0,685 × 0,843; salário 7,2% × 4,6%).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Idade: 1,7% (14–29) a 14,7% (65+). Pergunta provável: 'é coorte ou ciclo de vida?' — resposta: dado transversal não separa; ciclo de vida é compatível com o teto de vidro, coorte com melhora entre gerações; 65+ é grupo selecionado (só quem ainda trabalha).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Teto de vidro dentro de cada UF: OR 0,762 — não decorre da composição regional dos salários. Peso amostral (V1028), no logit com efeito fixo de estado: OR do acesso 0,820 → 0,808. WeMix (pacote R de multinível ponderado): inviável com 41 mil UPAs.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0,3018 / (0,3018 + 0,5524) = 0,353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2"/>
        </w:rPr>
        <w:t>ln(W̄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>) − ln(W̄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 = (X̄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)′β̂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 + 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′(β̂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β̂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after="80"/>
        <w:ind w:left="454"/>
      </w:pPr>
      <w:r>
        <w:rPr>
          <w:rFonts w:ascii="Calibri" w:hAnsi="Calibri"/>
          <w:b w:val="0"/>
          <w:i w:val="0"/>
          <w:sz w:val="20"/>
        </w:rPr>
        <w:t>dotações: (X̄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)′β̂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  ·   retornos: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′(β̂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β̂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0,814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Desfecho comum (prevalência ≥ 15%, como o acesso): RR ≈ √(1/OR) antes da fórmula.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0,814:  E = 1,46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98,4% de viés, ou um confundidor com OR de 1,5,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 e formalidade são desfechos da própria discriminação: incluí-las (M4, especificação B da Oaxaca-Blinder) dá 5,6% — um limite inferior descritivo, a discriminação dentro da ocupação. Sem elas (M3, especificação A) o gap é 6,1%.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(0,0266 contra 0,0295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cerca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 tem p = 0,027, significante e lenta: 0,0009 log-ponto por ano — a convergência existe, mas no ritmo da década levaria gerações.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41.454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problema. Uma correção à Heckman exigiria uma variável de exclusão crível — algo que mude a chance de estar ocupado sem mudar o salário — e fica como extensão; por isso o gap reportado é o gap entre ocupados.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0,814 quer dizer 19%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19% menos chance, no sentido de odds. Em probabilidade, o efeito marginal médio é de 2,6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14ª posição entre 28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0,0084; N é muitas ordens de grandeza maior que a complexidade do modelo regularizado; e o R² de teste é estável entre a validação cruzada de 5 folds (0,644 ± 0,0006)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Dupla, no sentido de que acumula as duas — não tripla. A mulher negra teve o maior gap (80,7% contra o homem branco), mas suas desvantagens de raça e de gênero se acumularam sem se multiplicar: em log-pontos, o gap dela (0,592) ficou abaixo da soma das penalidades isoladas (0,629). A interação negro × mulher do GLMM também é sub-aditiva. Dizer o número exato é mais forte que dizer “dupla discriminação”, e evita a armadilha de somar percentuais.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 que é a UPA? Esse “bairro” foi um recorte criado por vocês?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Não. A UPA — Unidade Primária de Amostragem — é do desenho da própria PNAD Contínua: em cada estrato, o IBGE sorteia setores censitários (ou pequenos conjuntos de setores vizinhos, quando o setor tem poucos domicílios) e, dentro de cada um, um grupo de domicílios entrevistado em cinco trimestres seguidos. O código vem no microdado público (variável UPA). Chamo de bairro porque é a menor unidade territorial que a PNAD identifica — algumas centenas de domicílios vizinhos. A correspondência é aproximada: em cidade grande, um bairro administrativo contém várias UPAs; na zona rural, uma UPA pode ser extensa. Por isso, nas equações e nos erros-padrão, o texto diz UPA.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que ocupação e vínculo são, eles próprios, desfechos do processo estudado (a jornada só o é no modelo de acesso): controlá-los (M4, A3) dá um limite inferior descritivo, não o efeito líquido da raça.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10,5% agregado → 39,5% mediado pelo bairro → 6,1% líquido → 5,6%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0,814 no acesso e 0,761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0,353 — 35%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16161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