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240" w:lineRule="auto" w:after="280"/>
        <w:ind w:firstLine="0" w:left="0"/>
        <w:jc w:val="center"/>
      </w:pPr>
      <w:r>
        <w:rPr>
          <w:rFonts w:ascii="Arial" w:hAnsi="Arial"/>
          <w:b/>
          <w:bCs/>
          <w:sz w:val="22"/>
        </w:rPr>
        <w:t xml:space="preserve">Racismo estrutural no mercado de trabalho brasileiro: uma abordagem multinível</w:t>
      </w:r>
      <w:r>
        <w:rPr>
          <w:rFonts w:ascii="Arial" w:hAnsi="Arial"/>
          <w:b/>
          <w:bCs/>
          <w:sz w:val="22"/>
        </w:rPr>
        <w:t xml:space="preserve"> </w:t>
      </w:r>
      <w:r>
        <w:rPr>
          <w:rFonts w:ascii="Arial" w:hAnsi="Arial"/>
          <w:b/>
          <w:bCs/>
          <w:sz w:val="22"/>
        </w:rPr>
        <w:t xml:space="preserve">e de decomposição salarial</w:t>
      </w:r>
    </w:p>
    <w:p>
      <w:pPr>
        <w:pStyle w:val="BodyText"/>
        <w:spacing w:line="240" w:lineRule="auto" w:after="0" w:before="480"/>
        <w:ind w:firstLine="0"/>
        <w:jc w:val="center"/>
      </w:pPr>
      <w:r>
        <w:rPr>
          <w:rFonts w:ascii="Arial" w:hAnsi="Arial"/>
          <w:sz w:val="22"/>
        </w:rPr>
        <w:t xml:space="preserve">Ricardo Gomes Calheiros</w:t>
      </w:r>
      <w:r>
        <w:rPr>
          <w:rFonts w:ascii="Arial" w:hAnsi="Arial"/>
          <w:sz w:val="22"/>
          <w:vertAlign w:val="superscript"/>
        </w:rPr>
        <w:t xml:space="preserve">1*</w:t>
      </w:r>
      <w:r>
        <w:rPr>
          <w:rFonts w:ascii="Arial" w:hAnsi="Arial"/>
          <w:sz w:val="22"/>
        </w:rPr>
        <w:t xml:space="preserve">; Edilson José Rodrigues</w:t>
      </w:r>
      <w:r>
        <w:rPr>
          <w:rFonts w:ascii="Arial" w:hAnsi="Arial"/>
          <w:sz w:val="22"/>
          <w:vertAlign w:val="superscript"/>
        </w:rPr>
        <w:t xml:space="preserve">2</w:t>
      </w:r>
    </w:p>
    <w:p>
      <w:pPr>
        <w:pStyle w:val="BodyText"/>
        <w:spacing w:line="240" w:lineRule="auto" w:after="0" w:before="240"/>
        <w:ind w:firstLine="0" w:left="0"/>
        <w:jc w:val="left"/>
      </w:pPr>
      <w:r>
        <w:rPr>
          <w:rFonts w:ascii="Arial" w:hAnsi="Arial"/>
          <w:sz w:val="20"/>
          <w:vertAlign w:val="superscript"/>
        </w:rPr>
        <w:t xml:space="preserve">1*</w:t>
      </w:r>
      <w:r>
        <w:rPr>
          <w:rFonts w:ascii="Arial" w:hAnsi="Arial"/>
          <w:sz w:val="20"/>
        </w:rPr>
        <w:t xml:space="preserve"> </w:t>
      </w:r>
      <w:r>
        <w:rPr>
          <w:rFonts w:ascii="Arial" w:hAnsi="Arial"/>
          <w:sz w:val="20"/>
        </w:rPr>
        <w:t xml:space="preserve">Especialista em Finanças, Controladoria e Auditoria.</w:t>
      </w:r>
      <w:r>
        <w:rPr>
          <w:rFonts w:ascii="Arial" w:hAnsi="Arial"/>
          <w:sz w:val="20"/>
        </w:rPr>
        <w:t xml:space="preserve"> </w:t>
      </w:r>
      <w:r>
        <w:rPr>
          <w:rFonts w:ascii="Arial" w:hAnsi="Arial"/>
          <w:sz w:val="20"/>
        </w:rPr>
        <w:t xml:space="preserve">E-mail autor correspondente: rickinrj@gmail.com</w:t>
      </w:r>
    </w:p>
    <w:p>
      <w:pPr>
        <w:pStyle w:val="BodyText"/>
        <w:spacing w:line="240" w:lineRule="auto" w:after="0" w:before="0"/>
        <w:ind w:firstLine="0" w:left="0"/>
        <w:jc w:val="left"/>
      </w:pPr>
      <w:r>
        <w:rPr>
          <w:rFonts w:ascii="Arial" w:hAnsi="Arial"/>
          <w:sz w:val="20"/>
          <w:vertAlign w:val="superscript"/>
        </w:rPr>
        <w:t xml:space="preserve">2</w:t>
      </w:r>
      <w:r>
        <w:rPr>
          <w:rFonts w:ascii="Arial" w:hAnsi="Arial"/>
          <w:sz w:val="20"/>
        </w:rPr>
        <w:t xml:space="preserve"> </w:t>
      </w:r>
      <w:r>
        <w:rPr>
          <w:rFonts w:ascii="Arial" w:hAnsi="Arial"/>
          <w:sz w:val="20"/>
        </w:rPr>
        <w:t xml:space="preserve">Doutor em Engenharia Elétrica. MBA USP/Esalq.</w:t>
      </w:r>
      <w:r>
        <w:rPr>
          <w:rFonts w:ascii="Arial" w:hAnsi="Arial"/>
          <w:sz w:val="20"/>
        </w:rPr>
        <w:t xml:space="preserve"> </w:t>
      </w:r>
      <w:r>
        <w:rPr>
          <w:rFonts w:ascii="Arial" w:hAnsi="Arial"/>
          <w:sz w:val="20"/>
        </w:rPr>
        <w:t xml:space="preserve">E-mail: orientador@usp.br</w:t>
      </w:r>
    </w:p>
    <w:p>
      <w:pPr>
        <w:pStyle w:val="BodyText"/>
        <w:spacing w:line="240" w:lineRule="auto" w:after="280"/>
        <w:ind w:firstLine="0" w:left="0"/>
        <w:jc w:val="center"/>
      </w:pPr>
      <w:r>
        <w:br w:type="page"/>
        <w:rPr>
          <w:rFonts w:ascii="Arial" w:hAnsi="Arial"/>
          <w:b/>
          <w:bCs/>
          <w:sz w:val="22"/>
        </w:rPr>
        <w:t xml:space="preserve">Racismo estrutural no mercado de trabalho brasileiro: uma abordagem multinível</w:t>
      </w:r>
      <w:r>
        <w:rPr>
          <w:rFonts w:ascii="Arial" w:hAnsi="Arial"/>
          <w:b/>
          <w:bCs/>
          <w:sz w:val="22"/>
        </w:rPr>
        <w:t xml:space="preserve"> </w:t>
      </w:r>
      <w:r>
        <w:rPr>
          <w:rFonts w:ascii="Arial" w:hAnsi="Arial"/>
          <w:b/>
          <w:bCs/>
          <w:sz w:val="22"/>
        </w:rPr>
        <w:t xml:space="preserve">e de decomposição salarial</w:t>
      </w:r>
    </w:p>
    <w:p>
      <w:pPr>
        <w:pStyle w:val="BodyText"/>
        <w:spacing w:line="360" w:lineRule="auto" w:before="280" w:after="280"/>
        <w:ind w:left="0" w:firstLine="0"/>
        <w:jc w:val="left"/>
      </w:pPr>
      <w:r>
        <w:rPr>
          <w:rFonts w:ascii="Arial" w:hAnsi="Arial"/>
          <w:b/>
          <w:bCs/>
          <w:sz w:val="22"/>
        </w:rPr>
        <w:t xml:space="preserve">Resumo</w:t>
      </w:r>
    </w:p>
    <w:p>
      <w:pPr>
        <w:pStyle w:val="BodyText"/>
        <w:spacing w:line="240" w:lineRule="auto" w:before="0" w:after="0"/>
        <w:ind w:firstLine="0"/>
        <w:jc w:val="both"/>
      </w:pPr>
      <w:r>
        <w:rPr>
          <w:rFonts w:ascii="Arial" w:hAnsi="Arial"/>
          <w:sz w:val="22"/>
        </w:rPr>
        <w:t xml:space="preserve">A desigualdade racial de renda no Brasil persistiu apesar da expansão do ensino,</w:t>
      </w:r>
      <w:r>
        <w:rPr>
          <w:rFonts w:ascii="Arial" w:hAnsi="Arial"/>
          <w:sz w:val="22"/>
        </w:rPr>
        <w:t xml:space="preserve"> </w:t>
      </w:r>
      <w:r>
        <w:rPr>
          <w:rFonts w:ascii="Arial" w:hAnsi="Arial"/>
          <w:sz w:val="22"/>
        </w:rPr>
        <w:t xml:space="preserve">o que sugere mecanismos estruturais que a qualificação não alcança. O objetivo foi</w:t>
      </w:r>
      <w:r>
        <w:rPr>
          <w:rFonts w:ascii="Arial" w:hAnsi="Arial"/>
          <w:sz w:val="22"/>
        </w:rPr>
        <w:t xml:space="preserve"> </w:t>
      </w:r>
      <w:r>
        <w:rPr>
          <w:rFonts w:ascii="Arial" w:hAnsi="Arial"/>
          <w:sz w:val="22"/>
        </w:rPr>
        <w:t xml:space="preserve">identificar e quantificar esses mecanismos no salário e no acesso a ocupações</w:t>
      </w:r>
      <w:r>
        <w:rPr>
          <w:rFonts w:ascii="Arial" w:hAnsi="Arial"/>
          <w:sz w:val="22"/>
        </w:rPr>
        <w:t xml:space="preserve"> </w:t>
      </w:r>
      <w:r>
        <w:rPr>
          <w:rFonts w:ascii="Arial" w:hAnsi="Arial"/>
          <w:sz w:val="22"/>
        </w:rPr>
        <w:t xml:space="preserve">qualificadas. Utilizou-se a série completa da Pesquisa Nacional por Amostra de</w:t>
      </w:r>
      <w:r>
        <w:rPr>
          <w:rFonts w:ascii="Arial" w:hAnsi="Arial"/>
          <w:sz w:val="22"/>
        </w:rPr>
        <w:t xml:space="preserve"> </w:t>
      </w:r>
      <w:r>
        <w:rPr>
          <w:rFonts w:ascii="Arial" w:hAnsi="Arial"/>
          <w:sz w:val="22"/>
        </w:rPr>
        <w:t xml:space="preserve">Domicílios Contínua, de 2016 a 2025, com 7.699.273 observações da</w:t>
      </w:r>
      <w:r>
        <w:rPr>
          <w:rFonts w:ascii="Arial" w:hAnsi="Arial"/>
          <w:sz w:val="22"/>
        </w:rPr>
        <w:t xml:space="preserve"> </w:t>
      </w:r>
      <w:r>
        <w:rPr>
          <w:rFonts w:ascii="Arial" w:hAnsi="Arial"/>
          <w:sz w:val="22"/>
        </w:rPr>
        <w:t xml:space="preserve">população ocupada em 41.454 bairros — as unidades primárias de</w:t>
      </w:r>
      <w:r>
        <w:rPr>
          <w:rFonts w:ascii="Arial" w:hAnsi="Arial"/>
          <w:sz w:val="22"/>
        </w:rPr>
        <w:t xml:space="preserve"> </w:t>
      </w:r>
      <w:r>
        <w:rPr>
          <w:rFonts w:ascii="Arial" w:hAnsi="Arial"/>
          <w:sz w:val="22"/>
        </w:rPr>
        <w:t xml:space="preserve">amostragem da própria pesquisa. Foram aplicados modelo linear hierárquico,</w:t>
      </w:r>
      <w:r>
        <w:rPr>
          <w:rFonts w:ascii="Arial" w:hAnsi="Arial"/>
          <w:sz w:val="22"/>
        </w:rPr>
        <w:t xml:space="preserve"> </w:t>
      </w:r>
      <w:r>
        <w:rPr>
          <w:rFonts w:ascii="Arial" w:hAnsi="Arial"/>
          <w:sz w:val="22"/>
        </w:rPr>
        <w:t xml:space="preserve">decomposição de Oaxaca–Blinder, regressão quantílica com decomposição por função de</w:t>
      </w:r>
      <w:r>
        <w:rPr>
          <w:rFonts w:ascii="Arial" w:hAnsi="Arial"/>
          <w:sz w:val="22"/>
        </w:rPr>
        <w:t xml:space="preserve"> </w:t>
      </w:r>
      <w:r>
        <w:rPr>
          <w:rFonts w:ascii="Arial" w:hAnsi="Arial"/>
          <w:sz w:val="22"/>
        </w:rPr>
        <w:t xml:space="preserve">influência recentrada e modelo logístico multinível de acesso, com aprendizado de</w:t>
      </w:r>
      <w:r>
        <w:rPr>
          <w:rFonts w:ascii="Arial" w:hAnsi="Arial"/>
          <w:sz w:val="22"/>
        </w:rPr>
        <w:t xml:space="preserve"> </w:t>
      </w:r>
      <w:r>
        <w:rPr>
          <w:rFonts w:ascii="Arial" w:hAnsi="Arial"/>
          <w:sz w:val="22"/>
        </w:rPr>
        <w:t xml:space="preserve">máquina como verificação. Com a mesma escolaridade, idade, sexo e bairro,</w:t>
      </w:r>
      <w:r>
        <w:rPr>
          <w:rFonts w:ascii="Arial" w:hAnsi="Arial"/>
          <w:sz w:val="22"/>
        </w:rPr>
        <w:t xml:space="preserve"> </w:t>
      </w:r>
      <w:r>
        <w:rPr>
          <w:rFonts w:ascii="Arial" w:hAnsi="Arial"/>
          <w:sz w:val="22"/>
        </w:rPr>
        <w:t xml:space="preserve">trabalhadores negros ganharam 6,1% a menos; o bairro mediou</w:t>
      </w:r>
      <w:r>
        <w:rPr>
          <w:rFonts w:ascii="Arial" w:hAnsi="Arial"/>
          <w:sz w:val="22"/>
        </w:rPr>
        <w:t xml:space="preserve"> </w:t>
      </w:r>
      <w:r>
        <w:rPr>
          <w:rFonts w:ascii="Arial" w:hAnsi="Arial"/>
          <w:sz w:val="22"/>
        </w:rPr>
        <w:t xml:space="preserve">39,5% do gap agregado, e as chances de chegar a cargo qualificado</w:t>
      </w:r>
      <w:r>
        <w:rPr>
          <w:rFonts w:ascii="Arial" w:hAnsi="Arial"/>
          <w:sz w:val="22"/>
        </w:rPr>
        <w:t xml:space="preserve"> </w:t>
      </w:r>
      <w:r>
        <w:rPr>
          <w:rFonts w:ascii="Arial" w:hAnsi="Arial"/>
          <w:sz w:val="22"/>
        </w:rPr>
        <w:t xml:space="preserve">foram 19% menores, e 24% menores no décimo mais rico. A mulher negra entrou pelas ocupações feminizadas, mas teve a menor chance de chegar ao comando.</w:t>
      </w:r>
      <w:r>
        <w:rPr>
          <w:rFonts w:ascii="Arial" w:hAnsi="Arial"/>
          <w:sz w:val="22"/>
        </w:rPr>
        <w:t xml:space="preserve"> </w:t>
      </w:r>
      <w:r>
        <w:rPr>
          <w:rFonts w:ascii="Arial" w:hAnsi="Arial"/>
          <w:sz w:val="22"/>
        </w:rPr>
        <w:t xml:space="preserve">Concluiu-se que a desigualdade racial opera em duas frentes que respondem de modo diferente à escolaridade: a penalidade salarial é maior entre os menos escolarizados e pequena entre os pós-graduados, enquanto a desvantagem no acesso a cargos qualificados persiste em todos os níveis. Políticas centradas apenas em escolaridade alcançam a primeira, mas não a segunda.</w:t>
      </w:r>
    </w:p>
    <w:p>
      <w:pPr>
        <w:pStyle w:val="BodyText"/>
        <w:spacing w:line="240" w:lineRule="auto" w:before="280" w:after="280"/>
        <w:ind w:firstLine="0"/>
        <w:jc w:val="both"/>
      </w:pPr>
      <w:r>
        <w:rPr>
          <w:rFonts w:ascii="Arial" w:hAnsi="Arial"/>
          <w:b/>
          <w:bCs/>
          <w:sz w:val="22"/>
        </w:rPr>
        <w:t xml:space="preserve">Palavras-chave</w:t>
      </w:r>
      <w:r>
        <w:rPr>
          <w:rFonts w:ascii="Arial" w:hAnsi="Arial"/>
          <w:sz w:val="22"/>
        </w:rPr>
        <w:t xml:space="preserve">: diferencial racial de rendimentos;</w:t>
      </w:r>
      <w:r>
        <w:rPr>
          <w:rFonts w:ascii="Arial" w:hAnsi="Arial"/>
          <w:sz w:val="22"/>
        </w:rPr>
        <w:t xml:space="preserve"> </w:t>
      </w:r>
      <w:r>
        <w:rPr>
          <w:rFonts w:ascii="Arial" w:hAnsi="Arial"/>
          <w:sz w:val="22"/>
        </w:rPr>
        <w:t xml:space="preserve">segregação residencial; teto de vidro; decomposição de Oaxaca–Blinder;</w:t>
      </w:r>
      <w:r>
        <w:rPr>
          <w:rFonts w:ascii="Arial" w:hAnsi="Arial"/>
          <w:sz w:val="22"/>
        </w:rPr>
        <w:t xml:space="preserve"> </w:t>
      </w:r>
      <w:r>
        <w:rPr>
          <w:rFonts w:ascii="Arial" w:hAnsi="Arial"/>
          <w:sz w:val="22"/>
        </w:rPr>
        <w:t xml:space="preserve">interseccionalidade.</w:t>
      </w:r>
    </w:p>
    <w:p>
      <w:pPr>
        <w:pStyle w:val="BodyText"/>
        <w:spacing w:line="240" w:lineRule="auto" w:before="0" w:after="280"/>
        <w:ind w:firstLine="0" w:left="0"/>
        <w:jc w:val="center"/>
      </w:pPr>
      <w:r>
        <w:br w:type="page"/>
        <w:rPr>
          <w:rFonts w:ascii="Arial" w:hAnsi="Arial"/>
          <w:b/>
          <w:bCs/>
          <w:sz w:val="22"/>
        </w:rPr>
        <w:t xml:space="preserve">Structural racism in the Brazilian labour market: a multilevel and</w:t>
      </w:r>
      <w:r>
        <w:rPr>
          <w:rFonts w:ascii="Arial" w:hAnsi="Arial"/>
          <w:b/>
          <w:bCs/>
          <w:sz w:val="22"/>
        </w:rPr>
        <w:t xml:space="preserve"> </w:t>
      </w:r>
      <w:r>
        <w:rPr>
          <w:rFonts w:ascii="Arial" w:hAnsi="Arial"/>
          <w:b/>
          <w:bCs/>
          <w:sz w:val="22"/>
        </w:rPr>
        <w:t xml:space="preserve">wage-decomposition approach</w:t>
      </w:r>
    </w:p>
    <w:p>
      <w:pPr>
        <w:pStyle w:val="BodyText"/>
        <w:spacing w:line="360" w:lineRule="auto" w:before="280" w:after="280"/>
        <w:ind w:left="0" w:firstLine="0"/>
        <w:jc w:val="left"/>
      </w:pPr>
      <w:r>
        <w:rPr>
          <w:rFonts w:ascii="Arial" w:hAnsi="Arial"/>
          <w:b/>
          <w:bCs/>
          <w:sz w:val="22"/>
        </w:rPr>
        <w:t xml:space="preserve">Abstract</w:t>
      </w:r>
    </w:p>
    <w:p>
      <w:pPr>
        <w:pStyle w:val="BodyText"/>
        <w:spacing w:line="240" w:lineRule="auto" w:before="0" w:after="0"/>
        <w:ind w:firstLine="0"/>
        <w:jc w:val="both"/>
      </w:pPr>
      <w:r>
        <w:rPr>
          <w:rFonts w:ascii="Arial" w:hAnsi="Arial"/>
          <w:sz w:val="22"/>
        </w:rPr>
        <w:t xml:space="preserve">Racial income inequality in Brazil persisted despite the expansion of schooling,</w:t>
      </w:r>
      <w:r>
        <w:rPr>
          <w:rFonts w:ascii="Arial" w:hAnsi="Arial"/>
          <w:sz w:val="22"/>
        </w:rPr>
        <w:t xml:space="preserve"> </w:t>
      </w:r>
      <w:r>
        <w:rPr>
          <w:rFonts w:ascii="Arial" w:hAnsi="Arial"/>
          <w:sz w:val="22"/>
        </w:rPr>
        <w:t xml:space="preserve">which suggests structural mechanisms that qualification does not reach. The aim was</w:t>
      </w:r>
      <w:r>
        <w:rPr>
          <w:rFonts w:ascii="Arial" w:hAnsi="Arial"/>
          <w:sz w:val="22"/>
        </w:rPr>
        <w:t xml:space="preserve"> </w:t>
      </w:r>
      <w:r>
        <w:rPr>
          <w:rFonts w:ascii="Arial" w:hAnsi="Arial"/>
          <w:sz w:val="22"/>
        </w:rPr>
        <w:t xml:space="preserve">to identify and quantify these mechanisms in wages and in access to qualified</w:t>
      </w:r>
      <w:r>
        <w:rPr>
          <w:rFonts w:ascii="Arial" w:hAnsi="Arial"/>
          <w:sz w:val="22"/>
        </w:rPr>
        <w:t xml:space="preserve"> </w:t>
      </w:r>
      <w:r>
        <w:rPr>
          <w:rFonts w:ascii="Arial" w:hAnsi="Arial"/>
          <w:sz w:val="22"/>
        </w:rPr>
        <w:t xml:space="preserve">occupations. The complete series of the Brazilian Continuous National Household Sample</w:t>
      </w:r>
      <w:r>
        <w:rPr>
          <w:rFonts w:ascii="Arial" w:hAnsi="Arial"/>
          <w:sz w:val="22"/>
        </w:rPr>
        <w:t xml:space="preserve"> </w:t>
      </w:r>
      <w:r>
        <w:rPr>
          <w:rFonts w:ascii="Arial" w:hAnsi="Arial"/>
          <w:sz w:val="22"/>
        </w:rPr>
        <w:t xml:space="preserve">Survey, from 2016 to 2025, was used, with 7,699,273 observations of</w:t>
      </w:r>
      <w:r>
        <w:rPr>
          <w:rFonts w:ascii="Arial" w:hAnsi="Arial"/>
          <w:sz w:val="22"/>
        </w:rPr>
        <w:t xml:space="preserve"> </w:t>
      </w:r>
      <w:r>
        <w:rPr>
          <w:rFonts w:ascii="Arial" w:hAnsi="Arial"/>
          <w:sz w:val="22"/>
        </w:rPr>
        <w:t xml:space="preserve">employed workers in 41,454 neighbourhoods — the survey’s own primary</w:t>
      </w:r>
      <w:r>
        <w:rPr>
          <w:rFonts w:ascii="Arial" w:hAnsi="Arial"/>
          <w:sz w:val="22"/>
        </w:rPr>
        <w:t xml:space="preserve"> </w:t>
      </w:r>
      <w:r>
        <w:rPr>
          <w:rFonts w:ascii="Arial" w:hAnsi="Arial"/>
          <w:sz w:val="22"/>
        </w:rPr>
        <w:t xml:space="preserve">sampling units. A hierarchical linear model, an Oaxaca–Blinder decomposition, quantile</w:t>
      </w:r>
      <w:r>
        <w:rPr>
          <w:rFonts w:ascii="Arial" w:hAnsi="Arial"/>
          <w:sz w:val="22"/>
        </w:rPr>
        <w:t xml:space="preserve"> </w:t>
      </w:r>
      <w:r>
        <w:rPr>
          <w:rFonts w:ascii="Arial" w:hAnsi="Arial"/>
          <w:sz w:val="22"/>
        </w:rPr>
        <w:t xml:space="preserve">regression with recentred influence function decomposition and a multilevel logistic</w:t>
      </w:r>
      <w:r>
        <w:rPr>
          <w:rFonts w:ascii="Arial" w:hAnsi="Arial"/>
          <w:sz w:val="22"/>
        </w:rPr>
        <w:t xml:space="preserve"> </w:t>
      </w:r>
      <w:r>
        <w:rPr>
          <w:rFonts w:ascii="Arial" w:hAnsi="Arial"/>
          <w:sz w:val="22"/>
        </w:rPr>
        <w:t xml:space="preserve">model of access were applied, with machine learning as a check. With the same schooling,</w:t>
      </w:r>
      <w:r>
        <w:rPr>
          <w:rFonts w:ascii="Arial" w:hAnsi="Arial"/>
          <w:sz w:val="22"/>
        </w:rPr>
        <w:t xml:space="preserve"> </w:t>
      </w:r>
      <w:r>
        <w:rPr>
          <w:rFonts w:ascii="Arial" w:hAnsi="Arial"/>
          <w:sz w:val="22"/>
        </w:rPr>
        <w:t xml:space="preserve">age, sex and neighbourhood, Black workers earned 6.1% less; the</w:t>
      </w:r>
      <w:r>
        <w:rPr>
          <w:rFonts w:ascii="Arial" w:hAnsi="Arial"/>
          <w:sz w:val="22"/>
        </w:rPr>
        <w:t xml:space="preserve"> </w:t>
      </w:r>
      <w:r>
        <w:rPr>
          <w:rFonts w:ascii="Arial" w:hAnsi="Arial"/>
          <w:sz w:val="22"/>
        </w:rPr>
        <w:t xml:space="preserve">neighbourhood mediated 39.5% of the aggregate gap, and the odds of</w:t>
      </w:r>
      <w:r>
        <w:rPr>
          <w:rFonts w:ascii="Arial" w:hAnsi="Arial"/>
          <w:sz w:val="22"/>
        </w:rPr>
        <w:t xml:space="preserve"> </w:t>
      </w:r>
      <w:r>
        <w:rPr>
          <w:rFonts w:ascii="Arial" w:hAnsi="Arial"/>
          <w:sz w:val="22"/>
        </w:rPr>
        <w:t xml:space="preserve">reaching a qualified job were 19% lower, and 24% lower for the</w:t>
      </w:r>
      <w:r>
        <w:rPr>
          <w:rFonts w:ascii="Arial" w:hAnsi="Arial"/>
          <w:sz w:val="22"/>
        </w:rPr>
        <w:t xml:space="preserve"> </w:t>
      </w:r>
      <w:r>
        <w:rPr>
          <w:rFonts w:ascii="Arial" w:hAnsi="Arial"/>
          <w:sz w:val="22"/>
        </w:rPr>
        <w:t xml:space="preserve">top income decile. Black women entered through feminised occupations but had the lowest odds of reaching management. It was concluded that racial inequality operates on two fronts that respond differently to schooling: the wage penalty is largest among the least educated and small among postgraduates, while the disadvantage in access to qualified jobs persists at every level. Policies centred solely on schooling reach the former but not the latter.</w:t>
      </w:r>
    </w:p>
    <w:p>
      <w:pPr>
        <w:pStyle w:val="BodyText"/>
        <w:spacing w:line="240" w:lineRule="auto" w:before="280" w:after="280"/>
        <w:ind w:firstLine="0"/>
        <w:jc w:val="both"/>
      </w:pPr>
      <w:r>
        <w:rPr>
          <w:rFonts w:ascii="Arial" w:hAnsi="Arial"/>
          <w:b/>
          <w:bCs/>
          <w:sz w:val="22"/>
        </w:rPr>
        <w:t xml:space="preserve">Keywords</w:t>
      </w:r>
      <w:r>
        <w:rPr>
          <w:rFonts w:ascii="Arial" w:hAnsi="Arial"/>
          <w:sz w:val="22"/>
        </w:rPr>
        <w:t xml:space="preserve">: racial earnings gap; residential segregation; glass</w:t>
      </w:r>
      <w:r>
        <w:rPr>
          <w:rFonts w:ascii="Arial" w:hAnsi="Arial"/>
          <w:sz w:val="22"/>
        </w:rPr>
        <w:t xml:space="preserve"> </w:t>
      </w:r>
      <w:r>
        <w:rPr>
          <w:rFonts w:ascii="Arial" w:hAnsi="Arial"/>
          <w:sz w:val="22"/>
        </w:rPr>
        <w:t xml:space="preserve">ceiling; Oaxaca–Blinder decomposition; intersectionality.</w:t>
      </w:r>
    </w:p>
    <w:bookmarkStart w:id="22" w:name="considerações-iniciais"/>
    <w:p>
      <w:pPr>
        <w:pStyle w:val="Heading1"/>
        <w:spacing w:line="360" w:lineRule="auto" w:before="280" w:after="280"/>
        <w:ind w:firstLine="0" w:left="0"/>
        <w:jc w:val="left"/>
      </w:pPr>
      <w:r>
        <w:rPr>
          <w:rFonts w:ascii="Arial" w:hAnsi="Arial"/>
          <w:b/>
          <w:sz w:val="22"/>
        </w:rPr>
        <w:t xml:space="preserve">Considerações Iniciais</w:t>
      </w:r>
    </w:p>
    <w:p>
      <w:pPr>
        <w:pStyle w:val="FirstParagraph"/>
        <w:spacing w:line="360" w:lineRule="auto" w:after="0"/>
        <w:ind w:firstLine="709"/>
        <w:jc w:val="both"/>
      </w:pPr>
      <w:r>
        <w:rPr>
          <w:rFonts w:ascii="Arial" w:hAnsi="Arial"/>
          <w:sz w:val="22"/>
        </w:rPr>
        <w:t xml:space="preserve">O Brasil é um dos países com maior desigualdade racial de renda no mundo, e a</w:t>
      </w:r>
      <w:r>
        <w:rPr>
          <w:rFonts w:ascii="Arial" w:hAnsi="Arial"/>
          <w:sz w:val="22"/>
        </w:rPr>
        <w:t xml:space="preserve"> </w:t>
      </w:r>
      <w:r>
        <w:rPr>
          <w:rFonts w:ascii="Arial" w:hAnsi="Arial"/>
          <w:sz w:val="22"/>
        </w:rPr>
        <w:t xml:space="preserve">razão entre o rendimento médio de trabalhadores brancos e negros permanece acima</w:t>
      </w:r>
      <w:r>
        <w:rPr>
          <w:rFonts w:ascii="Arial" w:hAnsi="Arial"/>
          <w:sz w:val="22"/>
        </w:rPr>
        <w:t xml:space="preserve"> </w:t>
      </w:r>
      <w:r>
        <w:rPr>
          <w:rFonts w:ascii="Arial" w:hAnsi="Arial"/>
          <w:sz w:val="22"/>
        </w:rPr>
        <w:t xml:space="preserve">de 1</w:t>
      </w:r>
      <w:r>
        <w:rPr>
          <w:rFonts w:ascii="Arial" w:hAnsi="Arial"/>
          <w:sz w:val="22"/>
        </w:rPr>
        <w:t xml:space="preserve">:</w:t>
      </w:r>
      <w:r>
        <w:rPr>
          <w:rFonts w:ascii="Arial" w:hAnsi="Arial"/>
          <w:sz w:val="22"/>
        </w:rPr>
        <w:t xml:space="preserve">1,5 em toda a série histórica disponível, mesmo quando se controlam</w:t>
      </w:r>
      <w:r>
        <w:rPr>
          <w:rFonts w:ascii="Arial" w:hAnsi="Arial"/>
          <w:sz w:val="22"/>
        </w:rPr>
        <w:t xml:space="preserve"> </w:t>
      </w:r>
      <w:r>
        <w:rPr>
          <w:rFonts w:ascii="Arial" w:hAnsi="Arial"/>
          <w:sz w:val="22"/>
        </w:rPr>
        <w:t xml:space="preserve">escolaridade, experiência e setor de atividade</w:t>
      </w:r>
      <w:r>
        <w:rPr>
          <w:rFonts w:ascii="Arial" w:hAnsi="Arial"/>
          <w:sz w:val="22"/>
        </w:rPr>
        <w:t xml:space="preserve"> </w:t>
      </w:r>
      <w:r>
        <w:rPr>
          <w:rFonts w:ascii="Arial" w:hAnsi="Arial"/>
          <w:sz w:val="22"/>
        </w:rPr>
        <w:t xml:space="preserve">(IBGE, 2023)</w:t>
      </w:r>
      <w:r>
        <w:rPr>
          <w:rFonts w:ascii="Arial" w:hAnsi="Arial"/>
          <w:sz w:val="22"/>
        </w:rPr>
        <w:t xml:space="preserve">. A</w:t>
      </w:r>
      <w:r>
        <w:rPr>
          <w:rFonts w:ascii="Arial" w:hAnsi="Arial"/>
          <w:sz w:val="22"/>
        </w:rPr>
        <w:t xml:space="preserve"> </w:t>
      </w:r>
      <w:r>
        <w:rPr>
          <w:rFonts w:ascii="Arial" w:hAnsi="Arial"/>
          <w:sz w:val="22"/>
        </w:rPr>
        <w:t xml:space="preserve">explicação usual atribui esse hiato a diferenças de qualificação; se ela fosse</w:t>
      </w:r>
      <w:r>
        <w:rPr>
          <w:rFonts w:ascii="Arial" w:hAnsi="Arial"/>
          <w:sz w:val="22"/>
        </w:rPr>
        <w:t xml:space="preserve"> </w:t>
      </w:r>
      <w:r>
        <w:rPr>
          <w:rFonts w:ascii="Arial" w:hAnsi="Arial"/>
          <w:sz w:val="22"/>
        </w:rPr>
        <w:t xml:space="preserve">suficiente, a expansão do acesso ao ensino teria dissolvido o diferencial ao</w:t>
      </w:r>
      <w:r>
        <w:rPr>
          <w:rFonts w:ascii="Arial" w:hAnsi="Arial"/>
          <w:sz w:val="22"/>
        </w:rPr>
        <w:t xml:space="preserve"> </w:t>
      </w:r>
      <w:r>
        <w:rPr>
          <w:rFonts w:ascii="Arial" w:hAnsi="Arial"/>
          <w:sz w:val="22"/>
        </w:rPr>
        <w:t xml:space="preserve">longo das últimas décadas, o que não ocorreu</w:t>
      </w:r>
      <w:r>
        <w:rPr>
          <w:rFonts w:ascii="Arial" w:hAnsi="Arial"/>
          <w:sz w:val="22"/>
        </w:rPr>
        <w:t xml:space="preserve"> </w:t>
      </w:r>
      <w:r>
        <w:rPr>
          <w:rFonts w:ascii="Arial" w:hAnsi="Arial"/>
          <w:sz w:val="22"/>
        </w:rPr>
        <w:t xml:space="preserve">(Hasenbalg, 1979)</w:t>
      </w:r>
      <w:r>
        <w:rPr>
          <w:rFonts w:ascii="Arial" w:hAnsi="Arial"/>
          <w:sz w:val="22"/>
        </w:rPr>
        <w:t xml:space="preserve">.</w:t>
      </w:r>
    </w:p>
    <w:p>
      <w:pPr>
        <w:pStyle w:val="BodyText"/>
        <w:spacing w:line="360" w:lineRule="auto" w:after="0"/>
        <w:ind w:firstLine="709"/>
        <w:jc w:val="both"/>
      </w:pPr>
      <w:r>
        <w:rPr>
          <w:rFonts w:ascii="Arial" w:hAnsi="Arial"/>
          <w:sz w:val="22"/>
        </w:rPr>
        <w:t xml:space="preserve">A teoria econômica oferece duas explicações para um diferencial que sobrevive ao</w:t>
      </w:r>
      <w:r>
        <w:rPr>
          <w:rFonts w:ascii="Arial" w:hAnsi="Arial"/>
          <w:sz w:val="22"/>
        </w:rPr>
        <w:t xml:space="preserve"> </w:t>
      </w:r>
      <w:r>
        <w:rPr>
          <w:rFonts w:ascii="Arial" w:hAnsi="Arial"/>
          <w:sz w:val="22"/>
        </w:rPr>
        <w:t xml:space="preserve">controle da produtividade observável.</w:t>
      </w:r>
      <w:r>
        <w:rPr>
          <w:rFonts w:ascii="Arial" w:hAnsi="Arial"/>
          <w:sz w:val="22"/>
        </w:rPr>
        <w:t xml:space="preserve"> </w:t>
      </w:r>
      <w:r>
        <w:rPr>
          <w:rFonts w:ascii="Arial" w:hAnsi="Arial"/>
          <w:sz w:val="22"/>
        </w:rPr>
        <w:t xml:space="preserve">Becker (1957)</w:t>
      </w:r>
      <w:r>
        <w:rPr>
          <w:rFonts w:ascii="Arial" w:hAnsi="Arial"/>
          <w:sz w:val="22"/>
        </w:rPr>
        <w:t xml:space="preserve"> </w:t>
      </w:r>
      <w:r>
        <w:rPr>
          <w:rFonts w:ascii="Arial" w:hAnsi="Arial"/>
          <w:sz w:val="22"/>
        </w:rPr>
        <w:t xml:space="preserve">propôs a</w:t>
      </w:r>
      <w:r>
        <w:rPr>
          <w:rFonts w:ascii="Arial" w:hAnsi="Arial"/>
          <w:sz w:val="22"/>
        </w:rPr>
        <w:t xml:space="preserve"> </w:t>
      </w:r>
      <w:r>
        <w:rPr>
          <w:rFonts w:ascii="Arial" w:hAnsi="Arial"/>
          <w:sz w:val="22"/>
        </w:rPr>
        <w:t xml:space="preserve">discriminação por preferência, que a concorrência tenderia a erodir;</w:t>
      </w:r>
      <w:r>
        <w:rPr>
          <w:rFonts w:ascii="Arial" w:hAnsi="Arial"/>
          <w:sz w:val="22"/>
        </w:rPr>
        <w:t xml:space="preserve"> </w:t>
      </w:r>
      <w:r>
        <w:rPr>
          <w:rFonts w:ascii="Arial" w:hAnsi="Arial"/>
          <w:sz w:val="22"/>
        </w:rPr>
        <w:t xml:space="preserve">Arrow (1973)</w:t>
      </w:r>
      <w:r>
        <w:rPr>
          <w:rFonts w:ascii="Arial" w:hAnsi="Arial"/>
          <w:sz w:val="22"/>
        </w:rPr>
        <w:t xml:space="preserve">, a discriminação estatística, em que a raça serve de sinal</w:t>
      </w:r>
      <w:r>
        <w:rPr>
          <w:rFonts w:ascii="Arial" w:hAnsi="Arial"/>
          <w:sz w:val="22"/>
        </w:rPr>
        <w:t xml:space="preserve"> </w:t>
      </w:r>
      <w:r>
        <w:rPr>
          <w:rFonts w:ascii="Arial" w:hAnsi="Arial"/>
          <w:sz w:val="22"/>
        </w:rPr>
        <w:t xml:space="preserve">da produtividade média do grupo e o equilíbrio se autoconfirma. Nenhuma das duas</w:t>
      </w:r>
      <w:r>
        <w:rPr>
          <w:rFonts w:ascii="Arial" w:hAnsi="Arial"/>
          <w:sz w:val="22"/>
        </w:rPr>
        <w:t xml:space="preserve"> </w:t>
      </w:r>
      <w:r>
        <w:rPr>
          <w:rFonts w:ascii="Arial" w:hAnsi="Arial"/>
          <w:sz w:val="22"/>
        </w:rPr>
        <w:t xml:space="preserve">explica por que o diferencial atravessa décadas de mudança na concorrência e na</w:t>
      </w:r>
      <w:r>
        <w:rPr>
          <w:rFonts w:ascii="Arial" w:hAnsi="Arial"/>
          <w:sz w:val="22"/>
        </w:rPr>
        <w:t xml:space="preserve"> </w:t>
      </w:r>
      <w:r>
        <w:rPr>
          <w:rFonts w:ascii="Arial" w:hAnsi="Arial"/>
          <w:sz w:val="22"/>
        </w:rPr>
        <w:t xml:space="preserve">informação. É essa persistência que o conceito de racismo estrutural nomeia.</w:t>
      </w:r>
    </w:p>
    <w:p>
      <w:pPr>
        <w:pStyle w:val="BodyText"/>
        <w:spacing w:line="360" w:lineRule="auto" w:after="0"/>
        <w:ind w:firstLine="709"/>
        <w:jc w:val="both"/>
      </w:pPr>
      <w:r>
        <w:rPr>
          <w:rFonts w:ascii="Arial" w:hAnsi="Arial"/>
          <w:sz w:val="22"/>
        </w:rPr>
        <w:t xml:space="preserve">Almeida (2019)</w:t>
      </w:r>
      <w:r>
        <w:rPr>
          <w:rFonts w:ascii="Arial" w:hAnsi="Arial"/>
          <w:sz w:val="22"/>
        </w:rPr>
        <w:t xml:space="preserve"> </w:t>
      </w:r>
      <w:r>
        <w:rPr>
          <w:rFonts w:ascii="Arial" w:hAnsi="Arial"/>
          <w:sz w:val="22"/>
        </w:rPr>
        <w:t xml:space="preserve">distingue três concepções de racismo. Na individualista,</w:t>
      </w:r>
      <w:r>
        <w:rPr>
          <w:rFonts w:ascii="Arial" w:hAnsi="Arial"/>
          <w:sz w:val="22"/>
        </w:rPr>
        <w:t xml:space="preserve"> </w:t>
      </w:r>
      <w:r>
        <w:rPr>
          <w:rFonts w:ascii="Arial" w:hAnsi="Arial"/>
          <w:sz w:val="22"/>
        </w:rPr>
        <w:t xml:space="preserve">ele é desvio moral de pessoas; na institucional, está nas regras e práticas das</w:t>
      </w:r>
      <w:r>
        <w:rPr>
          <w:rFonts w:ascii="Arial" w:hAnsi="Arial"/>
          <w:sz w:val="22"/>
        </w:rPr>
        <w:t xml:space="preserve"> </w:t>
      </w:r>
      <w:r>
        <w:rPr>
          <w:rFonts w:ascii="Arial" w:hAnsi="Arial"/>
          <w:sz w:val="22"/>
        </w:rPr>
        <w:t xml:space="preserve">organizações, que conferem vantagens a um grupo mesmo sem intenção explícita; na</w:t>
      </w:r>
      <w:r>
        <w:rPr>
          <w:rFonts w:ascii="Arial" w:hAnsi="Arial"/>
          <w:sz w:val="22"/>
        </w:rPr>
        <w:t xml:space="preserve"> </w:t>
      </w:r>
      <w:r>
        <w:rPr>
          <w:rFonts w:ascii="Arial" w:hAnsi="Arial"/>
          <w:sz w:val="22"/>
        </w:rPr>
        <w:t xml:space="preserve">estrutural, as instituições reproduzem o racismo porque ele faz parte do modo</w:t>
      </w:r>
      <w:r>
        <w:rPr>
          <w:rFonts w:ascii="Arial" w:hAnsi="Arial"/>
          <w:sz w:val="22"/>
        </w:rPr>
        <w:t xml:space="preserve"> </w:t>
      </w:r>
      <w:r>
        <w:rPr>
          <w:rFonts w:ascii="Arial" w:hAnsi="Arial"/>
          <w:sz w:val="22"/>
        </w:rPr>
        <w:t xml:space="preserve">normal de funcionamento das relações econômicas, políticas e jurídicas, sem</w:t>
      </w:r>
      <w:r>
        <w:rPr>
          <w:rFonts w:ascii="Arial" w:hAnsi="Arial"/>
          <w:sz w:val="22"/>
        </w:rPr>
        <w:t xml:space="preserve"> </w:t>
      </w:r>
      <w:r>
        <w:rPr>
          <w:rFonts w:ascii="Arial" w:hAnsi="Arial"/>
          <w:sz w:val="22"/>
        </w:rPr>
        <w:t xml:space="preserve">depender da intenção de ninguém.</w:t>
      </w:r>
      <w:r>
        <w:rPr>
          <w:rFonts w:ascii="Arial" w:hAnsi="Arial"/>
          <w:sz w:val="22"/>
        </w:rPr>
        <w:t xml:space="preserve"> </w:t>
      </w:r>
      <w:r>
        <w:rPr>
          <w:rFonts w:ascii="Arial" w:hAnsi="Arial"/>
          <w:sz w:val="22"/>
        </w:rPr>
        <w:t xml:space="preserve">Hasenbalg (1979)</w:t>
      </w:r>
      <w:r>
        <w:rPr>
          <w:rFonts w:ascii="Arial" w:hAnsi="Arial"/>
          <w:sz w:val="22"/>
        </w:rPr>
        <w:t xml:space="preserve"> </w:t>
      </w:r>
      <w:r>
        <w:rPr>
          <w:rFonts w:ascii="Arial" w:hAnsi="Arial"/>
          <w:sz w:val="22"/>
        </w:rPr>
        <w:t xml:space="preserve">deu a essa ideia forma</w:t>
      </w:r>
      <w:r>
        <w:rPr>
          <w:rFonts w:ascii="Arial" w:hAnsi="Arial"/>
          <w:sz w:val="22"/>
        </w:rPr>
        <w:t xml:space="preserve"> </w:t>
      </w:r>
      <w:r>
        <w:rPr>
          <w:rFonts w:ascii="Arial" w:hAnsi="Arial"/>
          <w:sz w:val="22"/>
        </w:rPr>
        <w:t xml:space="preserve">empírica: um ciclo de desvantagens cumulativas, em que cada etapa da trajetória —</w:t>
      </w:r>
      <w:r>
        <w:rPr>
          <w:rFonts w:ascii="Arial" w:hAnsi="Arial"/>
          <w:sz w:val="22"/>
        </w:rPr>
        <w:t xml:space="preserve"> </w:t>
      </w:r>
      <w:r>
        <w:rPr>
          <w:rFonts w:ascii="Arial" w:hAnsi="Arial"/>
          <w:sz w:val="22"/>
        </w:rPr>
        <w:t xml:space="preserve">origem, escola, inserção, promoção — herda a desigualdade da anterior e a acrescenta.</w:t>
      </w:r>
      <w:r>
        <w:rPr>
          <w:rFonts w:ascii="Arial" w:hAnsi="Arial"/>
          <w:sz w:val="22"/>
        </w:rPr>
        <w:t xml:space="preserve"> </w:t>
      </w:r>
      <w:r>
        <w:rPr>
          <w:rFonts w:ascii="Arial" w:hAnsi="Arial"/>
          <w:sz w:val="22"/>
        </w:rPr>
        <w:t xml:space="preserve">Racismo estrutural, assim, não é uma variável a inserir num modelo, mas um padrão, e</w:t>
      </w:r>
      <w:r>
        <w:rPr>
          <w:rFonts w:ascii="Arial" w:hAnsi="Arial"/>
          <w:sz w:val="22"/>
        </w:rPr>
        <w:t xml:space="preserve"> </w:t>
      </w:r>
      <w:r>
        <w:rPr>
          <w:rFonts w:ascii="Arial" w:hAnsi="Arial"/>
          <w:sz w:val="22"/>
        </w:rPr>
        <w:t xml:space="preserve">este trabalho o leu por três marcas mensuráveis: a persistência da desvantagem depois</w:t>
      </w:r>
      <w:r>
        <w:rPr>
          <w:rFonts w:ascii="Arial" w:hAnsi="Arial"/>
          <w:sz w:val="22"/>
        </w:rPr>
        <w:t xml:space="preserve"> </w:t>
      </w:r>
      <w:r>
        <w:rPr>
          <w:rFonts w:ascii="Arial" w:hAnsi="Arial"/>
          <w:sz w:val="22"/>
        </w:rPr>
        <w:t xml:space="preserve">de igualadas as características individuais; a sua mediação por estruturas — o</w:t>
      </w:r>
      <w:r>
        <w:rPr>
          <w:rFonts w:ascii="Arial" w:hAnsi="Arial"/>
          <w:sz w:val="22"/>
        </w:rPr>
        <w:t xml:space="preserve"> </w:t>
      </w:r>
      <w:r>
        <w:rPr>
          <w:rFonts w:ascii="Arial" w:hAnsi="Arial"/>
          <w:sz w:val="22"/>
        </w:rPr>
        <w:t xml:space="preserve">bairro de moradia e a porta das ocupações; e a sua acumulação onde se decide a</w:t>
      </w:r>
      <w:r>
        <w:rPr>
          <w:rFonts w:ascii="Arial" w:hAnsi="Arial"/>
          <w:sz w:val="22"/>
        </w:rPr>
        <w:t xml:space="preserve"> </w:t>
      </w:r>
      <w:r>
        <w:rPr>
          <w:rFonts w:ascii="Arial" w:hAnsi="Arial"/>
          <w:sz w:val="22"/>
        </w:rPr>
        <w:t xml:space="preserve">ascensão. Os métodos medem as marcas, não as intenções; por isso o texto fala em</w:t>
      </w:r>
      <w:r>
        <w:rPr>
          <w:rFonts w:ascii="Arial" w:hAnsi="Arial"/>
          <w:sz w:val="22"/>
        </w:rPr>
        <w:t xml:space="preserve"> </w:t>
      </w:r>
      <w:r>
        <w:rPr>
          <w:rFonts w:ascii="Arial" w:hAnsi="Arial"/>
          <w:sz w:val="22"/>
        </w:rPr>
        <w:t xml:space="preserve">penalidade condicional, e não em discriminação provada.</w:t>
      </w:r>
    </w:p>
    <w:p>
      <w:pPr>
        <w:pStyle w:val="BodyText"/>
        <w:spacing w:line="360" w:lineRule="auto" w:after="0"/>
        <w:ind w:firstLine="709"/>
        <w:jc w:val="both"/>
      </w:pPr>
      <w:r>
        <w:rPr>
          <w:rFonts w:ascii="Arial" w:hAnsi="Arial"/>
          <w:sz w:val="22"/>
        </w:rPr>
        <w:t xml:space="preserve">A literatura empírica identifica três canais dessa reprodução: a discriminação</w:t>
      </w:r>
      <w:r>
        <w:rPr>
          <w:rFonts w:ascii="Arial" w:hAnsi="Arial"/>
          <w:sz w:val="22"/>
        </w:rPr>
        <w:t xml:space="preserve"> </w:t>
      </w:r>
      <w:r>
        <w:rPr>
          <w:rFonts w:ascii="Arial" w:hAnsi="Arial"/>
          <w:sz w:val="22"/>
        </w:rPr>
        <w:t xml:space="preserve">direta em seleção e promoção</w:t>
      </w:r>
      <w:r>
        <w:rPr>
          <w:rFonts w:ascii="Arial" w:hAnsi="Arial"/>
          <w:sz w:val="22"/>
        </w:rPr>
        <w:t xml:space="preserve"> </w:t>
      </w:r>
      <w:r>
        <w:rPr>
          <w:rFonts w:ascii="Arial" w:hAnsi="Arial"/>
          <w:sz w:val="22"/>
        </w:rPr>
        <w:t xml:space="preserve">(Pager, 2007)</w:t>
      </w:r>
      <w:r>
        <w:rPr>
          <w:rFonts w:ascii="Arial" w:hAnsi="Arial"/>
          <w:sz w:val="22"/>
        </w:rPr>
        <w:t xml:space="preserve">; os efeitos de vizinhança, pelos quais</w:t>
      </w:r>
      <w:r>
        <w:rPr>
          <w:rFonts w:ascii="Arial" w:hAnsi="Arial"/>
          <w:sz w:val="22"/>
        </w:rPr>
        <w:t xml:space="preserve"> </w:t>
      </w:r>
      <w:r>
        <w:rPr>
          <w:rFonts w:ascii="Arial" w:hAnsi="Arial"/>
          <w:sz w:val="22"/>
        </w:rPr>
        <w:t xml:space="preserve">a concentração de pobreza em bairros segregados reduz as redes de contato com o</w:t>
      </w:r>
      <w:r>
        <w:rPr>
          <w:rFonts w:ascii="Arial" w:hAnsi="Arial"/>
          <w:sz w:val="22"/>
        </w:rPr>
        <w:t xml:space="preserve"> </w:t>
      </w:r>
      <w:r>
        <w:rPr>
          <w:rFonts w:ascii="Arial" w:hAnsi="Arial"/>
          <w:sz w:val="22"/>
        </w:rPr>
        <w:t xml:space="preserve">mercado formal</w:t>
      </w:r>
      <w:r>
        <w:rPr>
          <w:rFonts w:ascii="Arial" w:hAnsi="Arial"/>
          <w:sz w:val="22"/>
        </w:rPr>
        <w:t xml:space="preserve"> </w:t>
      </w:r>
      <w:r>
        <w:rPr>
          <w:rFonts w:ascii="Arial" w:hAnsi="Arial"/>
          <w:sz w:val="22"/>
        </w:rPr>
        <w:t xml:space="preserve">(Marques, 2010; Sampson; Raudenbush; Earls, 1997; Wilson, 1987)</w:t>
      </w:r>
      <w:r>
        <w:rPr>
          <w:rFonts w:ascii="Arial" w:hAnsi="Arial"/>
          <w:sz w:val="22"/>
        </w:rPr>
        <w:t xml:space="preserve">; e a subvalorização do</w:t>
      </w:r>
      <w:r>
        <w:rPr>
          <w:rFonts w:ascii="Arial" w:hAnsi="Arial"/>
          <w:sz w:val="22"/>
        </w:rPr>
        <w:t xml:space="preserve"> </w:t>
      </w:r>
      <w:r>
        <w:rPr>
          <w:rFonts w:ascii="Arial" w:hAnsi="Arial"/>
          <w:sz w:val="22"/>
        </w:rPr>
        <w:t xml:space="preserve">capital humano negro</w:t>
      </w:r>
      <w:r>
        <w:rPr>
          <w:rFonts w:ascii="Arial" w:hAnsi="Arial"/>
          <w:sz w:val="22"/>
        </w:rPr>
        <w:t xml:space="preserve"> </w:t>
      </w:r>
      <w:r>
        <w:rPr>
          <w:rFonts w:ascii="Arial" w:hAnsi="Arial"/>
          <w:sz w:val="22"/>
        </w:rPr>
        <w:t xml:space="preserve">(Henriques, 2001; Soares, 2009)</w:t>
      </w:r>
      <w:r>
        <w:rPr>
          <w:rFonts w:ascii="Arial" w:hAnsi="Arial"/>
          <w:sz w:val="22"/>
        </w:rPr>
        <w:t xml:space="preserve">. Tratados isoladamente, esses</w:t>
      </w:r>
      <w:r>
        <w:rPr>
          <w:rFonts w:ascii="Arial" w:hAnsi="Arial"/>
          <w:sz w:val="22"/>
        </w:rPr>
        <w:t xml:space="preserve"> </w:t>
      </w:r>
      <w:r>
        <w:rPr>
          <w:rFonts w:ascii="Arial" w:hAnsi="Arial"/>
          <w:sz w:val="22"/>
        </w:rPr>
        <w:t xml:space="preserve">canais têm sido difíceis de quantificar de forma integrada e em escala nacional.</w:t>
      </w:r>
    </w:p>
    <w:p>
      <w:pPr>
        <w:pStyle w:val="BodyText"/>
        <w:spacing w:line="360" w:lineRule="auto" w:after="0"/>
        <w:ind w:firstLine="709"/>
        <w:jc w:val="both"/>
      </w:pPr>
      <w:r>
        <w:rPr>
          <w:rFonts w:ascii="Arial" w:hAnsi="Arial"/>
          <w:sz w:val="22"/>
        </w:rPr>
        <w:t xml:space="preserve">Três hipóteses orientaram a investigação: que parte relevante do diferencial é</w:t>
      </w:r>
      <w:r>
        <w:rPr>
          <w:rFonts w:ascii="Arial" w:hAnsi="Arial"/>
          <w:sz w:val="22"/>
        </w:rPr>
        <w:t xml:space="preserve"> </w:t>
      </w:r>
      <w:r>
        <w:rPr>
          <w:rFonts w:ascii="Arial" w:hAnsi="Arial"/>
          <w:sz w:val="22"/>
        </w:rPr>
        <w:t xml:space="preserve">mediada pelo bairro de moradia (H1); que a penalidade se agrava no topo da</w:t>
      </w:r>
      <w:r>
        <w:rPr>
          <w:rFonts w:ascii="Arial" w:hAnsi="Arial"/>
          <w:sz w:val="22"/>
        </w:rPr>
        <w:t xml:space="preserve"> </w:t>
      </w:r>
      <w:r>
        <w:rPr>
          <w:rFonts w:ascii="Arial" w:hAnsi="Arial"/>
          <w:sz w:val="22"/>
        </w:rPr>
        <w:t xml:space="preserve">distribuição, configurando teto de vidro (H2); e que a barreira opera antes do</w:t>
      </w:r>
      <w:r>
        <w:rPr>
          <w:rFonts w:ascii="Arial" w:hAnsi="Arial"/>
          <w:sz w:val="22"/>
        </w:rPr>
        <w:t xml:space="preserve"> </w:t>
      </w:r>
      <w:r>
        <w:rPr>
          <w:rFonts w:ascii="Arial" w:hAnsi="Arial"/>
          <w:sz w:val="22"/>
        </w:rPr>
        <w:t xml:space="preserve">salário, no acesso às ocupações qualificadas (H3).</w:t>
      </w:r>
    </w:p>
    <w:p>
      <w:pPr>
        <w:pStyle w:val="BodyText"/>
        <w:spacing w:line="360" w:lineRule="auto" w:after="0"/>
        <w:ind w:firstLine="709"/>
        <w:jc w:val="both"/>
      </w:pPr>
      <w:r>
        <w:rPr>
          <w:rFonts w:ascii="Arial" w:hAnsi="Arial"/>
          <w:sz w:val="22"/>
        </w:rPr>
        <w:t xml:space="preserve">O objetivo deste trabalho foi identificar, isolar e quantificar os mecanismos da</w:t>
      </w:r>
      <w:r>
        <w:rPr>
          <w:rFonts w:ascii="Arial" w:hAnsi="Arial"/>
          <w:sz w:val="22"/>
        </w:rPr>
        <w:t xml:space="preserve"> </w:t>
      </w:r>
      <w:r>
        <w:rPr>
          <w:rFonts w:ascii="Arial" w:hAnsi="Arial"/>
          <w:sz w:val="22"/>
        </w:rPr>
        <w:t xml:space="preserve">desigualdade racial de rendimentos e de acesso ocupacional no Brasil e traduzir o</w:t>
      </w:r>
      <w:r>
        <w:rPr>
          <w:rFonts w:ascii="Arial" w:hAnsi="Arial"/>
          <w:sz w:val="22"/>
        </w:rPr>
        <w:t xml:space="preserve"> </w:t>
      </w:r>
      <w:r>
        <w:rPr>
          <w:rFonts w:ascii="Arial" w:hAnsi="Arial"/>
          <w:sz w:val="22"/>
        </w:rPr>
        <w:t xml:space="preserve">diagnóstico em implicações de política. A análise seguiu a trajetória de um</w:t>
      </w:r>
      <w:r>
        <w:rPr>
          <w:rFonts w:ascii="Arial" w:hAnsi="Arial"/>
          <w:sz w:val="22"/>
        </w:rPr>
        <w:t xml:space="preserve"> </w:t>
      </w:r>
      <w:r>
        <w:rPr>
          <w:rFonts w:ascii="Arial" w:hAnsi="Arial"/>
          <w:sz w:val="22"/>
        </w:rPr>
        <w:t xml:space="preserve">trabalhador: onde mora (modelo linear hierárquico, que separa a variação entre</w:t>
      </w:r>
      <w:r>
        <w:rPr>
          <w:rFonts w:ascii="Arial" w:hAnsi="Arial"/>
          <w:sz w:val="22"/>
        </w:rPr>
        <w:t xml:space="preserve"> </w:t>
      </w:r>
      <w:r>
        <w:rPr>
          <w:rFonts w:ascii="Arial" w:hAnsi="Arial"/>
          <w:sz w:val="22"/>
        </w:rPr>
        <w:t xml:space="preserve">bairros), de que é feito o diferencial de renda (decomposição de Oaxaca–Blinder), que</w:t>
      </w:r>
      <w:r>
        <w:rPr>
          <w:rFonts w:ascii="Arial" w:hAnsi="Arial"/>
          <w:sz w:val="22"/>
        </w:rPr>
        <w:t xml:space="preserve"> </w:t>
      </w:r>
      <w:r>
        <w:rPr>
          <w:rFonts w:ascii="Arial" w:hAnsi="Arial"/>
          <w:sz w:val="22"/>
        </w:rPr>
        <w:t xml:space="preserve">porta encontra (modelo logístico multinível de acesso a ocupações qualificadas), até</w:t>
      </w:r>
      <w:r>
        <w:rPr>
          <w:rFonts w:ascii="Arial" w:hAnsi="Arial"/>
          <w:sz w:val="22"/>
        </w:rPr>
        <w:t xml:space="preserve"> </w:t>
      </w:r>
      <w:r>
        <w:rPr>
          <w:rFonts w:ascii="Arial" w:hAnsi="Arial"/>
          <w:sz w:val="22"/>
        </w:rPr>
        <w:t xml:space="preserve">onde sobe (regressão quantílica e decomposição por função de influência recentrada) e</w:t>
      </w:r>
      <w:r>
        <w:rPr>
          <w:rFonts w:ascii="Arial" w:hAnsi="Arial"/>
          <w:sz w:val="22"/>
        </w:rPr>
        <w:t xml:space="preserve"> </w:t>
      </w:r>
      <w:r>
        <w:rPr>
          <w:rFonts w:ascii="Arial" w:hAnsi="Arial"/>
          <w:sz w:val="22"/>
        </w:rPr>
        <w:t xml:space="preserve">quem está na interseção de raça e gênero, com os mesmos modelos repetidos por cor, setor e idade. Um modelo de aprendizado supervisionado</w:t>
      </w:r>
      <w:r>
        <w:rPr>
          <w:rFonts w:ascii="Arial" w:hAnsi="Arial"/>
          <w:sz w:val="22"/>
        </w:rPr>
        <w:t xml:space="preserve"> </w:t>
      </w:r>
      <w:r>
        <w:rPr>
          <w:rFonts w:ascii="Arial" w:hAnsi="Arial"/>
          <w:sz w:val="22"/>
        </w:rPr>
        <w:t xml:space="preserve">(</w:t>
      </w:r>
      <w:r>
        <w:rPr>
          <w:rFonts w:ascii="Arial" w:hAnsi="Arial"/>
          <w:sz w:val="22"/>
        </w:rPr>
        <w:t xml:space="preserve">gradient boosting</w:t>
      </w:r>
      <w:r>
        <w:rPr>
          <w:rFonts w:ascii="Arial" w:hAnsi="Arial"/>
          <w:sz w:val="22"/>
        </w:rPr>
        <w:t xml:space="preserve">, interpretado por valores SHAP) serviu de verificação sem</w:t>
      </w:r>
      <w:r>
        <w:rPr>
          <w:rFonts w:ascii="Arial" w:hAnsi="Arial"/>
          <w:sz w:val="22"/>
        </w:rPr>
        <w:t xml:space="preserve"> </w:t>
      </w:r>
      <w:r>
        <w:rPr>
          <w:rFonts w:ascii="Arial" w:hAnsi="Arial"/>
          <w:sz w:val="22"/>
        </w:rPr>
        <w:t xml:space="preserve">forma funcional imposta.</w:t>
      </w:r>
    </w:p>
    <w:bookmarkEnd w:id="22"/>
    <w:bookmarkStart w:id="33" w:name="Xc75abeba06f5f79ea98bda2c7af6242a0f43a5f"/>
    <w:p>
      <w:pPr>
        <w:pStyle w:val="Heading1"/>
        <w:spacing w:line="360" w:lineRule="auto" w:before="280" w:after="280"/>
        <w:ind w:firstLine="0" w:left="0"/>
        <w:jc w:val="left"/>
      </w:pPr>
      <w:r>
        <w:rPr>
          <w:rFonts w:ascii="Arial" w:hAnsi="Arial"/>
          <w:b/>
          <w:sz w:val="22"/>
        </w:rPr>
        <w:t xml:space="preserve">Implementação de Algoritmo(s) de Machine Learning</w:t>
      </w:r>
    </w:p>
    <w:bookmarkStart w:id="24" w:name="base-de-dados-pnad-contínua-20162025"/>
    <w:p>
      <w:pPr>
        <w:pStyle w:val="Ttulo2"/>
        <w:spacing w:line="360" w:lineRule="auto" w:before="280" w:after="280"/>
        <w:ind w:firstLine="709"/>
        <w:jc w:val="left"/>
      </w:pPr>
      <w:r>
        <w:rPr>
          <w:rFonts w:ascii="Arial" w:hAnsi="Arial"/>
          <w:b/>
          <w:sz w:val="22"/>
        </w:rPr>
        <w:t xml:space="preserve">Base de dados: PNAD Contínua (2016–2025)</w:t>
      </w:r>
    </w:p>
    <w:p>
      <w:pPr>
        <w:pStyle w:val="FirstParagraph"/>
        <w:spacing w:line="360" w:lineRule="auto" w:after="0"/>
        <w:ind w:firstLine="709"/>
        <w:jc w:val="both"/>
      </w:pPr>
      <w:r>
        <w:rPr>
          <w:rFonts w:ascii="Arial" w:hAnsi="Arial"/>
          <w:sz w:val="22"/>
        </w:rPr>
        <w:t xml:space="preserve">A PNAD Contínua é uma pesquisa amostral de domicílios conduzida</w:t>
      </w:r>
      <w:r>
        <w:rPr>
          <w:rFonts w:ascii="Arial" w:hAnsi="Arial"/>
          <w:sz w:val="22"/>
        </w:rPr>
        <w:t xml:space="preserve"> </w:t>
      </w:r>
      <w:r>
        <w:rPr>
          <w:rFonts w:ascii="Arial" w:hAnsi="Arial"/>
          <w:sz w:val="22"/>
        </w:rPr>
        <w:t xml:space="preserve">trimestralmente pelo IBGE, com cobertura nacional e metodologia de painel</w:t>
      </w:r>
      <w:r>
        <w:rPr>
          <w:rFonts w:ascii="Arial" w:hAnsi="Arial"/>
          <w:sz w:val="22"/>
        </w:rPr>
        <w:t xml:space="preserve"> </w:t>
      </w:r>
      <w:r>
        <w:rPr>
          <w:rFonts w:ascii="Arial" w:hAnsi="Arial"/>
          <w:sz w:val="22"/>
        </w:rPr>
        <w:t xml:space="preserve">rotativo. O microdado contém informações sobre características demográficas,</w:t>
      </w:r>
      <w:r>
        <w:rPr>
          <w:rFonts w:ascii="Arial" w:hAnsi="Arial"/>
          <w:sz w:val="22"/>
        </w:rPr>
        <w:t xml:space="preserve"> </w:t>
      </w:r>
      <w:r>
        <w:rPr>
          <w:rFonts w:ascii="Arial" w:hAnsi="Arial"/>
          <w:sz w:val="22"/>
        </w:rPr>
        <w:t xml:space="preserve">escolaridade, inserção no mercado de trabalho e rendimentos para todos os</w:t>
      </w:r>
      <w:r>
        <w:rPr>
          <w:rFonts w:ascii="Arial" w:hAnsi="Arial"/>
          <w:sz w:val="22"/>
        </w:rPr>
        <w:t xml:space="preserve"> </w:t>
      </w:r>
      <w:r>
        <w:rPr>
          <w:rFonts w:ascii="Arial" w:hAnsi="Arial"/>
          <w:sz w:val="22"/>
        </w:rPr>
        <w:t xml:space="preserve">moradores dos domicílios selecionados. Para este trabalho, foram processados</w:t>
      </w:r>
      <w:r>
        <w:rPr>
          <w:rFonts w:ascii="Arial" w:hAnsi="Arial"/>
          <w:sz w:val="22"/>
        </w:rPr>
        <w:t xml:space="preserve"> </w:t>
      </w:r>
      <w:r>
        <w:rPr>
          <w:rFonts w:ascii="Arial" w:hAnsi="Arial"/>
          <w:sz w:val="22"/>
        </w:rPr>
        <w:t xml:space="preserve">todos os 40 trimestres disponíveis de 2016T1 a 2025T4, totalizando</w:t>
      </w:r>
      <w:r>
        <w:rPr>
          <w:rFonts w:ascii="Arial" w:hAnsi="Arial"/>
          <w:sz w:val="22"/>
        </w:rPr>
        <w:t xml:space="preserve"> </w:t>
      </w:r>
      <w:r>
        <w:rPr>
          <w:rFonts w:ascii="Arial" w:hAnsi="Arial"/>
          <w:sz w:val="22"/>
        </w:rPr>
        <w:t xml:space="preserve">15.941.675 observações brutas, das quais 7.699.278 possuem renda positiva</w:t>
      </w:r>
      <w:r>
        <w:rPr>
          <w:rFonts w:ascii="Arial" w:hAnsi="Arial"/>
          <w:sz w:val="22"/>
        </w:rPr>
        <w:t xml:space="preserve"> </w:t>
      </w:r>
      <w:r>
        <w:rPr>
          <w:rFonts w:ascii="Arial" w:hAnsi="Arial"/>
          <w:sz w:val="22"/>
        </w:rPr>
        <w:t xml:space="preserve">declarada e completude nas variáveis do modelo. Como cada método exige um conjunto um pouco</w:t>
      </w:r>
      <w:r>
        <w:rPr>
          <w:rFonts w:ascii="Arial" w:hAnsi="Arial"/>
          <w:sz w:val="22"/>
        </w:rPr>
        <w:t xml:space="preserve"> </w:t>
      </w:r>
      <w:r>
        <w:rPr>
          <w:rFonts w:ascii="Arial" w:hAnsi="Arial"/>
          <w:sz w:val="22"/>
        </w:rPr>
        <w:t xml:space="preserve">diferente de variáveis, o</w:t>
      </w:r>
      <w:r>
        <w:rPr>
          <w:rFonts w:ascii="Arial" w:hAnsi="Arial"/>
          <w:sz w:val="22"/>
        </w:rPr>
        <w:t xml:space="preserve"> </w:t>
      </w:r>
      <m:oMath>
        <m:r>
          <m:t>N</m:t>
        </m:r>
      </m:oMath>
      <w:r>
        <w:rPr>
          <w:rFonts w:ascii="Arial" w:hAnsi="Arial"/>
          <w:sz w:val="22"/>
        </w:rPr>
        <w:t xml:space="preserve"> </w:t>
      </w:r>
      <w:r>
        <w:rPr>
          <w:rFonts w:ascii="Arial" w:hAnsi="Arial"/>
          <w:sz w:val="22"/>
        </w:rPr>
        <w:t xml:space="preserve">efetivo varia pouco entre eles: 7.694.080 no HLM,</w:t>
      </w:r>
      <w:r>
        <w:rPr>
          <w:rFonts w:ascii="Arial" w:hAnsi="Arial"/>
          <w:sz w:val="22"/>
        </w:rPr>
        <w:t xml:space="preserve"> </w:t>
      </w:r>
      <w:r>
        <w:rPr>
          <w:rFonts w:ascii="Arial" w:hAnsi="Arial"/>
          <w:sz w:val="22"/>
        </w:rPr>
        <w:t xml:space="preserve">7.699.273 no GLMM, 7.699.278 na Oaxaca–Blinder e 7.699.273 no aprendizado de máquina</w:t>
      </w:r>
      <w:r>
        <w:rPr>
          <w:rFonts w:ascii="Arial" w:hAnsi="Arial"/>
          <w:sz w:val="22"/>
        </w:rPr>
        <w:t xml:space="preserve"> </w:t>
      </w:r>
      <w:r>
        <w:rPr>
          <w:rFonts w:ascii="Arial" w:hAnsi="Arial"/>
          <w:sz w:val="22"/>
        </w:rPr>
        <w:t xml:space="preserve">(treino e teste somados). Pelo mesmo motivo o número de bairros varia —</w:t>
      </w:r>
      <w:r>
        <w:rPr>
          <w:rFonts w:ascii="Arial" w:hAnsi="Arial"/>
          <w:sz w:val="22"/>
        </w:rPr>
        <w:t xml:space="preserve"> </w:t>
      </w:r>
      <w:r>
        <w:rPr>
          <w:rFonts w:ascii="Arial" w:hAnsi="Arial"/>
          <w:sz w:val="22"/>
        </w:rPr>
        <w:t xml:space="preserve">41.459 na Oaxaca–Blinder e 41.454 no modelo de acesso —, e o HLM</w:t>
      </w:r>
      <w:r>
        <w:rPr>
          <w:rFonts w:ascii="Arial" w:hAnsi="Arial"/>
          <w:sz w:val="22"/>
        </w:rPr>
        <w:t xml:space="preserve"> </w:t>
      </w:r>
      <w:r>
        <w:rPr>
          <w:rFonts w:ascii="Arial" w:hAnsi="Arial"/>
          <w:sz w:val="22"/>
        </w:rPr>
        <w:t xml:space="preserve">usa 40.728, porque exclui as UPAs com menos de dez observações para estimar a</w:t>
      </w:r>
      <w:r>
        <w:rPr>
          <w:rFonts w:ascii="Arial" w:hAnsi="Arial"/>
          <w:sz w:val="22"/>
        </w:rPr>
        <w:t xml:space="preserve"> </w:t>
      </w:r>
      <w:r>
        <w:rPr>
          <w:rFonts w:ascii="Arial" w:hAnsi="Arial"/>
          <w:sz w:val="22"/>
        </w:rPr>
        <w:t xml:space="preserve">variância entre bairros com estabilidade.</w:t>
      </w:r>
    </w:p>
    <w:p>
      <w:pPr>
        <w:pStyle w:val="BodyText"/>
        <w:spacing w:line="360" w:lineRule="auto" w:after="0"/>
        <w:ind w:firstLine="709"/>
        <w:jc w:val="both"/>
      </w:pPr>
      <w:r>
        <w:rPr>
          <w:rFonts w:ascii="Arial" w:hAnsi="Arial"/>
          <w:sz w:val="22"/>
        </w:rPr>
        <w:t xml:space="preserve">O desfecho de rendimento é o</w:t>
      </w:r>
      <w:r>
        <w:rPr>
          <w:rFonts w:ascii="Arial" w:hAnsi="Arial"/>
          <w:sz w:val="22"/>
        </w:rPr>
        <w:t xml:space="preserve"> </w:t>
      </w:r>
      <w:r>
        <w:rPr>
          <w:rFonts w:ascii="Arial" w:hAnsi="Arial"/>
          <w:b/>
          <w:bCs/>
          <w:sz w:val="22"/>
        </w:rPr>
        <w:t xml:space="preserve">rendimento mensal efetivo de todos os</w:t>
      </w:r>
      <w:r>
        <w:rPr>
          <w:rFonts w:ascii="Arial" w:hAnsi="Arial"/>
          <w:b/>
          <w:bCs/>
          <w:sz w:val="22"/>
        </w:rPr>
        <w:t xml:space="preserve"> </w:t>
      </w:r>
      <w:r>
        <w:rPr>
          <w:rFonts w:ascii="Arial" w:hAnsi="Arial"/>
          <w:b/>
          <w:bCs/>
          <w:sz w:val="22"/>
        </w:rPr>
        <w:t xml:space="preserve">trabalhos</w:t>
      </w:r>
      <w:r>
        <w:rPr>
          <w:rFonts w:ascii="Arial" w:hAnsi="Arial"/>
          <w:sz w:val="22"/>
        </w:rPr>
        <w:t xml:space="preserve"> </w:t>
      </w:r>
      <w:r>
        <w:rPr>
          <w:rFonts w:ascii="Arial" w:hAnsi="Arial"/>
          <w:sz w:val="22"/>
        </w:rPr>
        <w:t xml:space="preserve">(VD4020), em logaritmo, convertido para reais constantes do 2º trimestre</w:t>
      </w:r>
      <w:r>
        <w:rPr>
          <w:rFonts w:ascii="Arial" w:hAnsi="Arial"/>
          <w:sz w:val="22"/>
        </w:rPr>
        <w:t xml:space="preserve"> </w:t>
      </w:r>
      <w:r>
        <w:rPr>
          <w:rFonts w:ascii="Arial" w:hAnsi="Arial"/>
          <w:sz w:val="22"/>
        </w:rPr>
        <w:t xml:space="preserve">de 2026 pelo deflator oficial da PNAD Contínua (IBGE), que varia por UF e trimestre;</w:t>
      </w:r>
      <w:r>
        <w:rPr>
          <w:rFonts w:ascii="Arial" w:hAnsi="Arial"/>
          <w:sz w:val="22"/>
        </w:rPr>
        <w:t xml:space="preserve"> </w:t>
      </w:r>
      <w:r>
        <w:rPr>
          <w:rFonts w:ascii="Arial" w:hAnsi="Arial"/>
          <w:sz w:val="22"/>
        </w:rPr>
        <w:t xml:space="preserve">como a deflação não remove choques comuns a cada ano, todos os modelos incluem ainda</w:t>
      </w:r>
      <w:r>
        <w:rPr>
          <w:rFonts w:ascii="Arial" w:hAnsi="Arial"/>
          <w:sz w:val="22"/>
        </w:rPr>
        <w:t xml:space="preserve"> </w:t>
      </w:r>
      <w:r>
        <w:rPr>
          <w:rFonts w:ascii="Arial" w:hAnsi="Arial"/>
          <w:sz w:val="22"/>
        </w:rPr>
        <w:t xml:space="preserve">efeitos fixos de ano. A unidade importa para ler os controles: como</w:t>
      </w:r>
      <w:r>
        <w:rPr>
          <w:rFonts w:ascii="Arial" w:hAnsi="Arial"/>
          <w:sz w:val="22"/>
        </w:rPr>
        <w:t xml:space="preserve"> </w:t>
      </w:r>
      <w:r>
        <w:rPr>
          <w:rFonts w:ascii="Arial" w:hAnsi="Arial"/>
          <w:sz w:val="22"/>
        </w:rPr>
        <w:t xml:space="preserve">o rendimento é mensal e não por hora, a jornada</w:t>
      </w:r>
      <w:r>
        <w:rPr>
          <w:rFonts w:ascii="Arial" w:hAnsi="Arial"/>
          <w:sz w:val="22"/>
        </w:rPr>
        <w:t xml:space="preserve"> </w:t>
      </w:r>
      <w:r>
        <w:rPr>
          <w:rFonts w:ascii="Arial" w:hAnsi="Arial"/>
          <w:sz w:val="22"/>
        </w:rPr>
        <w:t xml:space="preserve">habitual</w:t>
      </w:r>
      <w:r>
        <w:rPr>
          <w:rFonts w:ascii="Arial" w:hAnsi="Arial"/>
          <w:sz w:val="22"/>
        </w:rPr>
        <w:t xml:space="preserve"> </w:t>
      </w:r>
      <w:r>
        <w:rPr>
          <w:rFonts w:ascii="Arial" w:hAnsi="Arial"/>
          <w:sz w:val="22"/>
        </w:rPr>
        <w:t xml:space="preserve">(VD4031) entra como</w:t>
      </w:r>
      <w:r>
        <w:rPr>
          <w:rFonts w:ascii="Arial" w:hAnsi="Arial"/>
          <w:sz w:val="22"/>
        </w:rPr>
        <w:t xml:space="preserve"> </w:t>
      </w:r>
      <w:r>
        <w:rPr>
          <w:rFonts w:ascii="Arial" w:hAnsi="Arial"/>
          <w:sz w:val="22"/>
        </w:rPr>
        <w:t xml:space="preserve">controle necessário — sem ela, compara-se o rendimento de quem trabalha meio período com</w:t>
      </w:r>
      <w:r>
        <w:rPr>
          <w:rFonts w:ascii="Arial" w:hAnsi="Arial"/>
          <w:sz w:val="22"/>
        </w:rPr>
        <w:t xml:space="preserve"> </w:t>
      </w:r>
      <w:r>
        <w:rPr>
          <w:rFonts w:ascii="Arial" w:hAnsi="Arial"/>
          <w:sz w:val="22"/>
        </w:rPr>
        <w:t xml:space="preserve">o de quem trabalha jornada integral e atribui-se a diferença à raça.</w:t>
      </w:r>
    </w:p>
    <w:p>
      <w:pPr>
        <w:pStyle w:val="BodyText"/>
        <w:spacing w:line="360" w:lineRule="auto" w:after="0"/>
        <w:ind w:firstLine="709"/>
        <w:jc w:val="both"/>
      </w:pPr>
      <w:r>
        <w:rPr>
          <w:rFonts w:ascii="Arial" w:hAnsi="Arial"/>
          <w:sz w:val="22"/>
        </w:rPr>
        <w:t xml:space="preserve">A escolaridade vem da VD3004 (nível de instrução mais elevado alcançado, harmonizado</w:t>
      </w:r>
      <w:r>
        <w:rPr>
          <w:rFonts w:ascii="Arial" w:hAnsi="Arial"/>
          <w:sz w:val="22"/>
        </w:rPr>
        <w:t xml:space="preserve"> </w:t>
      </w:r>
      <w:r>
        <w:rPr>
          <w:rFonts w:ascii="Arial" w:hAnsi="Arial"/>
          <w:sz w:val="22"/>
        </w:rPr>
        <w:t xml:space="preserve">pelo IBGE) e entra como</w:t>
      </w:r>
      <w:r>
        <w:rPr>
          <w:rFonts w:ascii="Arial" w:hAnsi="Arial"/>
          <w:sz w:val="22"/>
        </w:rPr>
        <w:t xml:space="preserve"> </w:t>
      </w:r>
      <w:r>
        <w:rPr>
          <w:rFonts w:ascii="Arial" w:hAnsi="Arial"/>
          <w:sz w:val="22"/>
        </w:rPr>
        <w:t xml:space="preserve">dummies</w:t>
      </w:r>
      <w:r>
        <w:rPr>
          <w:rFonts w:ascii="Arial" w:hAnsi="Arial"/>
          <w:sz w:val="22"/>
        </w:rPr>
        <w:t xml:space="preserve"> </w:t>
      </w:r>
      <w:r>
        <w:rPr>
          <w:rFonts w:ascii="Arial" w:hAnsi="Arial"/>
          <w:sz w:val="22"/>
        </w:rPr>
        <w:t xml:space="preserve">cumulativas</w:t>
      </w:r>
      <w:r>
        <w:rPr>
          <w:rFonts w:ascii="Arial" w:hAnsi="Arial"/>
          <w:sz w:val="22"/>
        </w:rPr>
        <w:t xml:space="preserve"> </w:t>
      </w:r>
      <w:r>
        <w:rPr>
          <w:rFonts w:ascii="Arial" w:hAnsi="Arial"/>
          <w:sz w:val="22"/>
        </w:rPr>
        <w:t xml:space="preserve">de conclusão de ciclo</w:t>
      </w:r>
      <w:r>
        <w:rPr>
          <w:rFonts w:ascii="Arial" w:hAnsi="Arial"/>
          <w:sz w:val="22"/>
        </w:rPr>
        <w:t xml:space="preserve"> </w:t>
      </w:r>
      <w:r>
        <w:rPr>
          <w:rFonts w:ascii="Arial" w:hAnsi="Arial"/>
          <w:sz w:val="22"/>
        </w:rPr>
        <w:t xml:space="preserve">— fundamental completo ou mais, médio completo ou mais, superior completo ou mais e</w:t>
      </w:r>
      <w:r>
        <w:rPr>
          <w:rFonts w:ascii="Arial" w:hAnsi="Arial"/>
          <w:sz w:val="22"/>
        </w:rPr>
        <w:t xml:space="preserve"> </w:t>
      </w:r>
      <w:r>
        <w:rPr>
          <w:rFonts w:ascii="Arial" w:hAnsi="Arial"/>
          <w:sz w:val="22"/>
        </w:rPr>
        <w:t xml:space="preserve">pós-graduação (superior completo cujo curso mais elevado frequentado, V3009A, é</w:t>
      </w:r>
      <w:r>
        <w:rPr>
          <w:rFonts w:ascii="Arial" w:hAnsi="Arial"/>
          <w:sz w:val="22"/>
        </w:rPr>
        <w:t xml:space="preserve"> </w:t>
      </w:r>
      <w:r>
        <w:rPr>
          <w:rFonts w:ascii="Arial" w:hAnsi="Arial"/>
          <w:sz w:val="22"/>
        </w:rPr>
        <w:t xml:space="preserve">especialização, mestrado ou doutorado). Cada coeficiente é, assim, o ganho marginal de</w:t>
      </w:r>
      <w:r>
        <w:rPr>
          <w:rFonts w:ascii="Arial" w:hAnsi="Arial"/>
          <w:sz w:val="22"/>
        </w:rPr>
        <w:t xml:space="preserve"> </w:t>
      </w:r>
      <w:r>
        <w:rPr>
          <w:rFonts w:ascii="Arial" w:hAnsi="Arial"/>
          <w:sz w:val="22"/>
        </w:rPr>
        <w:t xml:space="preserve">completar o ciclo seguinte, e a variável cobre toda a população analisada.</w:t>
      </w:r>
    </w:p>
    <w:p>
      <w:pPr>
        <w:pStyle w:val="BodyText"/>
        <w:spacing w:line="360" w:lineRule="auto" w:after="0"/>
        <w:ind w:firstLine="709"/>
        <w:jc w:val="both"/>
      </w:pPr>
      <w:r>
        <w:rPr>
          <w:rFonts w:ascii="Arial" w:hAnsi="Arial"/>
          <w:b/>
          <w:bCs/>
          <w:sz w:val="22"/>
        </w:rPr>
        <w:t xml:space="preserve">O que é a UPA e por que este trabalho a chama de bairro.</w:t>
      </w:r>
      <w:r>
        <w:rPr>
          <w:rFonts w:ascii="Arial" w:hAnsi="Arial"/>
          <w:sz w:val="22"/>
        </w:rPr>
        <w:t xml:space="preserve"> </w:t>
      </w:r>
      <w:r>
        <w:rPr>
          <w:rFonts w:ascii="Arial" w:hAnsi="Arial"/>
          <w:sz w:val="22"/>
        </w:rPr>
        <w:t xml:space="preserve">A Unidade Primária de Amostragem (UPA)</w:t>
      </w:r>
      <w:r>
        <w:rPr>
          <w:rFonts w:ascii="Arial" w:hAnsi="Arial"/>
          <w:sz w:val="22"/>
        </w:rPr>
        <w:t xml:space="preserve"> </w:t>
      </w:r>
      <w:r>
        <w:rPr>
          <w:rFonts w:ascii="Arial" w:hAnsi="Arial"/>
          <w:sz w:val="22"/>
        </w:rPr>
        <w:t xml:space="preserve">não</w:t>
      </w:r>
      <w:r>
        <w:rPr>
          <w:rFonts w:ascii="Arial" w:hAnsi="Arial"/>
          <w:sz w:val="22"/>
        </w:rPr>
        <w:t xml:space="preserve"> </w:t>
      </w:r>
      <w:r>
        <w:rPr>
          <w:rFonts w:ascii="Arial" w:hAnsi="Arial"/>
          <w:sz w:val="22"/>
        </w:rPr>
        <w:t xml:space="preserve">é um recorte criado para este trabalho: é</w:t>
      </w:r>
      <w:r>
        <w:rPr>
          <w:rFonts w:ascii="Arial" w:hAnsi="Arial"/>
          <w:sz w:val="22"/>
        </w:rPr>
        <w:t xml:space="preserve"> </w:t>
      </w:r>
      <w:r>
        <w:rPr>
          <w:rFonts w:ascii="Arial" w:hAnsi="Arial"/>
          <w:sz w:val="22"/>
        </w:rPr>
        <w:t xml:space="preserve">a unidade do desenho amostral da própria PNAD Contínua</w:t>
      </w:r>
      <w:r>
        <w:rPr>
          <w:rFonts w:ascii="Arial" w:hAnsi="Arial"/>
          <w:sz w:val="22"/>
        </w:rPr>
        <w:t xml:space="preserve"> </w:t>
      </w:r>
      <w:r>
        <w:rPr>
          <w:rFonts w:ascii="Arial" w:hAnsi="Arial"/>
          <w:sz w:val="22"/>
        </w:rPr>
        <w:t xml:space="preserve">(IBGE, 2023)</w:t>
      </w:r>
      <w:r>
        <w:rPr>
          <w:rFonts w:ascii="Arial" w:hAnsi="Arial"/>
          <w:sz w:val="22"/>
        </w:rPr>
        <w:t xml:space="preserve">. Em cada estrato,</w:t>
      </w:r>
      <w:r>
        <w:rPr>
          <w:rFonts w:ascii="Arial" w:hAnsi="Arial"/>
          <w:sz w:val="22"/>
        </w:rPr>
        <w:t xml:space="preserve"> </w:t>
      </w:r>
      <w:r>
        <w:rPr>
          <w:rFonts w:ascii="Arial" w:hAnsi="Arial"/>
          <w:sz w:val="22"/>
        </w:rPr>
        <w:t xml:space="preserve">o IBGE sorteia setores censitários — ou pequenos conjuntos de setores vizinhos, quando um</w:t>
      </w:r>
      <w:r>
        <w:rPr>
          <w:rFonts w:ascii="Arial" w:hAnsi="Arial"/>
          <w:sz w:val="22"/>
        </w:rPr>
        <w:t xml:space="preserve"> </w:t>
      </w:r>
      <w:r>
        <w:rPr>
          <w:rFonts w:ascii="Arial" w:hAnsi="Arial"/>
          <w:sz w:val="22"/>
        </w:rPr>
        <w:t xml:space="preserve">setor tem poucos domicílios — e, dentro de cada um, um grupo de domicílios que é entrevistado</w:t>
      </w:r>
      <w:r>
        <w:rPr>
          <w:rFonts w:ascii="Arial" w:hAnsi="Arial"/>
          <w:sz w:val="22"/>
        </w:rPr>
        <w:t xml:space="preserve"> </w:t>
      </w:r>
      <w:r>
        <w:rPr>
          <w:rFonts w:ascii="Arial" w:hAnsi="Arial"/>
          <w:sz w:val="22"/>
        </w:rPr>
        <w:t xml:space="preserve">em cinco trimestres consecutivos. O código da UPA vem no microdado público (variável</w:t>
      </w:r>
      <w:r>
        <w:rPr>
          <w:rFonts w:ascii="Arial" w:hAnsi="Arial"/>
          <w:sz w:val="22"/>
        </w:rPr>
        <w:t xml:space="preserve"> </w:t>
      </w:r>
      <w:r>
        <w:rPr>
          <w:rStyle w:val="VerbatimChar"/>
          <w:rFonts w:ascii="Arial" w:hAnsi="Arial"/>
          <w:sz w:val="22"/>
        </w:rPr>
        <w:t xml:space="preserve">UPA</w:t>
      </w:r>
      <w:r>
        <w:rPr>
          <w:rFonts w:ascii="Arial" w:hAnsi="Arial"/>
          <w:sz w:val="22"/>
        </w:rPr>
        <w:t xml:space="preserve">), e é isso que permite saber quais entrevistados moram perto uns dos outros. Como</w:t>
      </w:r>
      <w:r>
        <w:rPr>
          <w:rFonts w:ascii="Arial" w:hAnsi="Arial"/>
          <w:sz w:val="22"/>
        </w:rPr>
        <w:t xml:space="preserve"> </w:t>
      </w:r>
      <w:r>
        <w:rPr>
          <w:rFonts w:ascii="Arial" w:hAnsi="Arial"/>
          <w:sz w:val="22"/>
        </w:rPr>
        <w:t xml:space="preserve">o setor censitário reúne algumas centenas de domicílios contíguos, a UPA é a menor unidade</w:t>
      </w:r>
      <w:r>
        <w:rPr>
          <w:rFonts w:ascii="Arial" w:hAnsi="Arial"/>
          <w:sz w:val="22"/>
        </w:rPr>
        <w:t xml:space="preserve"> </w:t>
      </w:r>
      <w:r>
        <w:rPr>
          <w:rFonts w:ascii="Arial" w:hAnsi="Arial"/>
          <w:sz w:val="22"/>
        </w:rPr>
        <w:t xml:space="preserve">territorial que a PNAD identifica e a mais próxima da ideia de vizinhança; por isso, ao longo</w:t>
      </w:r>
      <w:r>
        <w:rPr>
          <w:rFonts w:ascii="Arial" w:hAnsi="Arial"/>
          <w:sz w:val="22"/>
        </w:rPr>
        <w:t xml:space="preserve"> </w:t>
      </w:r>
      <w:r>
        <w:rPr>
          <w:rFonts w:ascii="Arial" w:hAnsi="Arial"/>
          <w:sz w:val="22"/>
        </w:rPr>
        <w:t xml:space="preserve">do texto, ela é chamada de</w:t>
      </w:r>
      <w:r>
        <w:rPr>
          <w:rFonts w:ascii="Arial" w:hAnsi="Arial"/>
          <w:sz w:val="22"/>
        </w:rPr>
        <w:t xml:space="preserve"> </w:t>
      </w:r>
      <w:r>
        <w:rPr>
          <w:rFonts w:ascii="Arial" w:hAnsi="Arial"/>
          <w:sz w:val="22"/>
        </w:rPr>
        <w:t xml:space="preserve">bairro</w:t>
      </w:r>
      <w:r>
        <w:rPr>
          <w:rFonts w:ascii="Arial" w:hAnsi="Arial"/>
          <w:sz w:val="22"/>
        </w:rPr>
        <w:t xml:space="preserve">. A correspondência é aproximada, e convém dizê-lo:</w:t>
      </w:r>
      <w:r>
        <w:rPr>
          <w:rFonts w:ascii="Arial" w:hAnsi="Arial"/>
          <w:sz w:val="22"/>
        </w:rPr>
        <w:t xml:space="preserve"> </w:t>
      </w:r>
      <w:r>
        <w:rPr>
          <w:rFonts w:ascii="Arial" w:hAnsi="Arial"/>
          <w:sz w:val="22"/>
        </w:rPr>
        <w:t xml:space="preserve">a UPA costuma ser menor que um bairro administrativo de cidade grande e, na zona rural, pode</w:t>
      </w:r>
      <w:r>
        <w:rPr>
          <w:rFonts w:ascii="Arial" w:hAnsi="Arial"/>
          <w:sz w:val="22"/>
        </w:rPr>
        <w:t xml:space="preserve"> </w:t>
      </w:r>
      <w:r>
        <w:rPr>
          <w:rFonts w:ascii="Arial" w:hAnsi="Arial"/>
          <w:sz w:val="22"/>
        </w:rPr>
        <w:t xml:space="preserve">cobrir uma área extensa. Onde a precisão técnica importa — equações do modelo, componentes de</w:t>
      </w:r>
      <w:r>
        <w:rPr>
          <w:rFonts w:ascii="Arial" w:hAnsi="Arial"/>
          <w:sz w:val="22"/>
        </w:rPr>
        <w:t xml:space="preserve"> </w:t>
      </w:r>
      <w:r>
        <w:rPr>
          <w:rFonts w:ascii="Arial" w:hAnsi="Arial"/>
          <w:sz w:val="22"/>
        </w:rPr>
        <w:t xml:space="preserve">variância, erros-padrão agrupados —, o texto usa UPA; no restante, bairro.</w:t>
      </w:r>
    </w:p>
    <w:p>
      <w:pPr>
        <w:pStyle w:val="BodyText"/>
        <w:spacing w:line="360" w:lineRule="auto" w:after="0"/>
        <w:ind w:firstLine="709"/>
        <w:jc w:val="both"/>
      </w:pPr>
      <w:r>
        <w:rPr>
          <w:rFonts w:ascii="Arial" w:hAnsi="Arial"/>
          <w:sz w:val="22"/>
        </w:rPr>
        <w:t xml:space="preserve">A classificação racial segue o critério binário adotado pelos estudos</w:t>
      </w:r>
      <w:r>
        <w:rPr>
          <w:rFonts w:ascii="Arial" w:hAnsi="Arial"/>
          <w:sz w:val="22"/>
        </w:rPr>
        <w:t xml:space="preserve"> </w:t>
      </w:r>
      <w:r>
        <w:rPr>
          <w:rFonts w:ascii="Arial" w:hAnsi="Arial"/>
          <w:sz w:val="22"/>
        </w:rPr>
        <w:t xml:space="preserve">de desigualdade racial no Brasil:</w:t>
      </w:r>
      <w:r>
        <w:rPr>
          <w:rFonts w:ascii="Arial" w:hAnsi="Arial"/>
          <w:sz w:val="22"/>
        </w:rPr>
        <w:t xml:space="preserve"> </w:t>
      </w:r>
      <w:r>
        <w:rPr>
          <w:rFonts w:ascii="Arial" w:hAnsi="Arial"/>
          <w:sz w:val="22"/>
        </w:rPr>
        <w:t xml:space="preserve">negro</w:t>
      </w:r>
      <w:r>
        <w:rPr>
          <w:rFonts w:ascii="Arial" w:hAnsi="Arial"/>
          <w:sz w:val="22"/>
        </w:rPr>
        <w:t xml:space="preserve"> </w:t>
      </w:r>
      <w:r>
        <w:rPr>
          <w:rFonts w:ascii="Arial" w:hAnsi="Arial"/>
          <w:sz w:val="22"/>
        </w:rPr>
        <w:t xml:space="preserve">= preto (código 2) +</w:t>
      </w:r>
      <w:r>
        <w:rPr>
          <w:rFonts w:ascii="Arial" w:hAnsi="Arial"/>
          <w:sz w:val="22"/>
        </w:rPr>
        <w:t xml:space="preserve"> </w:t>
      </w:r>
      <w:r>
        <w:rPr>
          <w:rFonts w:ascii="Arial" w:hAnsi="Arial"/>
          <w:sz w:val="22"/>
        </w:rPr>
        <w:t xml:space="preserve">pardo (código 4);</w:t>
      </w:r>
      <w:r>
        <w:rPr>
          <w:rFonts w:ascii="Arial" w:hAnsi="Arial"/>
          <w:sz w:val="22"/>
        </w:rPr>
        <w:t xml:space="preserve"> </w:t>
      </w:r>
      <w:r>
        <w:rPr>
          <w:rFonts w:ascii="Arial" w:hAnsi="Arial"/>
          <w:sz w:val="22"/>
        </w:rPr>
        <w:t xml:space="preserve">branco</w:t>
      </w:r>
      <w:r>
        <w:rPr>
          <w:rFonts w:ascii="Arial" w:hAnsi="Arial"/>
          <w:sz w:val="22"/>
        </w:rPr>
        <w:t xml:space="preserve"> </w:t>
      </w:r>
      <w:r>
        <w:rPr>
          <w:rFonts w:ascii="Arial" w:hAnsi="Arial"/>
          <w:sz w:val="22"/>
        </w:rPr>
        <w:t xml:space="preserve">= branco (código 1), ambos da variável</w:t>
      </w:r>
      <w:r>
        <w:rPr>
          <w:rFonts w:ascii="Arial" w:hAnsi="Arial"/>
          <w:sz w:val="22"/>
        </w:rPr>
        <w:t xml:space="preserve"> </w:t>
      </w:r>
      <w:r>
        <w:rPr>
          <w:rFonts w:ascii="Arial" w:hAnsi="Arial"/>
          <w:sz w:val="22"/>
        </w:rPr>
        <w:t xml:space="preserve">V2010 (cor ou raça autodeclarada).</w:t>
      </w:r>
    </w:p>
    <w:p>
      <w:pPr>
        <w:pStyle w:val="BodyText"/>
        <w:spacing w:line="360" w:lineRule="auto" w:after="0"/>
        <w:ind w:firstLine="709"/>
        <w:jc w:val="both"/>
      </w:pPr>
      <w:r>
        <w:rPr>
          <w:rFonts w:ascii="Arial" w:hAnsi="Arial"/>
          <w:b/>
          <w:bCs/>
          <w:sz w:val="22"/>
        </w:rPr>
        <w:t xml:space="preserve">De que é feita a comparação: balanceamento e suporte comum.</w:t>
      </w:r>
      <w:r>
        <w:rPr>
          <w:rFonts w:ascii="Arial" w:hAnsi="Arial"/>
          <w:sz w:val="22"/>
        </w:rPr>
        <w:t xml:space="preserve"> </w:t>
      </w:r>
      <w:r>
        <w:rPr>
          <w:rFonts w:ascii="Arial" w:hAnsi="Arial"/>
          <w:sz w:val="22"/>
        </w:rPr>
        <w:t xml:space="preserve">Antes de qualquer controle, convém olhar em que brancos e negros diferem — é o que</w:t>
      </w:r>
      <w:r>
        <w:rPr>
          <w:rFonts w:ascii="Arial" w:hAnsi="Arial"/>
          <w:sz w:val="22"/>
        </w:rPr>
        <w:t xml:space="preserve"> </w:t>
      </w:r>
      <w:r>
        <w:rPr>
          <w:rFonts w:ascii="Arial" w:hAnsi="Arial"/>
          <w:sz w:val="22"/>
        </w:rPr>
        <w:t xml:space="preserve">mostra a Tabela 1. O maior desequilíbrio não está em escolaridade</w:t>
      </w:r>
      <w:r>
        <w:rPr>
          <w:rFonts w:ascii="Arial" w:hAnsi="Arial"/>
          <w:sz w:val="22"/>
        </w:rPr>
        <w:t xml:space="preserve"> </w:t>
      </w:r>
      <w:r>
        <w:rPr>
          <w:rFonts w:ascii="Arial" w:hAnsi="Arial"/>
          <w:sz w:val="22"/>
        </w:rPr>
        <w:t xml:space="preserve">nem em horas: está em</w:t>
      </w:r>
      <w:r>
        <w:rPr>
          <w:rFonts w:ascii="Arial" w:hAnsi="Arial"/>
          <w:sz w:val="22"/>
        </w:rPr>
        <w:t xml:space="preserve"> </w:t>
      </w:r>
      <w:r>
        <w:rPr>
          <w:rFonts w:ascii="Arial" w:hAnsi="Arial"/>
          <w:sz w:val="22"/>
        </w:rPr>
        <w:t xml:space="preserve">onde se mora</w:t>
      </w:r>
      <w:r>
        <w:rPr>
          <w:rFonts w:ascii="Arial" w:hAnsi="Arial"/>
          <w:sz w:val="22"/>
        </w:rPr>
        <w:t xml:space="preserve">. A composição racial do bairro tem diferença</w:t>
      </w:r>
      <w:r>
        <w:rPr>
          <w:rFonts w:ascii="Arial" w:hAnsi="Arial"/>
          <w:sz w:val="22"/>
        </w:rPr>
        <w:t xml:space="preserve"> </w:t>
      </w:r>
      <w:r>
        <w:rPr>
          <w:rFonts w:ascii="Arial" w:hAnsi="Arial"/>
          <w:sz w:val="22"/>
        </w:rPr>
        <w:t xml:space="preserve">padronizada de −1,17 desvios — uma ordem de grandeza acima de qualquer variável</w:t>
      </w:r>
      <w:r>
        <w:rPr>
          <w:rFonts w:ascii="Arial" w:hAnsi="Arial"/>
          <w:sz w:val="22"/>
        </w:rPr>
        <w:t xml:space="preserve"> </w:t>
      </w:r>
      <w:r>
        <w:rPr>
          <w:rFonts w:ascii="Arial" w:hAnsi="Arial"/>
          <w:sz w:val="22"/>
        </w:rPr>
        <w:t xml:space="preserve">individual —, seguida do desemprego local (−0,46) e da educação média do entorno</w:t>
      </w:r>
      <w:r>
        <w:rPr>
          <w:rFonts w:ascii="Arial" w:hAnsi="Arial"/>
          <w:sz w:val="22"/>
        </w:rPr>
        <w:t xml:space="preserve"> </w:t>
      </w:r>
      <w:r>
        <w:rPr>
          <w:rFonts w:ascii="Arial" w:hAnsi="Arial"/>
          <w:sz w:val="22"/>
        </w:rPr>
        <w:t xml:space="preserve">(0,42). É esse desequilíbrio que o nível 2 do modelo hierárquico absorve.</w:t>
      </w:r>
      <w:r>
        <w:rPr>
          <w:rFonts w:ascii="Arial" w:hAnsi="Arial"/>
          <w:sz w:val="22"/>
        </w:rPr>
        <w:t xml:space="preserve"> </w:t>
      </w:r>
      <w:r>
        <w:rPr>
          <w:rFonts w:ascii="Arial" w:hAnsi="Arial"/>
          <w:sz w:val="22"/>
        </w:rPr>
        <w:t xml:space="preserve">O suporte comum é amplo: 97,2% das UPAs abrigam trabalhadores dos dois</w:t>
      </w:r>
      <w:r>
        <w:rPr>
          <w:rFonts w:ascii="Arial" w:hAnsi="Arial"/>
          <w:sz w:val="22"/>
        </w:rPr>
        <w:t xml:space="preserve"> </w:t>
      </w:r>
      <w:r>
        <w:rPr>
          <w:rFonts w:ascii="Arial" w:hAnsi="Arial"/>
          <w:sz w:val="22"/>
        </w:rPr>
        <w:t xml:space="preserve">grupos e todas as células UF </w:t>
      </w:r>
      <m:oMath>
        <m:r>
          <m:rPr>
            <m:sty m:val="p"/>
          </m:rPr>
          <m:t>×</m:t>
        </m:r>
      </m:oMath>
      <w:r>
        <w:rPr>
          <w:rFonts w:ascii="Arial" w:hAnsi="Arial"/>
          <w:sz w:val="22"/>
        </w:rPr>
        <w:t xml:space="preserve"> escolaridade contêm brancos e negros, de modo que a</w:t>
      </w:r>
      <w:r>
        <w:rPr>
          <w:rFonts w:ascii="Arial" w:hAnsi="Arial"/>
          <w:sz w:val="22"/>
        </w:rPr>
        <w:t xml:space="preserve"> </w:t>
      </w:r>
      <w:r>
        <w:rPr>
          <w:rFonts w:ascii="Arial" w:hAnsi="Arial"/>
          <w:sz w:val="22"/>
        </w:rPr>
        <w:t xml:space="preserve">comparação não depende de extrapolação</w:t>
      </w:r>
      <w:r>
        <w:rPr>
          <w:rFonts w:ascii="Arial" w:hAnsi="Arial"/>
          <w:sz w:val="22"/>
        </w:rPr>
        <w:t xml:space="preserve"> </w:t>
      </w:r>
      <w:r>
        <w:rPr>
          <w:rFonts w:ascii="Arial" w:hAnsi="Arial"/>
          <w:sz w:val="22"/>
        </w:rPr>
        <w:t xml:space="preserve">(Angrist; Pischke, 2009)</w:t>
      </w:r>
      <w:r>
        <w:rPr>
          <w:rFonts w:ascii="Arial" w:hAnsi="Arial"/>
          <w:sz w:val="22"/>
        </w:rPr>
        <w:t xml:space="preserve">.</w:t>
      </w:r>
    </w:p>
    <w:bookmarkStart w:id="23" w:name="tab:balanceamento"/>
    <w:p>
      <w:pPr>
        <w:pStyle w:val="TableCaption"/>
        <w:keepNext/>
        <w:keepLines/>
        <w:spacing w:line="240" w:lineRule="auto" w:before="240" w:after="40"/>
        <w:ind w:firstLine="0"/>
        <w:jc w:val="both"/>
      </w:pPr>
      <w:r>
        <w:rPr>
          <w:rFonts w:ascii="Arial" w:hAnsi="Arial"/>
          <w:sz w:val="22"/>
        </w:rPr>
        <w:t xml:space="preserve">Tabela 1. Balanceamento entre trabalhadores brancos e negros</w:t>
      </w:r>
      <w:r>
        <w:rPr>
          <w:rFonts w:ascii="Arial" w:hAnsi="Arial"/>
          <w:sz w:val="22"/>
        </w:rPr>
        <w:t xml:space="preserve"> </w:t>
      </w:r>
      <w:r>
        <w:rPr>
          <w:rFonts w:ascii="Arial" w:hAnsi="Arial"/>
          <w:sz w:val="22"/>
        </w:rPr>
        <w:t xml:space="preserve">antes</w:t>
      </w:r>
      <w:r>
        <w:rPr>
          <w:rFonts w:ascii="Arial" w:hAnsi="Arial"/>
          <w:sz w:val="22"/>
        </w:rPr>
        <w:t xml:space="preserve"> </w:t>
      </w:r>
      <w:r>
        <w:rPr>
          <w:rFonts w:ascii="Arial" w:hAnsi="Arial"/>
          <w:sz w:val="22"/>
        </w:rPr>
        <w:t xml:space="preserve">de qualquer</w:t>
      </w:r>
      <w:r>
        <w:rPr>
          <w:rFonts w:ascii="Arial" w:hAnsi="Arial"/>
          <w:sz w:val="22"/>
        </w:rPr>
        <w:t xml:space="preserve"> </w:t>
      </w:r>
      <w:r>
        <w:rPr>
          <w:rFonts w:ascii="Arial" w:hAnsi="Arial"/>
          <w:sz w:val="22"/>
        </w:rPr>
        <w:t xml:space="preserve">controle — a tabela que mostra de que é feita a comparação (Angrist &amp; Pischke, cap. 3).</w:t>
      </w:r>
      <w:r>
        <w:rPr>
          <w:rFonts w:ascii="Arial" w:hAnsi="Arial"/>
          <w:sz w:val="22"/>
        </w:rPr>
        <w:t xml:space="preserve"> </w:t>
      </w:r>
      <w:r>
        <w:rPr>
          <w:rFonts w:ascii="Arial" w:hAnsi="Arial"/>
          <w:sz w:val="22"/>
        </w:rPr>
        <w:t xml:space="preserve">Diferença padronizada:</w:t>
      </w:r>
      <w:r>
        <w:rPr>
          <w:rFonts w:ascii="Arial" w:hAnsi="Arial"/>
          <w:sz w:val="22"/>
        </w:rPr>
        <w:t xml:space="preserve"> </w:t>
      </w:r>
      <m:oMath>
        <m:r>
          <m:t>d</m:t>
        </m:r>
        <m:r>
          <m:rPr>
            <m:sty m:val="p"/>
          </m:rPr>
          <m:t>=</m:t>
        </m:r>
        <m:r>
          <m:rPr>
            <m:sty m:val="p"/>
          </m:rPr>
          <m:t>(</m:t>
        </m:r>
        <m:sSub>
          <m:e>
            <m:acc>
              <m:accPr>
                <m:chr m:val="‾"/>
              </m:accPr>
              <m:e>
                <m:r>
                  <m:t>x</m:t>
                </m:r>
              </m:e>
            </m:acc>
          </m:e>
          <m:sub>
            <m:r>
              <m:t>b</m:t>
            </m:r>
          </m:sub>
        </m:sSub>
        <m:r>
          <m:rPr>
            <m:sty m:val="p"/>
          </m:rPr>
          <m:t>−</m:t>
        </m:r>
        <m:sSub>
          <m:e>
            <m:acc>
              <m:accPr>
                <m:chr m:val="‾"/>
              </m:accPr>
              <m:e>
                <m:r>
                  <m:t>x</m:t>
                </m:r>
              </m:e>
            </m:acc>
          </m:e>
          <m:sub>
            <m:r>
              <m:t>n</m:t>
            </m:r>
          </m:sub>
        </m:sSub>
        <m:r>
          <m:rPr>
            <m:sty m:val="p"/>
          </m:rPr>
          <m:t>)</m:t>
        </m:r>
        <m:r>
          <m:rPr>
            <m:sty m:val="p"/>
          </m:rPr>
          <m:t>/</m:t>
        </m:r>
        <m:rad>
          <m:radPr>
            <m:degHide m:val="on"/>
          </m:radPr>
          <m:deg/>
          <m:e>
            <m:r>
              <m:rPr>
                <m:sty m:val="p"/>
              </m:rPr>
              <m:t>(</m:t>
            </m:r>
            <m:sSubSup>
              <m:e>
                <m:r>
                  <m:t>s</m:t>
                </m:r>
              </m:e>
              <m:sub>
                <m:r>
                  <m:t>b</m:t>
                </m:r>
              </m:sub>
              <m:sup>
                <m:r>
                  <m:t>2</m:t>
                </m:r>
              </m:sup>
            </m:sSubSup>
            <m:r>
              <m:rPr>
                <m:sty m:val="p"/>
              </m:rPr>
              <m:t>+</m:t>
            </m:r>
            <m:sSubSup>
              <m:e>
                <m:r>
                  <m:t>s</m:t>
                </m:r>
              </m:e>
              <m:sub>
                <m:r>
                  <m:t>n</m:t>
                </m:r>
              </m:sub>
              <m:sup>
                <m:r>
                  <m:t>2</m:t>
                </m:r>
              </m:sup>
            </m:sSubSup>
            <m:r>
              <m:rPr>
                <m:sty m:val="p"/>
              </m:rPr>
              <m:t>)</m:t>
            </m:r>
            <m:r>
              <m:rPr>
                <m:sty m:val="p"/>
              </m:rPr>
              <m:t>/</m:t>
            </m:r>
            <m:r>
              <m:t>2</m:t>
            </m:r>
          </m:e>
        </m:rad>
      </m:oMath>
      <w:r>
        <w:rPr>
          <w:rFonts w:ascii="Arial" w:hAnsi="Arial"/>
          <w:sz w:val="22"/>
        </w:rPr>
        <w:t xml:space="preserve">; valores acima de</w:t>
      </w:r>
      <w:r>
        <w:rPr>
          <w:rFonts w:ascii="Arial" w:hAnsi="Arial"/>
          <w:sz w:val="22"/>
        </w:rPr>
        <w:t xml:space="preserve"> </w:t>
      </w:r>
      <m:oMath>
        <m:r>
          <m:t>0</m:t>
        </m:r>
        <m:r>
          <m:rPr>
            <m:sty m:val="p"/>
          </m:rPr>
          <m:t>,</m:t>
        </m:r>
        <m:r>
          <m:t>10</m:t>
        </m:r>
      </m:oMath>
      <w:r>
        <w:rPr>
          <w:rFonts w:ascii="Arial" w:hAnsi="Arial"/>
          <w:sz w:val="22"/>
        </w:rPr>
        <w:t xml:space="preserve"> </w:t>
      </w:r>
      <w:r>
        <w:rPr>
          <w:rFonts w:ascii="Arial" w:hAnsi="Arial"/>
          <w:sz w:val="22"/>
        </w:rPr>
        <w:t xml:space="preserve">em módulo indicam desequilíbrio relevante. População completa da PEA com renda</w:t>
      </w:r>
      <w:r>
        <w:rPr>
          <w:rFonts w:ascii="Arial" w:hAnsi="Arial"/>
          <w:sz w:val="22"/>
        </w:rPr>
        <w:t xml:space="preserve"> </w:t>
      </w:r>
      <w:r>
        <w:rPr>
          <w:rFonts w:ascii="Arial" w:hAnsi="Arial"/>
          <w:sz w:val="22"/>
        </w:rPr>
        <w:t xml:space="preserve">positiva (</w:t>
      </w:r>
      <m:oMath>
        <m:r>
          <m:t>N</m:t>
        </m:r>
        <m:r>
          <m:rPr>
            <m:sty m:val="p"/>
          </m:rPr>
          <m:t>=</m:t>
        </m:r>
        <m:r>
          <m:t>7.699</m:t>
        </m:r>
        <m:r>
          <m:t>.278</m:t>
        </m:r>
      </m:oMath>
      <w:r>
        <w:rPr>
          <w:rFonts w:ascii="Arial" w:hAnsi="Arial"/>
          <w:sz w:val="22"/>
        </w:rPr>
        <w:t xml:space="preserve">; 3.271.443 brancos e 4.427.835 negros).</w:t>
      </w:r>
    </w:p>
    <w:tbl>
      <w:tblPr>
        <w:tblStyle w:val="Table"/>
        <w:tblW w:type="auto" w:w="0"/>
        <w:tblLayout w:type="fixed"/>
        <w:tblLook w:firstRow="1" w:lastRow="0" w:firstColumn="0" w:lastColumn="0" w:noHBand="0" w:noVBand="0" w:val="0020"/>
        <w:tblCaption w:val="Tabela 1. Balanceamento entre trabalhadores brancos e negros antes de qualquer controle — a tabela que mostra de que é feita a comparação (Angrist &amp; Pischke, cap. 3). Diferença padronizada: d = (\bar x_b - \bar x_n)/\sqrt{(s_b^2+s_n^2)/2}; valores acima de 0{,}10 em módulo indicam desequilíbrio relevante. População completa da PEA com renda positiva (N = 7.699.278; 3.271.443 brancos e 4.427.835 negros)."/>
        <w:tblBorders>
          <w:top w:val="nil"/>
          <w:left w:val="nil"/>
          <w:bottom w:val="nil"/>
          <w:right w:val="nil"/>
          <w:insideH w:val="nil"/>
          <w:insideV w:val="nil"/>
        </w:tblBorders>
      </w:tblPr>
      <w:tblGrid>
        <w:gridCol w:w="4141"/>
        <w:gridCol w:w="1344"/>
        <w:gridCol w:w="1120"/>
        <w:gridCol w:w="1344"/>
        <w:gridCol w:w="1120"/>
      </w:tblGrid>
      <w:tr>
        <w:trPr>
          <w:tblHeader w:val="on"/>
          <w:cantSplit/>
        </w:trPr>
        <w:tc>
          <w:tcPr>
            <w:tcW w:type="dxa" w:w="4141"/>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Variável</w:t>
            </w:r>
          </w:p>
        </w:tc>
        <w:tc>
          <w:tcPr>
            <w:tcW w:type="dxa" w:w="1344"/>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Brancos</w:t>
            </w:r>
          </w:p>
        </w:tc>
        <w:tc>
          <w:tcPr>
            <w:tcW w:type="dxa" w:w="1120"/>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Negros</w:t>
            </w:r>
          </w:p>
        </w:tc>
        <w:tc>
          <w:tcPr>
            <w:tcW w:type="dxa" w:w="1344"/>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Diferença</w:t>
            </w:r>
          </w:p>
        </w:tc>
        <w:tc>
          <w:tcPr>
            <w:tcW w:type="dxa" w:w="1120"/>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i/>
                <w:iCs/>
                <w:sz w:val="20"/>
              </w:rPr>
              <w:t xml:space="preserve">d</w:t>
            </w:r>
          </w:p>
        </w:tc>
      </w:tr>
      <w:tr>
        <w:trPr>
          <w:cantSplit/>
        </w:trPr>
        <w:tc>
          <w:tcPr>
            <w:tcW w:type="dxa" w:w="4141"/>
          </w:tcPr>
          <w:p>
            <w:pPr>
              <w:pStyle w:val="Compact"/>
              <w:keepNext/>
              <w:spacing w:line="240" w:lineRule="auto" w:after="0"/>
              <w:ind w:firstLine="0"/>
              <w:jc w:val="left"/>
            </w:pPr>
            <w:r>
              <w:rPr>
                <w:rFonts w:ascii="Arial" w:hAnsi="Arial"/>
                <w:b w:val="0"/>
                <w:sz w:val="20"/>
              </w:rPr>
              <w:t xml:space="preserve">log do rendimento</w:t>
            </w:r>
          </w:p>
        </w:tc>
        <w:tc>
          <w:tcPr>
            <w:tcW w:type="dxa" w:w="1344"/>
          </w:tcPr>
          <w:p>
            <w:pPr>
              <w:pStyle w:val="Compact"/>
              <w:keepNext/>
              <w:spacing w:line="240" w:lineRule="auto" w:after="0"/>
              <w:ind w:firstLine="0"/>
              <w:jc w:val="right"/>
            </w:pPr>
            <w:r>
              <w:rPr>
                <w:rFonts w:ascii="Arial" w:hAnsi="Arial"/>
                <w:b w:val="0"/>
                <w:sz w:val="20"/>
              </w:rPr>
              <w:t xml:space="preserve">7,872</w:t>
            </w:r>
          </w:p>
        </w:tc>
        <w:tc>
          <w:tcPr>
            <w:tcW w:type="dxa" w:w="1120"/>
          </w:tcPr>
          <w:p>
            <w:pPr>
              <w:pStyle w:val="Compact"/>
              <w:keepNext/>
              <w:spacing w:line="240" w:lineRule="auto" w:after="0"/>
              <w:ind w:firstLine="0"/>
              <w:jc w:val="right"/>
            </w:pPr>
            <w:r>
              <w:rPr>
                <w:rFonts w:ascii="Arial" w:hAnsi="Arial"/>
                <w:b w:val="0"/>
                <w:sz w:val="20"/>
              </w:rPr>
              <w:t xml:space="preserve">7,447</w:t>
            </w:r>
          </w:p>
        </w:tc>
        <w:tc>
          <w:tcPr>
            <w:tcW w:type="dxa" w:w="1344"/>
          </w:tcPr>
          <w:p>
            <w:pPr>
              <w:pStyle w:val="Compact"/>
              <w:keepNext/>
              <w:spacing w:line="240" w:lineRule="auto" w:after="0"/>
              <w:ind w:firstLine="0"/>
              <w:jc w:val="right"/>
            </w:pPr>
            <w:r>
              <w:rPr>
                <w:rFonts w:ascii="Arial" w:hAnsi="Arial"/>
                <w:b w:val="0"/>
                <w:sz w:val="20"/>
              </w:rPr>
              <w:t xml:space="preserve">0,425</w:t>
            </w:r>
          </w:p>
        </w:tc>
        <w:tc>
          <w:tcPr>
            <w:tcW w:type="dxa" w:w="1120"/>
          </w:tcPr>
          <w:p>
            <w:pPr>
              <w:pStyle w:val="Compact"/>
              <w:keepNext/>
              <w:spacing w:line="240" w:lineRule="auto" w:after="0"/>
              <w:ind w:firstLine="0"/>
              <w:jc w:val="right"/>
            </w:pPr>
            <w:r>
              <w:rPr>
                <w:rFonts w:ascii="Arial" w:hAnsi="Arial"/>
                <w:b w:val="0"/>
                <w:sz w:val="20"/>
              </w:rPr>
              <w:t xml:space="preserve">0,49</w:t>
            </w:r>
          </w:p>
        </w:tc>
      </w:tr>
      <w:tr>
        <w:trPr>
          <w:cantSplit/>
        </w:trPr>
        <w:tc>
          <w:tcPr>
            <w:tcW w:type="dxa" w:w="4141"/>
          </w:tcPr>
          <w:p>
            <w:pPr>
              <w:pStyle w:val="Compact"/>
              <w:keepNext/>
              <w:spacing w:line="240" w:lineRule="auto" w:after="0"/>
              <w:ind w:firstLine="0"/>
              <w:jc w:val="left"/>
            </w:pPr>
            <w:r>
              <w:rPr>
                <w:rFonts w:ascii="Arial" w:hAnsi="Arial"/>
                <w:b w:val="0"/>
                <w:sz w:val="20"/>
              </w:rPr>
              <w:t xml:space="preserve">Idade (centrada)</w:t>
            </w:r>
          </w:p>
        </w:tc>
        <w:tc>
          <w:tcPr>
            <w:tcW w:type="dxa" w:w="1344"/>
          </w:tcPr>
          <w:p>
            <w:pPr>
              <w:pStyle w:val="Compact"/>
              <w:keepNext/>
              <w:spacing w:line="240" w:lineRule="auto" w:after="0"/>
              <w:ind w:firstLine="0"/>
              <w:jc w:val="right"/>
            </w:pPr>
            <w:r>
              <w:rPr>
                <w:rFonts w:ascii="Arial" w:hAnsi="Arial"/>
                <w:b w:val="0"/>
                <w:sz w:val="20"/>
              </w:rPr>
              <w:t xml:space="preserve">−1,637</w:t>
            </w:r>
          </w:p>
        </w:tc>
        <w:tc>
          <w:tcPr>
            <w:tcW w:type="dxa" w:w="1120"/>
          </w:tcPr>
          <w:p>
            <w:pPr>
              <w:pStyle w:val="Compact"/>
              <w:keepNext/>
              <w:spacing w:line="240" w:lineRule="auto" w:after="0"/>
              <w:ind w:firstLine="0"/>
              <w:jc w:val="right"/>
            </w:pPr>
            <w:r>
              <w:rPr>
                <w:rFonts w:ascii="Arial" w:hAnsi="Arial"/>
                <w:b w:val="0"/>
                <w:sz w:val="20"/>
              </w:rPr>
              <w:t xml:space="preserve">−3,120</w:t>
            </w:r>
          </w:p>
        </w:tc>
        <w:tc>
          <w:tcPr>
            <w:tcW w:type="dxa" w:w="1344"/>
          </w:tcPr>
          <w:p>
            <w:pPr>
              <w:pStyle w:val="Compact"/>
              <w:keepNext/>
              <w:spacing w:line="240" w:lineRule="auto" w:after="0"/>
              <w:ind w:firstLine="0"/>
              <w:jc w:val="right"/>
            </w:pPr>
            <w:r>
              <w:rPr>
                <w:rFonts w:ascii="Arial" w:hAnsi="Arial"/>
                <w:b w:val="0"/>
                <w:sz w:val="20"/>
              </w:rPr>
              <w:t xml:space="preserve">1,483</w:t>
            </w:r>
          </w:p>
        </w:tc>
        <w:tc>
          <w:tcPr>
            <w:tcW w:type="dxa" w:w="1120"/>
          </w:tcPr>
          <w:p>
            <w:pPr>
              <w:pStyle w:val="Compact"/>
              <w:keepNext/>
              <w:spacing w:line="240" w:lineRule="auto" w:after="0"/>
              <w:ind w:firstLine="0"/>
              <w:jc w:val="right"/>
            </w:pPr>
            <w:r>
              <w:rPr>
                <w:rFonts w:ascii="Arial" w:hAnsi="Arial"/>
                <w:b w:val="0"/>
                <w:sz w:val="20"/>
              </w:rPr>
              <w:t xml:space="preserve">0,11</w:t>
            </w:r>
          </w:p>
        </w:tc>
      </w:tr>
      <w:tr>
        <w:trPr>
          <w:cantSplit/>
        </w:trPr>
        <w:tc>
          <w:tcPr>
            <w:tcW w:type="dxa" w:w="4141"/>
          </w:tcPr>
          <w:p>
            <w:pPr>
              <w:pStyle w:val="Compact"/>
              <w:keepNext/>
              <w:spacing w:line="240" w:lineRule="auto" w:after="0"/>
              <w:ind w:firstLine="0"/>
              <w:jc w:val="left"/>
            </w:pPr>
            <w:r>
              <w:rPr>
                <w:rFonts w:ascii="Arial" w:hAnsi="Arial"/>
                <w:b w:val="0"/>
                <w:sz w:val="20"/>
              </w:rPr>
              <w:t xml:space="preserve">Sexo feminino</w:t>
            </w:r>
          </w:p>
        </w:tc>
        <w:tc>
          <w:tcPr>
            <w:tcW w:type="dxa" w:w="1344"/>
          </w:tcPr>
          <w:p>
            <w:pPr>
              <w:pStyle w:val="Compact"/>
              <w:keepNext/>
              <w:spacing w:line="240" w:lineRule="auto" w:after="0"/>
              <w:ind w:firstLine="0"/>
              <w:jc w:val="right"/>
            </w:pPr>
            <w:r>
              <w:rPr>
                <w:rFonts w:ascii="Arial" w:hAnsi="Arial"/>
                <w:b w:val="0"/>
                <w:sz w:val="20"/>
              </w:rPr>
              <w:t xml:space="preserve">0,437</w:t>
            </w:r>
          </w:p>
        </w:tc>
        <w:tc>
          <w:tcPr>
            <w:tcW w:type="dxa" w:w="1120"/>
          </w:tcPr>
          <w:p>
            <w:pPr>
              <w:pStyle w:val="Compact"/>
              <w:keepNext/>
              <w:spacing w:line="240" w:lineRule="auto" w:after="0"/>
              <w:ind w:firstLine="0"/>
              <w:jc w:val="right"/>
            </w:pPr>
            <w:r>
              <w:rPr>
                <w:rFonts w:ascii="Arial" w:hAnsi="Arial"/>
                <w:b w:val="0"/>
                <w:sz w:val="20"/>
              </w:rPr>
              <w:t xml:space="preserve">0,399</w:t>
            </w:r>
          </w:p>
        </w:tc>
        <w:tc>
          <w:tcPr>
            <w:tcW w:type="dxa" w:w="1344"/>
          </w:tcPr>
          <w:p>
            <w:pPr>
              <w:pStyle w:val="Compact"/>
              <w:keepNext/>
              <w:spacing w:line="240" w:lineRule="auto" w:after="0"/>
              <w:ind w:firstLine="0"/>
              <w:jc w:val="right"/>
            </w:pPr>
            <w:r>
              <w:rPr>
                <w:rFonts w:ascii="Arial" w:hAnsi="Arial"/>
                <w:b w:val="0"/>
                <w:sz w:val="20"/>
              </w:rPr>
              <w:t xml:space="preserve">0,038</w:t>
            </w:r>
          </w:p>
        </w:tc>
        <w:tc>
          <w:tcPr>
            <w:tcW w:type="dxa" w:w="1120"/>
          </w:tcPr>
          <w:p>
            <w:pPr>
              <w:pStyle w:val="Compact"/>
              <w:keepNext/>
              <w:spacing w:line="240" w:lineRule="auto" w:after="0"/>
              <w:ind w:firstLine="0"/>
              <w:jc w:val="right"/>
            </w:pPr>
            <w:r>
              <w:rPr>
                <w:rFonts w:ascii="Arial" w:hAnsi="Arial"/>
                <w:b w:val="0"/>
                <w:sz w:val="20"/>
              </w:rPr>
              <w:t xml:space="preserve">0,08</w:t>
            </w:r>
          </w:p>
        </w:tc>
      </w:tr>
      <w:tr>
        <w:trPr>
          <w:cantSplit/>
        </w:trPr>
        <w:tc>
          <w:tcPr>
            <w:tcW w:type="dxa" w:w="4141"/>
          </w:tcPr>
          <w:p>
            <w:pPr>
              <w:pStyle w:val="Compact"/>
              <w:keepNext/>
              <w:spacing w:line="240" w:lineRule="auto" w:after="0"/>
              <w:ind w:firstLine="0"/>
              <w:jc w:val="left"/>
            </w:pPr>
            <w:r>
              <w:rPr>
                <w:rFonts w:ascii="Arial" w:hAnsi="Arial"/>
                <w:b w:val="0"/>
                <w:sz w:val="20"/>
              </w:rPr>
              <w:t xml:space="preserve">Fundamental completo ou mais</w:t>
            </w:r>
          </w:p>
        </w:tc>
        <w:tc>
          <w:tcPr>
            <w:tcW w:type="dxa" w:w="1344"/>
          </w:tcPr>
          <w:p>
            <w:pPr>
              <w:pStyle w:val="Compact"/>
              <w:keepNext/>
              <w:spacing w:line="240" w:lineRule="auto" w:after="0"/>
              <w:ind w:firstLine="0"/>
              <w:jc w:val="right"/>
            </w:pPr>
            <w:r>
              <w:rPr>
                <w:rFonts w:ascii="Arial" w:hAnsi="Arial"/>
                <w:b w:val="0"/>
                <w:sz w:val="20"/>
              </w:rPr>
              <w:t xml:space="preserve">0,790</w:t>
            </w:r>
          </w:p>
        </w:tc>
        <w:tc>
          <w:tcPr>
            <w:tcW w:type="dxa" w:w="1120"/>
          </w:tcPr>
          <w:p>
            <w:pPr>
              <w:pStyle w:val="Compact"/>
              <w:keepNext/>
              <w:spacing w:line="240" w:lineRule="auto" w:after="0"/>
              <w:ind w:firstLine="0"/>
              <w:jc w:val="right"/>
            </w:pPr>
            <w:r>
              <w:rPr>
                <w:rFonts w:ascii="Arial" w:hAnsi="Arial"/>
                <w:b w:val="0"/>
                <w:sz w:val="20"/>
              </w:rPr>
              <w:t xml:space="preserve">0,687</w:t>
            </w:r>
          </w:p>
        </w:tc>
        <w:tc>
          <w:tcPr>
            <w:tcW w:type="dxa" w:w="1344"/>
          </w:tcPr>
          <w:p>
            <w:pPr>
              <w:pStyle w:val="Compact"/>
              <w:keepNext/>
              <w:spacing w:line="240" w:lineRule="auto" w:after="0"/>
              <w:ind w:firstLine="0"/>
              <w:jc w:val="right"/>
            </w:pPr>
            <w:r>
              <w:rPr>
                <w:rFonts w:ascii="Arial" w:hAnsi="Arial"/>
                <w:b w:val="0"/>
                <w:sz w:val="20"/>
              </w:rPr>
              <w:t xml:space="preserve">0,103</w:t>
            </w:r>
          </w:p>
        </w:tc>
        <w:tc>
          <w:tcPr>
            <w:tcW w:type="dxa" w:w="1120"/>
          </w:tcPr>
          <w:p>
            <w:pPr>
              <w:pStyle w:val="Compact"/>
              <w:keepNext/>
              <w:spacing w:line="240" w:lineRule="auto" w:after="0"/>
              <w:ind w:firstLine="0"/>
              <w:jc w:val="right"/>
            </w:pPr>
            <w:r>
              <w:rPr>
                <w:rFonts w:ascii="Arial" w:hAnsi="Arial"/>
                <w:b w:val="0"/>
                <w:sz w:val="20"/>
              </w:rPr>
              <w:t xml:space="preserve">0,24</w:t>
            </w:r>
          </w:p>
        </w:tc>
      </w:tr>
      <w:tr>
        <w:trPr>
          <w:cantSplit/>
        </w:trPr>
        <w:tc>
          <w:tcPr>
            <w:tcW w:type="dxa" w:w="4141"/>
          </w:tcPr>
          <w:p>
            <w:pPr>
              <w:pStyle w:val="Compact"/>
              <w:keepNext/>
              <w:spacing w:line="240" w:lineRule="auto" w:after="0"/>
              <w:ind w:firstLine="0"/>
              <w:jc w:val="left"/>
            </w:pPr>
            <w:r>
              <w:rPr>
                <w:rFonts w:ascii="Arial" w:hAnsi="Arial"/>
                <w:b w:val="0"/>
                <w:sz w:val="20"/>
              </w:rPr>
              <w:t xml:space="preserve">Médio completo ou mais</w:t>
            </w:r>
          </w:p>
        </w:tc>
        <w:tc>
          <w:tcPr>
            <w:tcW w:type="dxa" w:w="1344"/>
          </w:tcPr>
          <w:p>
            <w:pPr>
              <w:pStyle w:val="Compact"/>
              <w:keepNext/>
              <w:spacing w:line="240" w:lineRule="auto" w:after="0"/>
              <w:ind w:firstLine="0"/>
              <w:jc w:val="right"/>
            </w:pPr>
            <w:r>
              <w:rPr>
                <w:rFonts w:ascii="Arial" w:hAnsi="Arial"/>
                <w:b w:val="0"/>
                <w:sz w:val="20"/>
              </w:rPr>
              <w:t xml:space="preserve">0,660</w:t>
            </w:r>
          </w:p>
        </w:tc>
        <w:tc>
          <w:tcPr>
            <w:tcW w:type="dxa" w:w="1120"/>
          </w:tcPr>
          <w:p>
            <w:pPr>
              <w:pStyle w:val="Compact"/>
              <w:keepNext/>
              <w:spacing w:line="240" w:lineRule="auto" w:after="0"/>
              <w:ind w:firstLine="0"/>
              <w:jc w:val="right"/>
            </w:pPr>
            <w:r>
              <w:rPr>
                <w:rFonts w:ascii="Arial" w:hAnsi="Arial"/>
                <w:b w:val="0"/>
                <w:sz w:val="20"/>
              </w:rPr>
              <w:t xml:space="preserve">0,531</w:t>
            </w:r>
          </w:p>
        </w:tc>
        <w:tc>
          <w:tcPr>
            <w:tcW w:type="dxa" w:w="1344"/>
          </w:tcPr>
          <w:p>
            <w:pPr>
              <w:pStyle w:val="Compact"/>
              <w:keepNext/>
              <w:spacing w:line="240" w:lineRule="auto" w:after="0"/>
              <w:ind w:firstLine="0"/>
              <w:jc w:val="right"/>
            </w:pPr>
            <w:r>
              <w:rPr>
                <w:rFonts w:ascii="Arial" w:hAnsi="Arial"/>
                <w:b w:val="0"/>
                <w:sz w:val="20"/>
              </w:rPr>
              <w:t xml:space="preserve">0,129</w:t>
            </w:r>
          </w:p>
        </w:tc>
        <w:tc>
          <w:tcPr>
            <w:tcW w:type="dxa" w:w="1120"/>
          </w:tcPr>
          <w:p>
            <w:pPr>
              <w:pStyle w:val="Compact"/>
              <w:keepNext/>
              <w:spacing w:line="240" w:lineRule="auto" w:after="0"/>
              <w:ind w:firstLine="0"/>
              <w:jc w:val="right"/>
            </w:pPr>
            <w:r>
              <w:rPr>
                <w:rFonts w:ascii="Arial" w:hAnsi="Arial"/>
                <w:b w:val="0"/>
                <w:sz w:val="20"/>
              </w:rPr>
              <w:t xml:space="preserve">0,27</w:t>
            </w:r>
          </w:p>
        </w:tc>
      </w:tr>
      <w:tr>
        <w:trPr>
          <w:cantSplit/>
        </w:trPr>
        <w:tc>
          <w:tcPr>
            <w:tcW w:type="dxa" w:w="4141"/>
          </w:tcPr>
          <w:p>
            <w:pPr>
              <w:pStyle w:val="Compact"/>
              <w:keepNext/>
              <w:spacing w:line="240" w:lineRule="auto" w:after="0"/>
              <w:ind w:firstLine="0"/>
              <w:jc w:val="left"/>
            </w:pPr>
            <w:r>
              <w:rPr>
                <w:rFonts w:ascii="Arial" w:hAnsi="Arial"/>
                <w:b w:val="0"/>
                <w:sz w:val="20"/>
              </w:rPr>
              <w:t xml:space="preserve">Superior completo ou mais</w:t>
            </w:r>
          </w:p>
        </w:tc>
        <w:tc>
          <w:tcPr>
            <w:tcW w:type="dxa" w:w="1344"/>
          </w:tcPr>
          <w:p>
            <w:pPr>
              <w:pStyle w:val="Compact"/>
              <w:keepNext/>
              <w:spacing w:line="240" w:lineRule="auto" w:after="0"/>
              <w:ind w:firstLine="0"/>
              <w:jc w:val="right"/>
            </w:pPr>
            <w:r>
              <w:rPr>
                <w:rFonts w:ascii="Arial" w:hAnsi="Arial"/>
                <w:b w:val="0"/>
                <w:sz w:val="20"/>
              </w:rPr>
              <w:t xml:space="preserve">0,276</w:t>
            </w:r>
          </w:p>
        </w:tc>
        <w:tc>
          <w:tcPr>
            <w:tcW w:type="dxa" w:w="1120"/>
          </w:tcPr>
          <w:p>
            <w:pPr>
              <w:pStyle w:val="Compact"/>
              <w:keepNext/>
              <w:spacing w:line="240" w:lineRule="auto" w:after="0"/>
              <w:ind w:firstLine="0"/>
              <w:jc w:val="right"/>
            </w:pPr>
            <w:r>
              <w:rPr>
                <w:rFonts w:ascii="Arial" w:hAnsi="Arial"/>
                <w:b w:val="0"/>
                <w:sz w:val="20"/>
              </w:rPr>
              <w:t xml:space="preserve">0,142</w:t>
            </w:r>
          </w:p>
        </w:tc>
        <w:tc>
          <w:tcPr>
            <w:tcW w:type="dxa" w:w="1344"/>
          </w:tcPr>
          <w:p>
            <w:pPr>
              <w:pStyle w:val="Compact"/>
              <w:keepNext/>
              <w:spacing w:line="240" w:lineRule="auto" w:after="0"/>
              <w:ind w:firstLine="0"/>
              <w:jc w:val="right"/>
            </w:pPr>
            <w:r>
              <w:rPr>
                <w:rFonts w:ascii="Arial" w:hAnsi="Arial"/>
                <w:b w:val="0"/>
                <w:sz w:val="20"/>
              </w:rPr>
              <w:t xml:space="preserve">0,134</w:t>
            </w:r>
          </w:p>
        </w:tc>
        <w:tc>
          <w:tcPr>
            <w:tcW w:type="dxa" w:w="1120"/>
          </w:tcPr>
          <w:p>
            <w:pPr>
              <w:pStyle w:val="Compact"/>
              <w:keepNext/>
              <w:spacing w:line="240" w:lineRule="auto" w:after="0"/>
              <w:ind w:firstLine="0"/>
              <w:jc w:val="right"/>
            </w:pPr>
            <w:r>
              <w:rPr>
                <w:rFonts w:ascii="Arial" w:hAnsi="Arial"/>
                <w:b w:val="0"/>
                <w:sz w:val="20"/>
              </w:rPr>
              <w:t xml:space="preserve">0,34</w:t>
            </w:r>
          </w:p>
        </w:tc>
      </w:tr>
      <w:tr>
        <w:trPr>
          <w:cantSplit/>
        </w:trPr>
        <w:tc>
          <w:tcPr>
            <w:tcW w:type="dxa" w:w="4141"/>
          </w:tcPr>
          <w:p>
            <w:pPr>
              <w:pStyle w:val="Compact"/>
              <w:keepNext/>
              <w:spacing w:line="240" w:lineRule="auto" w:after="0"/>
              <w:ind w:firstLine="0"/>
              <w:jc w:val="left"/>
            </w:pPr>
            <w:r>
              <w:rPr>
                <w:rFonts w:ascii="Arial" w:hAnsi="Arial"/>
                <w:b w:val="0"/>
                <w:sz w:val="20"/>
              </w:rPr>
              <w:t xml:space="preserve">Pós-graduação</w:t>
            </w:r>
          </w:p>
        </w:tc>
        <w:tc>
          <w:tcPr>
            <w:tcW w:type="dxa" w:w="1344"/>
          </w:tcPr>
          <w:p>
            <w:pPr>
              <w:pStyle w:val="Compact"/>
              <w:keepNext/>
              <w:spacing w:line="240" w:lineRule="auto" w:after="0"/>
              <w:ind w:firstLine="0"/>
              <w:jc w:val="right"/>
            </w:pPr>
            <w:r>
              <w:rPr>
                <w:rFonts w:ascii="Arial" w:hAnsi="Arial"/>
                <w:b w:val="0"/>
                <w:sz w:val="20"/>
              </w:rPr>
              <w:t xml:space="preserve">0,083</w:t>
            </w:r>
          </w:p>
        </w:tc>
        <w:tc>
          <w:tcPr>
            <w:tcW w:type="dxa" w:w="1120"/>
          </w:tcPr>
          <w:p>
            <w:pPr>
              <w:pStyle w:val="Compact"/>
              <w:keepNext/>
              <w:spacing w:line="240" w:lineRule="auto" w:after="0"/>
              <w:ind w:firstLine="0"/>
              <w:jc w:val="right"/>
            </w:pPr>
            <w:r>
              <w:rPr>
                <w:rFonts w:ascii="Arial" w:hAnsi="Arial"/>
                <w:b w:val="0"/>
                <w:sz w:val="20"/>
              </w:rPr>
              <w:t xml:space="preserve">0,036</w:t>
            </w:r>
          </w:p>
        </w:tc>
        <w:tc>
          <w:tcPr>
            <w:tcW w:type="dxa" w:w="1344"/>
          </w:tcPr>
          <w:p>
            <w:pPr>
              <w:pStyle w:val="Compact"/>
              <w:keepNext/>
              <w:spacing w:line="240" w:lineRule="auto" w:after="0"/>
              <w:ind w:firstLine="0"/>
              <w:jc w:val="right"/>
            </w:pPr>
            <w:r>
              <w:rPr>
                <w:rFonts w:ascii="Arial" w:hAnsi="Arial"/>
                <w:b w:val="0"/>
                <w:sz w:val="20"/>
              </w:rPr>
              <w:t xml:space="preserve">0,047</w:t>
            </w:r>
          </w:p>
        </w:tc>
        <w:tc>
          <w:tcPr>
            <w:tcW w:type="dxa" w:w="1120"/>
          </w:tcPr>
          <w:p>
            <w:pPr>
              <w:pStyle w:val="Compact"/>
              <w:keepNext/>
              <w:spacing w:line="240" w:lineRule="auto" w:after="0"/>
              <w:ind w:firstLine="0"/>
              <w:jc w:val="right"/>
            </w:pPr>
            <w:r>
              <w:rPr>
                <w:rFonts w:ascii="Arial" w:hAnsi="Arial"/>
                <w:b w:val="0"/>
                <w:sz w:val="20"/>
              </w:rPr>
              <w:t xml:space="preserve">0,20</w:t>
            </w:r>
          </w:p>
        </w:tc>
      </w:tr>
      <w:tr>
        <w:trPr>
          <w:cantSplit/>
        </w:trPr>
        <w:tc>
          <w:tcPr>
            <w:tcW w:type="dxa" w:w="4141"/>
          </w:tcPr>
          <w:p>
            <w:pPr>
              <w:pStyle w:val="Compact"/>
              <w:keepNext/>
              <w:spacing w:line="240" w:lineRule="auto" w:after="0"/>
              <w:ind w:firstLine="0"/>
              <w:jc w:val="left"/>
            </w:pPr>
            <w:r>
              <w:rPr>
                <w:rFonts w:ascii="Arial" w:hAnsi="Arial"/>
                <w:b w:val="0"/>
                <w:sz w:val="20"/>
              </w:rPr>
              <w:t xml:space="preserve">log(horas trabalhadas)</w:t>
            </w:r>
          </w:p>
        </w:tc>
        <w:tc>
          <w:tcPr>
            <w:tcW w:type="dxa" w:w="1344"/>
          </w:tcPr>
          <w:p>
            <w:pPr>
              <w:pStyle w:val="Compact"/>
              <w:keepNext/>
              <w:spacing w:line="240" w:lineRule="auto" w:after="0"/>
              <w:ind w:firstLine="0"/>
              <w:jc w:val="right"/>
            </w:pPr>
            <w:r>
              <w:rPr>
                <w:rFonts w:ascii="Arial" w:hAnsi="Arial"/>
                <w:b w:val="0"/>
                <w:sz w:val="20"/>
              </w:rPr>
              <w:t xml:space="preserve">3,645</w:t>
            </w:r>
          </w:p>
        </w:tc>
        <w:tc>
          <w:tcPr>
            <w:tcW w:type="dxa" w:w="1120"/>
          </w:tcPr>
          <w:p>
            <w:pPr>
              <w:pStyle w:val="Compact"/>
              <w:keepNext/>
              <w:spacing w:line="240" w:lineRule="auto" w:after="0"/>
              <w:ind w:firstLine="0"/>
              <w:jc w:val="right"/>
            </w:pPr>
            <w:r>
              <w:rPr>
                <w:rFonts w:ascii="Arial" w:hAnsi="Arial"/>
                <w:b w:val="0"/>
                <w:sz w:val="20"/>
              </w:rPr>
              <w:t xml:space="preserve">3,601</w:t>
            </w:r>
          </w:p>
        </w:tc>
        <w:tc>
          <w:tcPr>
            <w:tcW w:type="dxa" w:w="1344"/>
          </w:tcPr>
          <w:p>
            <w:pPr>
              <w:pStyle w:val="Compact"/>
              <w:keepNext/>
              <w:spacing w:line="240" w:lineRule="auto" w:after="0"/>
              <w:ind w:firstLine="0"/>
              <w:jc w:val="right"/>
            </w:pPr>
            <w:r>
              <w:rPr>
                <w:rFonts w:ascii="Arial" w:hAnsi="Arial"/>
                <w:b w:val="0"/>
                <w:sz w:val="20"/>
              </w:rPr>
              <w:t xml:space="preserve">0,044</w:t>
            </w:r>
          </w:p>
        </w:tc>
        <w:tc>
          <w:tcPr>
            <w:tcW w:type="dxa" w:w="1120"/>
          </w:tcPr>
          <w:p>
            <w:pPr>
              <w:pStyle w:val="Compact"/>
              <w:keepNext/>
              <w:spacing w:line="240" w:lineRule="auto" w:after="0"/>
              <w:ind w:firstLine="0"/>
              <w:jc w:val="right"/>
            </w:pPr>
            <w:r>
              <w:rPr>
                <w:rFonts w:ascii="Arial" w:hAnsi="Arial"/>
                <w:b w:val="0"/>
                <w:sz w:val="20"/>
              </w:rPr>
              <w:t xml:space="preserve">0,11</w:t>
            </w:r>
          </w:p>
        </w:tc>
      </w:tr>
      <w:tr>
        <w:trPr>
          <w:cantSplit/>
        </w:trPr>
        <w:tc>
          <w:tcPr>
            <w:tcW w:type="dxa" w:w="4141"/>
          </w:tcPr>
          <w:p>
            <w:pPr>
              <w:pStyle w:val="Compact"/>
              <w:keepNext/>
              <w:spacing w:line="240" w:lineRule="auto" w:after="0"/>
              <w:ind w:firstLine="0"/>
              <w:jc w:val="left"/>
            </w:pPr>
            <w:r>
              <w:rPr>
                <w:rFonts w:ascii="Arial" w:hAnsi="Arial"/>
                <w:b w:val="0"/>
                <w:sz w:val="20"/>
              </w:rPr>
              <w:t xml:space="preserve">Reside em área urbana</w:t>
            </w:r>
          </w:p>
        </w:tc>
        <w:tc>
          <w:tcPr>
            <w:tcW w:type="dxa" w:w="1344"/>
          </w:tcPr>
          <w:p>
            <w:pPr>
              <w:pStyle w:val="Compact"/>
              <w:keepNext/>
              <w:spacing w:line="240" w:lineRule="auto" w:after="0"/>
              <w:ind w:firstLine="0"/>
              <w:jc w:val="right"/>
            </w:pPr>
            <w:r>
              <w:rPr>
                <w:rFonts w:ascii="Arial" w:hAnsi="Arial"/>
                <w:b w:val="0"/>
                <w:sz w:val="20"/>
              </w:rPr>
              <w:t xml:space="preserve">0,814</w:t>
            </w:r>
          </w:p>
        </w:tc>
        <w:tc>
          <w:tcPr>
            <w:tcW w:type="dxa" w:w="1120"/>
          </w:tcPr>
          <w:p>
            <w:pPr>
              <w:pStyle w:val="Compact"/>
              <w:keepNext/>
              <w:spacing w:line="240" w:lineRule="auto" w:after="0"/>
              <w:ind w:firstLine="0"/>
              <w:jc w:val="right"/>
            </w:pPr>
            <w:r>
              <w:rPr>
                <w:rFonts w:ascii="Arial" w:hAnsi="Arial"/>
                <w:b w:val="0"/>
                <w:sz w:val="20"/>
              </w:rPr>
              <w:t xml:space="preserve">0,774</w:t>
            </w:r>
          </w:p>
        </w:tc>
        <w:tc>
          <w:tcPr>
            <w:tcW w:type="dxa" w:w="1344"/>
          </w:tcPr>
          <w:p>
            <w:pPr>
              <w:pStyle w:val="Compact"/>
              <w:keepNext/>
              <w:spacing w:line="240" w:lineRule="auto" w:after="0"/>
              <w:ind w:firstLine="0"/>
              <w:jc w:val="right"/>
            </w:pPr>
            <w:r>
              <w:rPr>
                <w:rFonts w:ascii="Arial" w:hAnsi="Arial"/>
                <w:b w:val="0"/>
                <w:sz w:val="20"/>
              </w:rPr>
              <w:t xml:space="preserve">0,039</w:t>
            </w:r>
          </w:p>
        </w:tc>
        <w:tc>
          <w:tcPr>
            <w:tcW w:type="dxa" w:w="1120"/>
          </w:tcPr>
          <w:p>
            <w:pPr>
              <w:pStyle w:val="Compact"/>
              <w:keepNext/>
              <w:spacing w:line="240" w:lineRule="auto" w:after="0"/>
              <w:ind w:firstLine="0"/>
              <w:jc w:val="right"/>
            </w:pPr>
            <w:r>
              <w:rPr>
                <w:rFonts w:ascii="Arial" w:hAnsi="Arial"/>
                <w:b w:val="0"/>
                <w:sz w:val="20"/>
              </w:rPr>
              <w:t xml:space="preserve">0,10</w:t>
            </w:r>
          </w:p>
        </w:tc>
      </w:tr>
      <w:tr>
        <w:trPr>
          <w:cantSplit/>
        </w:trPr>
        <w:tc>
          <w:tcPr>
            <w:tcW w:type="dxa" w:w="4141"/>
          </w:tcPr>
          <w:p>
            <w:pPr>
              <w:pStyle w:val="Compact"/>
              <w:keepNext/>
              <w:spacing w:line="240" w:lineRule="auto" w:after="0"/>
              <w:ind w:firstLine="0"/>
              <w:jc w:val="left"/>
            </w:pPr>
            <w:r>
              <w:rPr>
                <w:rFonts w:ascii="Arial" w:hAnsi="Arial"/>
                <w:b w:val="0"/>
                <w:sz w:val="20"/>
              </w:rPr>
              <w:t xml:space="preserve">Emprego formal</w:t>
            </w:r>
          </w:p>
        </w:tc>
        <w:tc>
          <w:tcPr>
            <w:tcW w:type="dxa" w:w="1344"/>
          </w:tcPr>
          <w:p>
            <w:pPr>
              <w:pStyle w:val="Compact"/>
              <w:keepNext/>
              <w:spacing w:line="240" w:lineRule="auto" w:after="0"/>
              <w:ind w:firstLine="0"/>
              <w:jc w:val="right"/>
            </w:pPr>
            <w:r>
              <w:rPr>
                <w:rFonts w:ascii="Arial" w:hAnsi="Arial"/>
                <w:b w:val="0"/>
                <w:sz w:val="20"/>
              </w:rPr>
              <w:t xml:space="preserve">0,494</w:t>
            </w:r>
          </w:p>
        </w:tc>
        <w:tc>
          <w:tcPr>
            <w:tcW w:type="dxa" w:w="1120"/>
          </w:tcPr>
          <w:p>
            <w:pPr>
              <w:pStyle w:val="Compact"/>
              <w:keepNext/>
              <w:spacing w:line="240" w:lineRule="auto" w:after="0"/>
              <w:ind w:firstLine="0"/>
              <w:jc w:val="right"/>
            </w:pPr>
            <w:r>
              <w:rPr>
                <w:rFonts w:ascii="Arial" w:hAnsi="Arial"/>
                <w:b w:val="0"/>
                <w:sz w:val="20"/>
              </w:rPr>
              <w:t xml:space="preserve">0,441</w:t>
            </w:r>
          </w:p>
        </w:tc>
        <w:tc>
          <w:tcPr>
            <w:tcW w:type="dxa" w:w="1344"/>
          </w:tcPr>
          <w:p>
            <w:pPr>
              <w:pStyle w:val="Compact"/>
              <w:keepNext/>
              <w:spacing w:line="240" w:lineRule="auto" w:after="0"/>
              <w:ind w:firstLine="0"/>
              <w:jc w:val="right"/>
            </w:pPr>
            <w:r>
              <w:rPr>
                <w:rFonts w:ascii="Arial" w:hAnsi="Arial"/>
                <w:b w:val="0"/>
                <w:sz w:val="20"/>
              </w:rPr>
              <w:t xml:space="preserve">0,053</w:t>
            </w:r>
          </w:p>
        </w:tc>
        <w:tc>
          <w:tcPr>
            <w:tcW w:type="dxa" w:w="1120"/>
          </w:tcPr>
          <w:p>
            <w:pPr>
              <w:pStyle w:val="Compact"/>
              <w:keepNext/>
              <w:spacing w:line="240" w:lineRule="auto" w:after="0"/>
              <w:ind w:firstLine="0"/>
              <w:jc w:val="right"/>
            </w:pPr>
            <w:r>
              <w:rPr>
                <w:rFonts w:ascii="Arial" w:hAnsi="Arial"/>
                <w:b w:val="0"/>
                <w:sz w:val="20"/>
              </w:rPr>
              <w:t xml:space="preserve">0,11</w:t>
            </w:r>
          </w:p>
        </w:tc>
      </w:tr>
      <w:tr>
        <w:trPr>
          <w:cantSplit/>
        </w:trPr>
        <w:tc>
          <w:tcPr>
            <w:tcW w:type="dxa" w:w="4141"/>
          </w:tcPr>
          <w:p>
            <w:pPr>
              <w:pStyle w:val="Compact"/>
              <w:keepNext/>
              <w:spacing w:line="240" w:lineRule="auto" w:after="0"/>
              <w:ind w:firstLine="0"/>
              <w:jc w:val="left"/>
            </w:pPr>
            <w:r>
              <w:rPr>
                <w:rFonts w:ascii="Arial" w:hAnsi="Arial"/>
                <w:b w:val="0"/>
                <w:sz w:val="20"/>
              </w:rPr>
              <w:t xml:space="preserve">Conta própria</w:t>
            </w:r>
          </w:p>
        </w:tc>
        <w:tc>
          <w:tcPr>
            <w:tcW w:type="dxa" w:w="1344"/>
          </w:tcPr>
          <w:p>
            <w:pPr>
              <w:pStyle w:val="Compact"/>
              <w:keepNext/>
              <w:spacing w:line="240" w:lineRule="auto" w:after="0"/>
              <w:ind w:firstLine="0"/>
              <w:jc w:val="right"/>
            </w:pPr>
            <w:r>
              <w:rPr>
                <w:rFonts w:ascii="Arial" w:hAnsi="Arial"/>
                <w:b w:val="0"/>
                <w:sz w:val="20"/>
              </w:rPr>
              <w:t xml:space="preserve">0,276</w:t>
            </w:r>
          </w:p>
        </w:tc>
        <w:tc>
          <w:tcPr>
            <w:tcW w:type="dxa" w:w="1120"/>
          </w:tcPr>
          <w:p>
            <w:pPr>
              <w:pStyle w:val="Compact"/>
              <w:keepNext/>
              <w:spacing w:line="240" w:lineRule="auto" w:after="0"/>
              <w:ind w:firstLine="0"/>
              <w:jc w:val="right"/>
            </w:pPr>
            <w:r>
              <w:rPr>
                <w:rFonts w:ascii="Arial" w:hAnsi="Arial"/>
                <w:b w:val="0"/>
                <w:sz w:val="20"/>
              </w:rPr>
              <w:t xml:space="preserve">0,281</w:t>
            </w:r>
          </w:p>
        </w:tc>
        <w:tc>
          <w:tcPr>
            <w:tcW w:type="dxa" w:w="1344"/>
          </w:tcPr>
          <w:p>
            <w:pPr>
              <w:pStyle w:val="Compact"/>
              <w:keepNext/>
              <w:spacing w:line="240" w:lineRule="auto" w:after="0"/>
              <w:ind w:firstLine="0"/>
              <w:jc w:val="right"/>
            </w:pPr>
            <w:r>
              <w:rPr>
                <w:rFonts w:ascii="Arial" w:hAnsi="Arial"/>
                <w:b w:val="0"/>
                <w:sz w:val="20"/>
              </w:rPr>
              <w:t xml:space="preserve">−0,005</w:t>
            </w:r>
          </w:p>
        </w:tc>
        <w:tc>
          <w:tcPr>
            <w:tcW w:type="dxa" w:w="1120"/>
          </w:tcPr>
          <w:p>
            <w:pPr>
              <w:pStyle w:val="Compact"/>
              <w:keepNext/>
              <w:spacing w:line="240" w:lineRule="auto" w:after="0"/>
              <w:ind w:firstLine="0"/>
              <w:jc w:val="right"/>
            </w:pPr>
            <w:r>
              <w:rPr>
                <w:rFonts w:ascii="Arial" w:hAnsi="Arial"/>
                <w:b w:val="0"/>
                <w:sz w:val="20"/>
              </w:rPr>
              <w:t xml:space="preserve">−0,01</w:t>
            </w:r>
          </w:p>
        </w:tc>
      </w:tr>
      <w:tr>
        <w:trPr>
          <w:cantSplit/>
        </w:trPr>
        <w:tc>
          <w:tcPr>
            <w:tcW w:type="dxa" w:w="4141"/>
          </w:tcPr>
          <w:p>
            <w:pPr>
              <w:pStyle w:val="Compact"/>
              <w:keepNext/>
              <w:spacing w:line="240" w:lineRule="auto" w:after="0"/>
              <w:ind w:firstLine="0"/>
              <w:jc w:val="left"/>
            </w:pPr>
            <w:r>
              <w:rPr>
                <w:rFonts w:ascii="Arial" w:hAnsi="Arial"/>
                <w:b w:val="0"/>
                <w:sz w:val="20"/>
              </w:rPr>
              <w:t xml:space="preserve">Trabalho doméstico</w:t>
            </w:r>
          </w:p>
        </w:tc>
        <w:tc>
          <w:tcPr>
            <w:tcW w:type="dxa" w:w="1344"/>
          </w:tcPr>
          <w:p>
            <w:pPr>
              <w:pStyle w:val="Compact"/>
              <w:keepNext/>
              <w:spacing w:line="240" w:lineRule="auto" w:after="0"/>
              <w:ind w:firstLine="0"/>
              <w:jc w:val="right"/>
            </w:pPr>
            <w:r>
              <w:rPr>
                <w:rFonts w:ascii="Arial" w:hAnsi="Arial"/>
                <w:b w:val="0"/>
                <w:sz w:val="20"/>
              </w:rPr>
              <w:t xml:space="preserve">0,049</w:t>
            </w:r>
          </w:p>
        </w:tc>
        <w:tc>
          <w:tcPr>
            <w:tcW w:type="dxa" w:w="1120"/>
          </w:tcPr>
          <w:p>
            <w:pPr>
              <w:pStyle w:val="Compact"/>
              <w:keepNext/>
              <w:spacing w:line="240" w:lineRule="auto" w:after="0"/>
              <w:ind w:firstLine="0"/>
              <w:jc w:val="right"/>
            </w:pPr>
            <w:r>
              <w:rPr>
                <w:rFonts w:ascii="Arial" w:hAnsi="Arial"/>
                <w:b w:val="0"/>
                <w:sz w:val="20"/>
              </w:rPr>
              <w:t xml:space="preserve">0,079</w:t>
            </w:r>
          </w:p>
        </w:tc>
        <w:tc>
          <w:tcPr>
            <w:tcW w:type="dxa" w:w="1344"/>
          </w:tcPr>
          <w:p>
            <w:pPr>
              <w:pStyle w:val="Compact"/>
              <w:keepNext/>
              <w:spacing w:line="240" w:lineRule="auto" w:after="0"/>
              <w:ind w:firstLine="0"/>
              <w:jc w:val="right"/>
            </w:pPr>
            <w:r>
              <w:rPr>
                <w:rFonts w:ascii="Arial" w:hAnsi="Arial"/>
                <w:b w:val="0"/>
                <w:sz w:val="20"/>
              </w:rPr>
              <w:t xml:space="preserve">−0,030</w:t>
            </w:r>
          </w:p>
        </w:tc>
        <w:tc>
          <w:tcPr>
            <w:tcW w:type="dxa" w:w="1120"/>
          </w:tcPr>
          <w:p>
            <w:pPr>
              <w:pStyle w:val="Compact"/>
              <w:keepNext/>
              <w:spacing w:line="240" w:lineRule="auto" w:after="0"/>
              <w:ind w:firstLine="0"/>
              <w:jc w:val="right"/>
            </w:pPr>
            <w:r>
              <w:rPr>
                <w:rFonts w:ascii="Arial" w:hAnsi="Arial"/>
                <w:b w:val="0"/>
                <w:sz w:val="20"/>
              </w:rPr>
              <w:t xml:space="preserve">−0,12</w:t>
            </w:r>
          </w:p>
        </w:tc>
      </w:tr>
      <w:tr>
        <w:trPr>
          <w:cantSplit/>
        </w:trPr>
        <w:tc>
          <w:tcPr>
            <w:tcW w:type="dxa" w:w="4141"/>
          </w:tcPr>
          <w:p>
            <w:pPr>
              <w:pStyle w:val="Compact"/>
              <w:keepNext/>
              <w:spacing w:line="240" w:lineRule="auto" w:after="0"/>
              <w:ind w:firstLine="0"/>
              <w:jc w:val="left"/>
            </w:pPr>
            <w:r>
              <w:rPr>
                <w:rFonts w:ascii="Arial" w:hAnsi="Arial"/>
                <w:b w:val="0"/>
                <w:sz w:val="20"/>
              </w:rPr>
              <w:t xml:space="preserve">CBO: dirigente</w:t>
            </w:r>
          </w:p>
        </w:tc>
        <w:tc>
          <w:tcPr>
            <w:tcW w:type="dxa" w:w="1344"/>
          </w:tcPr>
          <w:p>
            <w:pPr>
              <w:pStyle w:val="Compact"/>
              <w:keepNext/>
              <w:spacing w:line="240" w:lineRule="auto" w:after="0"/>
              <w:ind w:firstLine="0"/>
              <w:jc w:val="right"/>
            </w:pPr>
            <w:r>
              <w:rPr>
                <w:rFonts w:ascii="Arial" w:hAnsi="Arial"/>
                <w:b w:val="0"/>
                <w:sz w:val="20"/>
              </w:rPr>
              <w:t xml:space="preserve">0,055</w:t>
            </w:r>
          </w:p>
        </w:tc>
        <w:tc>
          <w:tcPr>
            <w:tcW w:type="dxa" w:w="1120"/>
          </w:tcPr>
          <w:p>
            <w:pPr>
              <w:pStyle w:val="Compact"/>
              <w:keepNext/>
              <w:spacing w:line="240" w:lineRule="auto" w:after="0"/>
              <w:ind w:firstLine="0"/>
              <w:jc w:val="right"/>
            </w:pPr>
            <w:r>
              <w:rPr>
                <w:rFonts w:ascii="Arial" w:hAnsi="Arial"/>
                <w:b w:val="0"/>
                <w:sz w:val="20"/>
              </w:rPr>
              <w:t xml:space="preserve">0,023</w:t>
            </w:r>
          </w:p>
        </w:tc>
        <w:tc>
          <w:tcPr>
            <w:tcW w:type="dxa" w:w="1344"/>
          </w:tcPr>
          <w:p>
            <w:pPr>
              <w:pStyle w:val="Compact"/>
              <w:keepNext/>
              <w:spacing w:line="240" w:lineRule="auto" w:after="0"/>
              <w:ind w:firstLine="0"/>
              <w:jc w:val="right"/>
            </w:pPr>
            <w:r>
              <w:rPr>
                <w:rFonts w:ascii="Arial" w:hAnsi="Arial"/>
                <w:b w:val="0"/>
                <w:sz w:val="20"/>
              </w:rPr>
              <w:t xml:space="preserve">0,032</w:t>
            </w:r>
          </w:p>
        </w:tc>
        <w:tc>
          <w:tcPr>
            <w:tcW w:type="dxa" w:w="1120"/>
          </w:tcPr>
          <w:p>
            <w:pPr>
              <w:pStyle w:val="Compact"/>
              <w:keepNext/>
              <w:spacing w:line="240" w:lineRule="auto" w:after="0"/>
              <w:ind w:firstLine="0"/>
              <w:jc w:val="right"/>
            </w:pPr>
            <w:r>
              <w:rPr>
                <w:rFonts w:ascii="Arial" w:hAnsi="Arial"/>
                <w:b w:val="0"/>
                <w:sz w:val="20"/>
              </w:rPr>
              <w:t xml:space="preserve">0,16</w:t>
            </w:r>
          </w:p>
        </w:tc>
      </w:tr>
      <w:tr>
        <w:trPr>
          <w:cantSplit/>
        </w:trPr>
        <w:tc>
          <w:tcPr>
            <w:tcW w:type="dxa" w:w="4141"/>
          </w:tcPr>
          <w:p>
            <w:pPr>
              <w:pStyle w:val="Compact"/>
              <w:keepNext/>
              <w:spacing w:line="240" w:lineRule="auto" w:after="0"/>
              <w:ind w:firstLine="0"/>
              <w:jc w:val="left"/>
            </w:pPr>
            <w:r>
              <w:rPr>
                <w:rFonts w:ascii="Arial" w:hAnsi="Arial"/>
                <w:b w:val="0"/>
                <w:sz w:val="20"/>
              </w:rPr>
              <w:t xml:space="preserve">CBO: profissional</w:t>
            </w:r>
          </w:p>
        </w:tc>
        <w:tc>
          <w:tcPr>
            <w:tcW w:type="dxa" w:w="1344"/>
          </w:tcPr>
          <w:p>
            <w:pPr>
              <w:pStyle w:val="Compact"/>
              <w:keepNext/>
              <w:spacing w:line="240" w:lineRule="auto" w:after="0"/>
              <w:ind w:firstLine="0"/>
              <w:jc w:val="right"/>
            </w:pPr>
            <w:r>
              <w:rPr>
                <w:rFonts w:ascii="Arial" w:hAnsi="Arial"/>
                <w:b w:val="0"/>
                <w:sz w:val="20"/>
              </w:rPr>
              <w:t xml:space="preserve">0,151</w:t>
            </w:r>
          </w:p>
        </w:tc>
        <w:tc>
          <w:tcPr>
            <w:tcW w:type="dxa" w:w="1120"/>
          </w:tcPr>
          <w:p>
            <w:pPr>
              <w:pStyle w:val="Compact"/>
              <w:keepNext/>
              <w:spacing w:line="240" w:lineRule="auto" w:after="0"/>
              <w:ind w:firstLine="0"/>
              <w:jc w:val="right"/>
            </w:pPr>
            <w:r>
              <w:rPr>
                <w:rFonts w:ascii="Arial" w:hAnsi="Arial"/>
                <w:b w:val="0"/>
                <w:sz w:val="20"/>
              </w:rPr>
              <w:t xml:space="preserve">0,079</w:t>
            </w:r>
          </w:p>
        </w:tc>
        <w:tc>
          <w:tcPr>
            <w:tcW w:type="dxa" w:w="1344"/>
          </w:tcPr>
          <w:p>
            <w:pPr>
              <w:pStyle w:val="Compact"/>
              <w:keepNext/>
              <w:spacing w:line="240" w:lineRule="auto" w:after="0"/>
              <w:ind w:firstLine="0"/>
              <w:jc w:val="right"/>
            </w:pPr>
            <w:r>
              <w:rPr>
                <w:rFonts w:ascii="Arial" w:hAnsi="Arial"/>
                <w:b w:val="0"/>
                <w:sz w:val="20"/>
              </w:rPr>
              <w:t xml:space="preserve">0,072</w:t>
            </w:r>
          </w:p>
        </w:tc>
        <w:tc>
          <w:tcPr>
            <w:tcW w:type="dxa" w:w="1120"/>
          </w:tcPr>
          <w:p>
            <w:pPr>
              <w:pStyle w:val="Compact"/>
              <w:keepNext/>
              <w:spacing w:line="240" w:lineRule="auto" w:after="0"/>
              <w:ind w:firstLine="0"/>
              <w:jc w:val="right"/>
            </w:pPr>
            <w:r>
              <w:rPr>
                <w:rFonts w:ascii="Arial" w:hAnsi="Arial"/>
                <w:b w:val="0"/>
                <w:sz w:val="20"/>
              </w:rPr>
              <w:t xml:space="preserve">0,23</w:t>
            </w:r>
          </w:p>
        </w:tc>
      </w:tr>
      <w:tr>
        <w:trPr>
          <w:cantSplit/>
        </w:trPr>
        <w:tc>
          <w:tcPr>
            <w:tcW w:type="dxa" w:w="4141"/>
          </w:tcPr>
          <w:p>
            <w:pPr>
              <w:pStyle w:val="Compact"/>
              <w:keepNext/>
              <w:spacing w:line="240" w:lineRule="auto" w:after="0"/>
              <w:ind w:firstLine="0"/>
              <w:jc w:val="left"/>
            </w:pPr>
            <w:r>
              <w:rPr>
                <w:rFonts w:ascii="Arial" w:hAnsi="Arial"/>
                <w:b w:val="0"/>
                <w:sz w:val="20"/>
              </w:rPr>
              <w:t xml:space="preserve">CBO: técnico</w:t>
            </w:r>
          </w:p>
        </w:tc>
        <w:tc>
          <w:tcPr>
            <w:tcW w:type="dxa" w:w="1344"/>
          </w:tcPr>
          <w:p>
            <w:pPr>
              <w:pStyle w:val="Compact"/>
              <w:keepNext/>
              <w:spacing w:line="240" w:lineRule="auto" w:after="0"/>
              <w:ind w:firstLine="0"/>
              <w:jc w:val="right"/>
            </w:pPr>
            <w:r>
              <w:rPr>
                <w:rFonts w:ascii="Arial" w:hAnsi="Arial"/>
                <w:b w:val="0"/>
                <w:sz w:val="20"/>
              </w:rPr>
              <w:t xml:space="preserve">0,090</w:t>
            </w:r>
          </w:p>
        </w:tc>
        <w:tc>
          <w:tcPr>
            <w:tcW w:type="dxa" w:w="1120"/>
          </w:tcPr>
          <w:p>
            <w:pPr>
              <w:pStyle w:val="Compact"/>
              <w:keepNext/>
              <w:spacing w:line="240" w:lineRule="auto" w:after="0"/>
              <w:ind w:firstLine="0"/>
              <w:jc w:val="right"/>
            </w:pPr>
            <w:r>
              <w:rPr>
                <w:rFonts w:ascii="Arial" w:hAnsi="Arial"/>
                <w:b w:val="0"/>
                <w:sz w:val="20"/>
              </w:rPr>
              <w:t xml:space="preserve">0,067</w:t>
            </w:r>
          </w:p>
        </w:tc>
        <w:tc>
          <w:tcPr>
            <w:tcW w:type="dxa" w:w="1344"/>
          </w:tcPr>
          <w:p>
            <w:pPr>
              <w:pStyle w:val="Compact"/>
              <w:keepNext/>
              <w:spacing w:line="240" w:lineRule="auto" w:after="0"/>
              <w:ind w:firstLine="0"/>
              <w:jc w:val="right"/>
            </w:pPr>
            <w:r>
              <w:rPr>
                <w:rFonts w:ascii="Arial" w:hAnsi="Arial"/>
                <w:b w:val="0"/>
                <w:sz w:val="20"/>
              </w:rPr>
              <w:t xml:space="preserve">0,023</w:t>
            </w:r>
          </w:p>
        </w:tc>
        <w:tc>
          <w:tcPr>
            <w:tcW w:type="dxa" w:w="1120"/>
          </w:tcPr>
          <w:p>
            <w:pPr>
              <w:pStyle w:val="Compact"/>
              <w:keepNext/>
              <w:spacing w:line="240" w:lineRule="auto" w:after="0"/>
              <w:ind w:firstLine="0"/>
              <w:jc w:val="right"/>
            </w:pPr>
            <w:r>
              <w:rPr>
                <w:rFonts w:ascii="Arial" w:hAnsi="Arial"/>
                <w:b w:val="0"/>
                <w:sz w:val="20"/>
              </w:rPr>
              <w:t xml:space="preserve">0,09</w:t>
            </w:r>
          </w:p>
        </w:tc>
      </w:tr>
      <w:tr>
        <w:trPr>
          <w:cantSplit/>
        </w:trPr>
        <w:tc>
          <w:tcPr>
            <w:tcW w:type="dxa" w:w="4141"/>
          </w:tcPr>
          <w:p>
            <w:pPr>
              <w:pStyle w:val="Compact"/>
              <w:keepNext/>
              <w:spacing w:line="240" w:lineRule="auto" w:after="0"/>
              <w:ind w:firstLine="0"/>
              <w:jc w:val="left"/>
            </w:pPr>
            <w:r>
              <w:rPr>
                <w:rFonts w:ascii="Arial" w:hAnsi="Arial"/>
                <w:b w:val="0"/>
                <w:sz w:val="20"/>
              </w:rPr>
              <w:t xml:space="preserve">% negro na UPA (</w:t>
            </w:r>
            <w:r>
              <w:rPr>
                <w:rFonts w:ascii="Arial" w:hAnsi="Arial"/>
                <w:b w:val="0"/>
                <w:i/>
                <w:iCs/>
                <w:sz w:val="20"/>
              </w:rPr>
              <w:t xml:space="preserve">z</w:t>
            </w:r>
            <w:r>
              <w:rPr>
                <w:rFonts w:ascii="Arial" w:hAnsi="Arial"/>
                <w:b w:val="0"/>
                <w:sz w:val="20"/>
              </w:rPr>
              <w:t xml:space="preserve">)</w:t>
            </w:r>
          </w:p>
        </w:tc>
        <w:tc>
          <w:tcPr>
            <w:tcW w:type="dxa" w:w="1344"/>
          </w:tcPr>
          <w:p>
            <w:pPr>
              <w:pStyle w:val="Compact"/>
              <w:keepNext/>
              <w:spacing w:line="240" w:lineRule="auto" w:after="0"/>
              <w:ind w:firstLine="0"/>
              <w:jc w:val="right"/>
            </w:pPr>
            <w:r>
              <w:rPr>
                <w:rFonts w:ascii="Arial" w:hAnsi="Arial"/>
                <w:b w:val="0"/>
                <w:sz w:val="20"/>
              </w:rPr>
              <w:t xml:space="preserve">−0,705</w:t>
            </w:r>
          </w:p>
        </w:tc>
        <w:tc>
          <w:tcPr>
            <w:tcW w:type="dxa" w:w="1120"/>
          </w:tcPr>
          <w:p>
            <w:pPr>
              <w:pStyle w:val="Compact"/>
              <w:keepNext/>
              <w:spacing w:line="240" w:lineRule="auto" w:after="0"/>
              <w:ind w:firstLine="0"/>
              <w:jc w:val="right"/>
            </w:pPr>
            <w:r>
              <w:rPr>
                <w:rFonts w:ascii="Arial" w:hAnsi="Arial"/>
                <w:b w:val="0"/>
                <w:sz w:val="20"/>
              </w:rPr>
              <w:t xml:space="preserve">0,329</w:t>
            </w:r>
          </w:p>
        </w:tc>
        <w:tc>
          <w:tcPr>
            <w:tcW w:type="dxa" w:w="1344"/>
          </w:tcPr>
          <w:p>
            <w:pPr>
              <w:pStyle w:val="Compact"/>
              <w:keepNext/>
              <w:spacing w:line="240" w:lineRule="auto" w:after="0"/>
              <w:ind w:firstLine="0"/>
              <w:jc w:val="right"/>
            </w:pPr>
            <w:r>
              <w:rPr>
                <w:rFonts w:ascii="Arial" w:hAnsi="Arial"/>
                <w:b w:val="0"/>
                <w:sz w:val="20"/>
              </w:rPr>
              <w:t xml:space="preserve">−1,034</w:t>
            </w:r>
          </w:p>
        </w:tc>
        <w:tc>
          <w:tcPr>
            <w:tcW w:type="dxa" w:w="1120"/>
          </w:tcPr>
          <w:p>
            <w:pPr>
              <w:pStyle w:val="Compact"/>
              <w:keepNext/>
              <w:spacing w:line="240" w:lineRule="auto" w:after="0"/>
              <w:ind w:firstLine="0"/>
              <w:jc w:val="right"/>
            </w:pPr>
            <w:r>
              <w:rPr>
                <w:rFonts w:ascii="Arial" w:hAnsi="Arial"/>
                <w:b w:val="0"/>
                <w:sz w:val="20"/>
              </w:rPr>
              <w:t xml:space="preserve">−1,17</w:t>
            </w:r>
          </w:p>
        </w:tc>
      </w:tr>
      <w:tr>
        <w:trPr>
          <w:cantSplit/>
        </w:trPr>
        <w:tc>
          <w:tcPr>
            <w:tcW w:type="dxa" w:w="4141"/>
          </w:tcPr>
          <w:p>
            <w:pPr>
              <w:pStyle w:val="Compact"/>
              <w:keepNext/>
              <w:spacing w:line="240" w:lineRule="auto" w:after="0"/>
              <w:ind w:firstLine="0"/>
              <w:jc w:val="left"/>
            </w:pPr>
            <w:r>
              <w:rPr>
                <w:rFonts w:ascii="Arial" w:hAnsi="Arial"/>
                <w:b w:val="0"/>
                <w:sz w:val="20"/>
              </w:rPr>
              <w:t xml:space="preserve">Desemprego na UPA (</w:t>
            </w:r>
            <w:r>
              <w:rPr>
                <w:rFonts w:ascii="Arial" w:hAnsi="Arial"/>
                <w:b w:val="0"/>
                <w:i/>
                <w:iCs/>
                <w:sz w:val="20"/>
              </w:rPr>
              <w:t xml:space="preserve">z</w:t>
            </w:r>
            <w:r>
              <w:rPr>
                <w:rFonts w:ascii="Arial" w:hAnsi="Arial"/>
                <w:b w:val="0"/>
                <w:sz w:val="20"/>
              </w:rPr>
              <w:t xml:space="preserve">)</w:t>
            </w:r>
          </w:p>
        </w:tc>
        <w:tc>
          <w:tcPr>
            <w:tcW w:type="dxa" w:w="1344"/>
          </w:tcPr>
          <w:p>
            <w:pPr>
              <w:pStyle w:val="Compact"/>
              <w:keepNext/>
              <w:spacing w:line="240" w:lineRule="auto" w:after="0"/>
              <w:ind w:firstLine="0"/>
              <w:jc w:val="right"/>
            </w:pPr>
            <w:r>
              <w:rPr>
                <w:rFonts w:ascii="Arial" w:hAnsi="Arial"/>
                <w:b w:val="0"/>
                <w:sz w:val="20"/>
              </w:rPr>
              <w:t xml:space="preserve">−0,331</w:t>
            </w:r>
          </w:p>
        </w:tc>
        <w:tc>
          <w:tcPr>
            <w:tcW w:type="dxa" w:w="1120"/>
          </w:tcPr>
          <w:p>
            <w:pPr>
              <w:pStyle w:val="Compact"/>
              <w:keepNext/>
              <w:spacing w:line="240" w:lineRule="auto" w:after="0"/>
              <w:ind w:firstLine="0"/>
              <w:jc w:val="right"/>
            </w:pPr>
            <w:r>
              <w:rPr>
                <w:rFonts w:ascii="Arial" w:hAnsi="Arial"/>
                <w:b w:val="0"/>
                <w:sz w:val="20"/>
              </w:rPr>
              <w:t xml:space="preserve">0,091</w:t>
            </w:r>
          </w:p>
        </w:tc>
        <w:tc>
          <w:tcPr>
            <w:tcW w:type="dxa" w:w="1344"/>
          </w:tcPr>
          <w:p>
            <w:pPr>
              <w:pStyle w:val="Compact"/>
              <w:keepNext/>
              <w:spacing w:line="240" w:lineRule="auto" w:after="0"/>
              <w:ind w:firstLine="0"/>
              <w:jc w:val="right"/>
            </w:pPr>
            <w:r>
              <w:rPr>
                <w:rFonts w:ascii="Arial" w:hAnsi="Arial"/>
                <w:b w:val="0"/>
                <w:sz w:val="20"/>
              </w:rPr>
              <w:t xml:space="preserve">−0,422</w:t>
            </w:r>
          </w:p>
        </w:tc>
        <w:tc>
          <w:tcPr>
            <w:tcW w:type="dxa" w:w="1120"/>
          </w:tcPr>
          <w:p>
            <w:pPr>
              <w:pStyle w:val="Compact"/>
              <w:keepNext/>
              <w:spacing w:line="240" w:lineRule="auto" w:after="0"/>
              <w:ind w:firstLine="0"/>
              <w:jc w:val="right"/>
            </w:pPr>
            <w:r>
              <w:rPr>
                <w:rFonts w:ascii="Arial" w:hAnsi="Arial"/>
                <w:b w:val="0"/>
                <w:sz w:val="20"/>
              </w:rPr>
              <w:t xml:space="preserve">−0,46</w:t>
            </w:r>
          </w:p>
        </w:tc>
      </w:tr>
      <w:tr>
        <w:trPr>
          <w:cantSplit/>
        </w:trPr>
        <w:tc>
          <w:tcPr>
            <w:tcW w:type="dxa" w:w="4141"/>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Educ. média na UPA (</w:t>
            </w:r>
            <w:r>
              <w:rPr>
                <w:rFonts w:ascii="Arial" w:hAnsi="Arial"/>
                <w:b w:val="0"/>
                <w:i/>
                <w:iCs/>
                <w:sz w:val="20"/>
              </w:rPr>
              <w:t xml:space="preserve">z</w:t>
            </w:r>
            <w:r>
              <w:rPr>
                <w:rFonts w:ascii="Arial" w:hAnsi="Arial"/>
                <w:b w:val="0"/>
                <w:sz w:val="20"/>
              </w:rPr>
              <w:t xml:space="preserve">)</w:t>
            </w:r>
          </w:p>
        </w:tc>
        <w:tc>
          <w:tcPr>
            <w:tcW w:type="dxa" w:w="1344"/>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0,390</w:t>
            </w:r>
          </w:p>
        </w:tc>
        <w:tc>
          <w:tcPr>
            <w:tcW w:type="dxa" w:w="1120"/>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−0,024</w:t>
            </w:r>
          </w:p>
        </w:tc>
        <w:tc>
          <w:tcPr>
            <w:tcW w:type="dxa" w:w="1344"/>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0,414</w:t>
            </w:r>
          </w:p>
        </w:tc>
        <w:tc>
          <w:tcPr>
            <w:tcW w:type="dxa" w:w="1120"/>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0,42</w:t>
            </w:r>
          </w:p>
        </w:tc>
      </w:tr>
    </w:tbl>
    <w:bookmarkEnd w:id="23"/>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after="240" w:before="0"/>
        <w:ind w:firstLine="0"/>
        <w:jc w:val="both"/>
      </w:pPr>
      <w:r>
        <w:rPr>
          <w:rFonts w:ascii="Arial" w:hAnsi="Arial"/>
          <w:sz w:val="22"/>
        </w:rPr>
        <w:t>Nota: Suporte comum:</w:t>
      </w:r>
      <w:r>
        <w:rPr>
          <w:rFonts w:ascii="Arial" w:hAnsi="Arial"/>
          <w:sz w:val="22"/>
        </w:rPr>
        <w:t xml:space="preserve"> </w:t>
      </w:r>
      <w:r>
        <w:rPr>
          <w:rFonts w:ascii="Arial" w:hAnsi="Arial"/>
          <w:sz w:val="22"/>
        </w:rPr>
        <w:t xml:space="preserve">97,2% das UPAs têm</w:t>
      </w:r>
      <w:r>
        <w:rPr>
          <w:rFonts w:ascii="Arial" w:hAnsi="Arial"/>
          <w:sz w:val="22"/>
        </w:rPr>
        <w:t xml:space="preserve"> </w:t>
      </w:r>
      <w:r>
        <w:rPr>
          <w:rFonts w:ascii="Arial" w:hAnsi="Arial"/>
          <w:sz w:val="22"/>
        </w:rPr>
        <w:t xml:space="preserve">trabalhadores dos dois grupos, e 100,0% das células</w:t>
      </w:r>
      <w:r>
        <w:rPr>
          <w:rFonts w:ascii="Arial" w:hAnsi="Arial"/>
          <w:sz w:val="22"/>
        </w:rPr>
        <w:t xml:space="preserve"> </w:t>
      </w:r>
      <w:r>
        <w:rPr>
          <w:rFonts w:ascii="Arial" w:hAnsi="Arial"/>
          <w:sz w:val="22"/>
        </w:rPr>
        <w:t xml:space="preserve">UF </w:t>
      </w:r>
      <m:oMath>
        <m:r>
          <m:rPr>
            <m:sty m:val="p"/>
          </m:rPr>
          <m:t>×</m:t>
        </m:r>
      </m:oMath>
      <w:r>
        <w:rPr>
          <w:rFonts w:ascii="Arial" w:hAnsi="Arial"/>
          <w:sz w:val="22"/>
        </w:rPr>
        <w:t xml:space="preserve"> escolaridade também (100,0% das observações</w:t>
      </w:r>
      <w:r>
        <w:rPr>
          <w:rFonts w:ascii="Arial" w:hAnsi="Arial"/>
          <w:sz w:val="22"/>
        </w:rPr>
        <w:t xml:space="preserve"> </w:t>
      </w:r>
      <w:r>
        <w:rPr>
          <w:rFonts w:ascii="Arial" w:hAnsi="Arial"/>
          <w:sz w:val="22"/>
        </w:rPr>
        <w:t xml:space="preserve">estão em células com os dois grupos) — a comparação não depende de extrapolar para</w:t>
      </w:r>
      <w:r>
        <w:rPr>
          <w:rFonts w:ascii="Arial" w:hAnsi="Arial"/>
          <w:sz w:val="22"/>
        </w:rPr>
        <w:t xml:space="preserve"> </w:t>
      </w:r>
      <w:r>
        <w:rPr>
          <w:rFonts w:ascii="Arial" w:hAnsi="Arial"/>
          <w:sz w:val="22"/>
        </w:rPr>
        <w:t xml:space="preserve">regiões da amostra onde só existe um dos grupos.</w:t>
      </w:r>
    </w:p>
    <w:bookmarkEnd w:id="24"/>
    <w:bookmarkStart w:id="25" w:name="subsec:hlm"/>
    <w:p>
      <w:pPr>
        <w:pStyle w:val="Ttulo2"/>
        <w:spacing w:line="360" w:lineRule="auto" w:before="280" w:after="280"/>
        <w:ind w:firstLine="709"/>
        <w:jc w:val="left"/>
      </w:pPr>
      <w:r>
        <w:rPr>
          <w:rFonts w:ascii="Arial" w:hAnsi="Arial"/>
          <w:b/>
          <w:sz w:val="22"/>
        </w:rPr>
        <w:t xml:space="preserve">Modelo Linear Hierárquico: indivíduos em bairros (UPA), com efeitos fixos de UF</w:t>
      </w:r>
    </w:p>
    <w:p>
      <w:pPr>
        <w:pStyle w:val="FirstParagraph"/>
        <w:spacing w:line="360" w:lineRule="auto" w:after="0"/>
        <w:ind w:firstLine="709"/>
        <w:jc w:val="both"/>
      </w:pPr>
      <w:r>
        <w:rPr>
          <w:rFonts w:ascii="Arial" w:hAnsi="Arial"/>
          <w:sz w:val="22"/>
        </w:rPr>
        <w:t xml:space="preserve">A PNAD Contínua é amostrada por conglomerados: pessoas dentro de unidades primárias de</w:t>
      </w:r>
      <w:r>
        <w:rPr>
          <w:rFonts w:ascii="Arial" w:hAnsi="Arial"/>
          <w:sz w:val="22"/>
        </w:rPr>
        <w:t xml:space="preserve"> </w:t>
      </w:r>
      <w:r>
        <w:rPr>
          <w:rFonts w:ascii="Arial" w:hAnsi="Arial"/>
          <w:sz w:val="22"/>
        </w:rPr>
        <w:t xml:space="preserve">amostragem (UPA, o proxy de bairro), dentro de estados. A hipótese substantiva do</w:t>
      </w:r>
      <w:r>
        <w:rPr>
          <w:rFonts w:ascii="Arial" w:hAnsi="Arial"/>
          <w:sz w:val="22"/>
        </w:rPr>
        <w:t xml:space="preserve"> </w:t>
      </w:r>
      <w:r>
        <w:rPr>
          <w:rFonts w:ascii="Arial" w:hAnsi="Arial"/>
          <w:sz w:val="22"/>
        </w:rPr>
        <w:t xml:space="preserve">trabalho (H1) é que o</w:t>
      </w:r>
      <w:r>
        <w:rPr>
          <w:rFonts w:ascii="Arial" w:hAnsi="Arial"/>
          <w:sz w:val="22"/>
        </w:rPr>
        <w:t xml:space="preserve"> </w:t>
      </w:r>
      <w:r>
        <w:rPr>
          <w:rFonts w:ascii="Arial" w:hAnsi="Arial"/>
          <w:sz w:val="22"/>
        </w:rPr>
        <w:t xml:space="preserve">bairro</w:t>
      </w:r>
      <w:r>
        <w:rPr>
          <w:rFonts w:ascii="Arial" w:hAnsi="Arial"/>
          <w:sz w:val="22"/>
        </w:rPr>
        <w:t xml:space="preserve"> </w:t>
      </w:r>
      <w:r>
        <w:rPr>
          <w:rFonts w:ascii="Arial" w:hAnsi="Arial"/>
          <w:sz w:val="22"/>
        </w:rPr>
        <w:t xml:space="preserve">media parte do gap racial; o modelo, portanto, coloca</w:t>
      </w:r>
      <w:r>
        <w:rPr>
          <w:rFonts w:ascii="Arial" w:hAnsi="Arial"/>
          <w:sz w:val="22"/>
        </w:rPr>
        <w:t xml:space="preserve"> </w:t>
      </w:r>
      <w:r>
        <w:rPr>
          <w:rFonts w:ascii="Arial" w:hAnsi="Arial"/>
          <w:sz w:val="22"/>
        </w:rPr>
        <w:t xml:space="preserve">a UPA no nível 2 e trata a UF como conjunto de efeitos fixos — 27 unidades são poucas para</w:t>
      </w:r>
      <w:r>
        <w:rPr>
          <w:rFonts w:ascii="Arial" w:hAnsi="Arial"/>
          <w:sz w:val="22"/>
        </w:rPr>
        <w:t xml:space="preserve"> </w:t>
      </w:r>
      <w:r>
        <w:rPr>
          <w:rFonts w:ascii="Arial" w:hAnsi="Arial"/>
          <w:sz w:val="22"/>
        </w:rPr>
        <w:t xml:space="preserve">um terceiro nível aleatório</w:t>
      </w:r>
      <w:r>
        <w:rPr>
          <w:rFonts w:ascii="Arial" w:hAnsi="Arial"/>
          <w:sz w:val="22"/>
        </w:rPr>
        <w:t xml:space="preserve"> </w:t>
      </w:r>
      <w:r>
        <w:rPr>
          <w:rFonts w:ascii="Arial" w:hAnsi="Arial"/>
          <w:sz w:val="22"/>
        </w:rPr>
        <w:t xml:space="preserve">(Angrist; Pischke, 2009)</w:t>
      </w:r>
      <w:r>
        <w:rPr>
          <w:rFonts w:ascii="Arial" w:hAnsi="Arial"/>
          <w:sz w:val="22"/>
        </w:rPr>
        <w:t xml:space="preserve">, e os 26</w:t>
      </w:r>
      <w:r>
        <w:rPr>
          <w:rFonts w:ascii="Arial" w:hAnsi="Arial"/>
          <w:sz w:val="22"/>
        </w:rPr>
        <w:t xml:space="preserve"> </w:t>
      </w:r>
      <w:r>
        <w:rPr>
          <w:rFonts w:ascii="Arial" w:hAnsi="Arial"/>
          <w:sz w:val="22"/>
        </w:rPr>
        <w:t xml:space="preserve">dummies</w:t>
      </w:r>
      <w:r>
        <w:rPr>
          <w:rFonts w:ascii="Arial" w:hAnsi="Arial"/>
          <w:sz w:val="22"/>
        </w:rPr>
        <w:t xml:space="preserve"> </w:t>
      </w:r>
      <w:r>
        <w:rPr>
          <w:rFonts w:ascii="Arial" w:hAnsi="Arial"/>
          <w:sz w:val="22"/>
        </w:rPr>
        <w:t xml:space="preserve">absorvem todo o</w:t>
      </w:r>
      <w:r>
        <w:rPr>
          <w:rFonts w:ascii="Arial" w:hAnsi="Arial"/>
          <w:sz w:val="22"/>
        </w:rPr>
        <w:t xml:space="preserve"> </w:t>
      </w:r>
      <w:r>
        <w:rPr>
          <w:rFonts w:ascii="Arial" w:hAnsi="Arial"/>
          <w:sz w:val="22"/>
        </w:rPr>
        <w:t xml:space="preserve">contexto estadual sem hipóteses distribucionais. O modelo de dois níveis é:</w:t>
      </w:r>
    </w:p>
    <w:p>
      <w:pPr>
        <w:pStyle w:val="BodyText"/>
        <w:spacing w:line="360" w:lineRule="auto" w:after="0"/>
        <w:ind w:firstLine="709"/>
        <w:jc w:val="both"/>
      </w:pPr>
      <w:r>
        <w:rPr>
          <w:rFonts w:ascii="Arial" w:hAnsi="Arial"/>
          <w:b/>
          <w:bCs/>
          <w:sz w:val="22"/>
        </w:rPr>
        <w:t xml:space="preserve">Nível 1 — indivíduo</w:t>
      </w:r>
      <w:r>
        <w:rPr>
          <w:rFonts w:ascii="Arial" w:hAnsi="Arial"/>
          <w:b/>
          <w:bCs/>
          <w:sz w:val="22"/>
        </w:rPr>
        <w:t xml:space="preserve"> </w:t>
      </w:r>
      <m:oMath>
        <m:r>
          <m:t>i</m:t>
        </m:r>
      </m:oMath>
      <w:r>
        <w:rPr>
          <w:rFonts w:ascii="Arial" w:hAnsi="Arial"/>
          <w:b/>
          <w:bCs/>
          <w:sz w:val="22"/>
        </w:rPr>
        <w:t xml:space="preserve"> </w:t>
      </w:r>
      <w:r>
        <w:rPr>
          <w:rFonts w:ascii="Arial" w:hAnsi="Arial"/>
          <w:b/>
          <w:bCs/>
          <w:sz w:val="22"/>
        </w:rPr>
        <w:t xml:space="preserve">na UPA</w:t>
      </w:r>
      <w:r>
        <w:rPr>
          <w:rFonts w:ascii="Arial" w:hAnsi="Arial"/>
          <w:b/>
          <w:bCs/>
          <w:sz w:val="22"/>
        </w:rPr>
        <w:t xml:space="preserve"> </w:t>
      </w:r>
      <m:oMath>
        <m:r>
          <m:t>j</m:t>
        </m:r>
      </m:oMath>
      <w:r>
        <w:rPr>
          <w:rFonts w:ascii="Arial" w:hAnsi="Arial"/>
          <w:b/>
          <w:bCs/>
          <w:sz w:val="22"/>
        </w:rPr>
        <w:t xml:space="preserve">:</w:t>
      </w:r>
    </w:p>
    <w:p>
      <w:pPr>
        <w:pStyle w:val="BodyText"/>
      </w:pPr>
      <m:oMathPara>
        <m:oMathParaPr>
          <m:jc m:val="center"/>
        </m:oMathParaPr>
        <m:oMath>
          <m:r>
            <m:rPr>
              <m:sty m:val="p"/>
            </m:rPr>
            <m:t>ln</m:t>
          </m:r>
          <m:r>
            <m:rPr>
              <m:sty m:val="p"/>
            </m:rPr>
            <m:t>(</m:t>
          </m:r>
          <m:r>
            <m:t>W</m:t>
          </m:r>
          <m:sSub>
            <m:e>
              <m:r>
                <m:rPr>
                  <m:sty m:val="p"/>
                </m:rPr>
                <m:t>)</m:t>
              </m:r>
            </m:e>
            <m:sub>
              <m:r>
                <m:t>i</m:t>
              </m:r>
              <m:r>
                <m:t>j</m:t>
              </m:r>
            </m:sub>
          </m:sSub>
          <m:r>
            <m:rPr>
              <m:sty m:val="p"/>
            </m:rPr>
            <m:t>=</m:t>
          </m:r>
          <m:sSub>
            <m:e>
              <m:r>
                <m:t>β</m:t>
              </m:r>
            </m:e>
            <m:sub>
              <m:r>
                <m:t>0</m:t>
              </m:r>
              <m:r>
                <m:t>j</m:t>
              </m:r>
            </m:sub>
          </m:sSub>
          <m:r>
            <m:rPr>
              <m:sty m:val="p"/>
            </m:rPr>
            <m:t>+</m:t>
          </m:r>
          <m:sSub>
            <m:e>
              <m:r>
                <m:t>β</m:t>
              </m:r>
            </m:e>
            <m:sub>
              <m:r>
                <m:t>1</m:t>
              </m:r>
            </m:sub>
          </m:sSub>
          <m:r>
            <m:t> </m:t>
          </m:r>
          <m:sSub>
            <m:e>
              <m:r>
                <m:rPr>
                  <m:nor/>
                  <m:sty m:val="p"/>
                </m:rPr>
                <m:t>Negro</m:t>
              </m:r>
            </m:e>
            <m:sub>
              <m:r>
                <m:t>i</m:t>
              </m:r>
              <m:r>
                <m:t>j</m:t>
              </m:r>
            </m:sub>
          </m:sSub>
          <m:r>
            <m:rPr>
              <m:sty m:val="p"/>
            </m:rPr>
            <m:t>+</m:t>
          </m:r>
          <m:sSub>
            <m:e>
              <m:r>
                <m:t>β</m:t>
              </m:r>
            </m:e>
            <m:sub>
              <m:r>
                <m:t>2</m:t>
              </m:r>
            </m:sub>
          </m:sSub>
          <m:r>
            <m:t> </m:t>
          </m:r>
          <m:sSub>
            <m:e>
              <m:r>
                <m:rPr>
                  <m:nor/>
                  <m:sty m:val="p"/>
                </m:rPr>
                <m:t>Sexo</m:t>
              </m:r>
            </m:e>
            <m:sub>
              <m:r>
                <m:t>i</m:t>
              </m:r>
              <m:r>
                <m:t>j</m:t>
              </m:r>
            </m:sub>
          </m:sSub>
          <m:r>
            <m:rPr>
              <m:sty m:val="p"/>
            </m:rPr>
            <m:t>+</m:t>
          </m:r>
          <m:sSub>
            <m:e>
              <m:r>
                <m:t>β</m:t>
              </m:r>
            </m:e>
            <m:sub>
              <m:r>
                <m:t>3</m:t>
              </m:r>
            </m:sub>
          </m:sSub>
          <m:r>
            <m:t> </m:t>
          </m:r>
          <m:sSub>
            <m:e>
              <m:r>
                <m:t>X</m:t>
              </m:r>
            </m:e>
            <m:sub>
              <m:r>
                <m:t>i</m:t>
              </m:r>
              <m:r>
                <m:t>j</m:t>
              </m:r>
            </m:sub>
          </m:sSub>
          <m:r>
            <m:rPr>
              <m:sty m:val="p"/>
            </m:rPr>
            <m:t>+</m:t>
          </m:r>
          <m:sSub>
            <m:e>
              <m:r>
                <m:t>β</m:t>
              </m:r>
            </m:e>
            <m:sub>
              <m:r>
                <m:t>4</m:t>
              </m:r>
            </m:sub>
          </m:sSub>
          <m:r>
            <m:t> </m:t>
          </m:r>
          <m:sSubSup>
            <m:e>
              <m:r>
                <m:t>X</m:t>
              </m:r>
            </m:e>
            <m:sub>
              <m:r>
                <m:t>i</m:t>
              </m:r>
              <m:r>
                <m:t>j</m:t>
              </m:r>
            </m:sub>
            <m:sup>
              <m:r>
                <m:t>2</m:t>
              </m:r>
            </m:sup>
          </m:sSubSup>
          <m:r>
            <m:rPr>
              <m:sty m:val="p"/>
            </m:rPr>
            <m:t>+</m:t>
          </m:r>
          <m:nary>
            <m:naryPr>
              <m:chr m:val="∑"/>
              <m:limLoc m:val="undOvr"/>
              <m:subHide m:val="off"/>
              <m:supHide m:val="on"/>
            </m:naryPr>
            <m:sub>
              <m:r>
                <m:t>e</m:t>
              </m:r>
            </m:sub>
            <m:sup>
              <m:r>
                <m:t>​</m:t>
              </m:r>
            </m:sup>
            <m:e>
              <m:sSub>
                <m:e>
                  <m:r>
                    <m:t>β</m:t>
                  </m:r>
                </m:e>
                <m:sub>
                  <m:r>
                    <m:t>e</m:t>
                  </m:r>
                </m:sub>
              </m:sSub>
            </m:e>
          </m:nary>
          <m:r>
            <m:t> </m:t>
          </m:r>
          <m:sSub>
            <m:e>
              <m:r>
                <m:rPr>
                  <m:nor/>
                  <m:sty m:val="p"/>
                </m:rPr>
                <m:t>Educ</m:t>
              </m:r>
            </m:e>
            <m:sub>
              <m:r>
                <m:t>e</m:t>
              </m:r>
              <m:r>
                <m:rPr>
                  <m:sty m:val="p"/>
                </m:rPr>
                <m:t>,</m:t>
              </m:r>
              <m:r>
                <m:t>i</m:t>
              </m:r>
              <m:r>
                <m:t>j</m:t>
              </m:r>
            </m:sub>
          </m:sSub>
          <m:r>
            <m:rPr>
              <m:sty m:val="p"/>
            </m:rPr>
            <m:t>+</m:t>
          </m:r>
          <m:sSubSup>
            <m:e>
              <m:r>
                <m:rPr>
                  <m:sty m:val="bi"/>
                </m:rPr>
                <m:t>β</m:t>
              </m:r>
            </m:e>
            <m:sub>
              <m:r>
                <m:t>5</m:t>
              </m:r>
            </m:sub>
            <m:sup>
              <m:r>
                <m:rPr>
                  <m:sty m:val="p"/>
                </m:rPr>
                <m:t>′</m:t>
              </m:r>
            </m:sup>
          </m:sSubSup>
          <m:sSub>
            <m:e>
              <m:r>
                <m:rPr>
                  <m:sty m:val="bi"/>
                </m:rPr>
                <m:t>Z</m:t>
              </m:r>
            </m:e>
            <m:sub>
              <m:r>
                <m:t>i</m:t>
              </m:r>
              <m:r>
                <m:t>j</m:t>
              </m:r>
            </m:sub>
          </m:sSub>
          <m:r>
            <m:rPr>
              <m:sty m:val="p"/>
            </m:rPr>
            <m:t>+</m:t>
          </m:r>
          <m:sSub>
            <m:e>
              <m:r>
                <m:t>ε</m:t>
              </m:r>
            </m:e>
            <m:sub>
              <m:r>
                <m:t>i</m:t>
              </m:r>
              <m:r>
                <m:t>j</m:t>
              </m:r>
            </m:sub>
          </m:sSub>
          <m:r>
            <m:t>  </m:t>
          </m:r>
          <m:r>
            <m:rPr>
              <m:nor/>
              <m:sty m:val="p"/>
            </m:rPr>
            <m:t>(1)</m:t>
          </m:r>
        </m:oMath>
      </m:oMathPara>
    </w:p>
    <w:p>
      <w:pPr>
        <w:pStyle w:val="FirstParagraph"/>
        <w:spacing w:line="360" w:lineRule="auto" w:after="0"/>
        <w:ind w:firstLine="709"/>
        <w:jc w:val="both"/>
      </w:pPr>
      <w:r>
        <w:rPr>
          <w:rFonts w:ascii="Arial" w:hAnsi="Arial"/>
          <w:sz w:val="22"/>
        </w:rPr>
        <w:t xml:space="preserve">em que</w:t>
      </w:r>
      <w:r>
        <w:rPr>
          <w:rFonts w:ascii="Arial" w:hAnsi="Arial"/>
          <w:sz w:val="22"/>
        </w:rPr>
        <w:t xml:space="preserve"> </w:t>
      </w:r>
      <m:oMath>
        <m:r>
          <m:rPr>
            <m:sty m:val="bi"/>
          </m:rPr>
          <m:t>Z</m:t>
        </m:r>
      </m:oMath>
      <w:r>
        <w:rPr>
          <w:rFonts w:ascii="Arial" w:hAnsi="Arial"/>
          <w:sz w:val="22"/>
        </w:rPr>
        <w:t xml:space="preserve"> </w:t>
      </w:r>
      <w:r>
        <w:rPr>
          <w:rFonts w:ascii="Arial" w:hAnsi="Arial"/>
          <w:sz w:val="22"/>
        </w:rPr>
        <w:t xml:space="preserve">reúne horas, situação urbana e ano (e, no M4, vínculo e</w:t>
      </w:r>
      <w:r>
        <w:rPr>
          <w:rFonts w:ascii="Arial" w:hAnsi="Arial"/>
          <w:sz w:val="22"/>
        </w:rPr>
        <w:t xml:space="preserve"> </w:t>
      </w:r>
      <w:r>
        <w:rPr>
          <w:rFonts w:ascii="Arial" w:hAnsi="Arial"/>
          <w:sz w:val="22"/>
        </w:rPr>
        <w:t xml:space="preserve">grupo CBO), e o termo de erro é</w:t>
      </w:r>
      <w:r>
        <w:rPr>
          <w:rFonts w:ascii="Arial" w:hAnsi="Arial"/>
          <w:sz w:val="22"/>
        </w:rPr>
        <w:t xml:space="preserve"> </w:t>
      </w:r>
      <m:oMath>
        <m:sSub>
          <m:e>
            <m:r>
              <m:t>ε</m:t>
            </m:r>
          </m:e>
          <m:sub>
            <m:r>
              <m:t>i</m:t>
            </m:r>
            <m:r>
              <m:t>j</m:t>
            </m:r>
          </m:sub>
        </m:sSub>
        <m:r>
          <m:rPr>
            <m:sty m:val="p"/>
          </m:rPr>
          <m:t>∼</m:t>
        </m:r>
        <m:r>
          <m:rPr>
            <m:scr m:val="script"/>
            <m:sty m:val="p"/>
          </m:rPr>
          <m:t>N</m:t>
        </m:r>
        <m:r>
          <m:rPr>
            <m:sty m:val="p"/>
          </m:rPr>
          <m:t>(</m:t>
        </m:r>
        <m:r>
          <m:t>0</m:t>
        </m:r>
        <m:r>
          <m:rPr>
            <m:sty m:val="p"/>
          </m:rPr>
          <m:t>,</m:t>
        </m:r>
        <m:sSup>
          <m:e>
            <m:r>
              <m:t>σ</m:t>
            </m:r>
          </m:e>
          <m:sup>
            <m:r>
              <m:t>2</m:t>
            </m:r>
          </m:sup>
        </m:sSup>
        <m:r>
          <m:rPr>
            <m:sty m:val="p"/>
          </m:rPr>
          <m:t>)</m:t>
        </m:r>
      </m:oMath>
      <w:r>
        <w:rPr>
          <w:rFonts w:ascii="Arial" w:hAnsi="Arial"/>
          <w:sz w:val="22"/>
        </w:rPr>
        <w:t xml:space="preserve">.</w:t>
      </w:r>
    </w:p>
    <w:p>
      <w:pPr>
        <w:pStyle w:val="BodyText"/>
        <w:spacing w:line="360" w:lineRule="auto" w:after="0"/>
        <w:ind w:firstLine="709"/>
        <w:jc w:val="both"/>
      </w:pPr>
      <w:r>
        <w:rPr>
          <w:rFonts w:ascii="Arial" w:hAnsi="Arial"/>
          <w:b/>
          <w:bCs/>
          <w:sz w:val="22"/>
        </w:rPr>
        <w:t xml:space="preserve">Nível 2 — bairro</w:t>
      </w:r>
      <w:r>
        <w:rPr>
          <w:rFonts w:ascii="Arial" w:hAnsi="Arial"/>
          <w:b/>
          <w:bCs/>
          <w:sz w:val="22"/>
        </w:rPr>
        <w:t xml:space="preserve"> </w:t>
      </w:r>
      <m:oMath>
        <m:r>
          <m:t>j</m:t>
        </m:r>
      </m:oMath>
      <w:r>
        <w:rPr>
          <w:rFonts w:ascii="Arial" w:hAnsi="Arial"/>
          <w:b/>
          <w:bCs/>
          <w:sz w:val="22"/>
        </w:rPr>
        <w:t xml:space="preserve"> </w:t>
      </w:r>
      <w:r>
        <w:rPr>
          <w:rFonts w:ascii="Arial" w:hAnsi="Arial"/>
          <w:b/>
          <w:bCs/>
          <w:sz w:val="22"/>
        </w:rPr>
        <w:t xml:space="preserve">(UPA):</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γ</m:t>
              </m:r>
            </m:e>
            <m:sub>
              <m:r>
                <m:t>01</m:t>
              </m:r>
            </m:sub>
          </m:sSub>
          <m:r>
            <m:t> </m:t>
          </m:r>
          <m:sSub>
            <m:e>
              <m:bar>
                <m:barPr>
                  <m:pos m:val="top"/>
                </m:barPr>
                <m:e>
                  <m:r>
                    <m:rPr>
                      <m:sty m:val="p"/>
                    </m:rPr>
                    <m:t>%</m:t>
                  </m:r>
                  <m:r>
                    <m:rPr>
                      <m:nor/>
                      <m:sty m:val="p"/>
                    </m:rPr>
                    <m:t>Negro</m:t>
                  </m:r>
                </m:e>
              </m:bar>
            </m:e>
            <m:sub>
              <m:r>
                <m:t>j</m:t>
              </m:r>
            </m:sub>
          </m:sSub>
          <m:r>
            <m:rPr>
              <m:sty m:val="p"/>
            </m:rPr>
            <m:t>+</m:t>
          </m:r>
          <m:sSub>
            <m:e>
              <m:r>
                <m:t>γ</m:t>
              </m:r>
            </m:e>
            <m:sub>
              <m:r>
                <m:t>02</m:t>
              </m:r>
            </m:sub>
          </m:sSub>
          <m:r>
            <m:t> </m:t>
          </m:r>
          <m:sSub>
            <m:e>
              <m:bar>
                <m:barPr>
                  <m:pos m:val="top"/>
                </m:barPr>
                <m:e>
                  <m:r>
                    <m:rPr>
                      <m:nor/>
                      <m:sty m:val="p"/>
                    </m:rPr>
                    <m:t>Desemprego</m:t>
                  </m:r>
                </m:e>
              </m:bar>
            </m:e>
            <m:sub>
              <m:r>
                <m:t>j</m:t>
              </m:r>
            </m:sub>
          </m:sSub>
          <m:r>
            <m:rPr>
              <m:sty m:val="p"/>
            </m:rPr>
            <m:t>+</m:t>
          </m:r>
          <m:sSub>
            <m:e>
              <m:r>
                <m:t>γ</m:t>
              </m:r>
            </m:e>
            <m:sub>
              <m:r>
                <m:t>03</m:t>
              </m:r>
            </m:sub>
          </m:sSub>
          <m:r>
            <m:t> </m:t>
          </m:r>
          <m:sSub>
            <m:e>
              <m:bar>
                <m:barPr>
                  <m:pos m:val="top"/>
                </m:barPr>
                <m:e>
                  <m:r>
                    <m:rPr>
                      <m:nor/>
                      <m:sty m:val="p"/>
                    </m:rPr>
                    <m:t>Educ</m:t>
                  </m:r>
                </m:e>
              </m:bar>
            </m:e>
            <m:sub>
              <m:r>
                <m:t>j</m:t>
              </m:r>
            </m:sub>
          </m:sSub>
          <m:r>
            <m:rPr>
              <m:sty m:val="p"/>
            </m:rPr>
            <m:t>+</m:t>
          </m:r>
          <m:nary>
            <m:naryPr>
              <m:chr m:val="∑"/>
              <m:limLoc m:val="undOvr"/>
              <m:subHide m:val="off"/>
              <m:supHide m:val="off"/>
            </m:naryPr>
            <m:sub>
              <m:r>
                <m:t>k</m:t>
              </m:r>
              <m:r>
                <m:rPr>
                  <m:sty m:val="p"/>
                </m:rPr>
                <m:t>=</m:t>
              </m:r>
              <m:r>
                <m:t>2</m:t>
              </m:r>
            </m:sub>
            <m:sup>
              <m:r>
                <m:t>27</m:t>
              </m:r>
            </m:sup>
            <m:e>
              <m:sSub>
                <m:e>
                  <m:r>
                    <m:t>δ</m:t>
                  </m:r>
                </m:e>
                <m:sub>
                  <m:r>
                    <m:t>k</m:t>
                  </m:r>
                </m:sub>
              </m:sSub>
            </m:e>
          </m:nary>
          <m:r>
            <m:t> </m:t>
          </m:r>
          <m:sSub>
            <m:e>
              <m:r>
                <m:rPr>
                  <m:nor/>
                  <m:sty m:val="p"/>
                </m:rPr>
                <m:t>UF</m:t>
              </m:r>
            </m:e>
            <m:sub>
              <m:r>
                <m:t>k</m:t>
              </m:r>
              <m:r>
                <m:rPr>
                  <m:sty m:val="p"/>
                </m:rPr>
                <m:t>(</m:t>
              </m:r>
              <m:r>
                <m:t>j</m:t>
              </m:r>
              <m:r>
                <m:rPr>
                  <m:sty m:val="p"/>
                </m:rPr>
                <m:t>)</m:t>
              </m:r>
            </m:sub>
          </m:sSub>
          <m:r>
            <m:rPr>
              <m:sty m:val="p"/>
            </m:rPr>
            <m:t>+</m:t>
          </m:r>
          <m:sSub>
            <m:e>
              <m:r>
                <m:t>u</m:t>
              </m:r>
            </m:e>
            <m:sub>
              <m:r>
                <m:t>0</m:t>
              </m:r>
              <m:r>
                <m:t>j</m:t>
              </m:r>
            </m:sub>
          </m:sSub>
          <m:r>
            <m:t>  </m:t>
          </m:r>
          <m:r>
            <m:rPr>
              <m:nor/>
              <m:sty m:val="p"/>
            </m:rPr>
            <m:t>(2)</m:t>
          </m:r>
        </m:oMath>
      </m:oMathPara>
    </w:p>
    <w:p>
      <w:pPr>
        <w:pStyle w:val="FirstParagraph"/>
        <w:spacing w:line="360" w:lineRule="auto" w:after="0"/>
        <w:ind w:firstLine="709"/>
        <w:jc w:val="both"/>
      </w:pPr>
      <w:r>
        <w:rPr>
          <w:rFonts w:ascii="Arial" w:hAnsi="Arial"/>
          <w:sz w:val="22"/>
        </w:rPr>
        <w:t xml:space="preserve">com</w:t>
      </w:r>
      <w:r>
        <w:rPr>
          <w:rFonts w:ascii="Arial" w:hAnsi="Arial"/>
          <w:sz w:val="22"/>
        </w:rPr>
        <w:t xml:space="preserve"> </w:t>
      </w:r>
      <m:oMath>
        <m:sSub>
          <m:e>
            <m:r>
              <m:t>u</m:t>
            </m:r>
          </m:e>
          <m:sub>
            <m:r>
              <m:t>0</m:t>
            </m:r>
            <m:r>
              <m:t>j</m:t>
            </m:r>
          </m:sub>
        </m:sSub>
        <m:r>
          <m:rPr>
            <m:sty m:val="p"/>
          </m:rPr>
          <m:t>∼</m:t>
        </m:r>
        <m:r>
          <m:rPr>
            <m:scr m:val="script"/>
            <m:sty m:val="p"/>
          </m:rPr>
          <m:t>N</m:t>
        </m:r>
        <m:r>
          <m:rPr>
            <m:sty m:val="p"/>
          </m:rPr>
          <m:t>(</m:t>
        </m:r>
        <m:r>
          <m:t>0</m:t>
        </m:r>
        <m:r>
          <m:rPr>
            <m:sty m:val="p"/>
          </m:rPr>
          <m:t>,</m:t>
        </m:r>
        <m:sSubSup>
          <m:e>
            <m:r>
              <m:t>τ</m:t>
            </m:r>
          </m:e>
          <m:sub>
            <m:r>
              <m:rPr>
                <m:nor/>
                <m:sty m:val="p"/>
              </m:rPr>
              <m:t>UPA</m:t>
            </m:r>
          </m:sub>
          <m:sup>
            <m:r>
              <m:t>2</m:t>
            </m:r>
          </m:sup>
        </m:sSubSup>
        <m:r>
          <m:rPr>
            <m:sty m:val="p"/>
          </m:rPr>
          <m:t>)</m:t>
        </m:r>
      </m:oMath>
      <w:r>
        <w:rPr>
          <w:rFonts w:ascii="Arial" w:hAnsi="Arial"/>
          <w:sz w:val="22"/>
        </w:rPr>
        <w:t xml:space="preserve">.</w:t>
      </w:r>
      <w:r>
        <w:rPr>
          <w:rFonts w:ascii="Arial" w:hAnsi="Arial"/>
          <w:sz w:val="22"/>
        </w:rPr>
        <w:t xml:space="preserve"> </w:t>
      </w:r>
      <w:r>
        <w:rPr>
          <w:rFonts w:ascii="Arial" w:hAnsi="Arial"/>
          <w:sz w:val="22"/>
        </w:rPr>
        <w:t xml:space="preserve">O coeficiente</w:t>
      </w:r>
      <w:r>
        <w:rPr>
          <w:rFonts w:ascii="Arial" w:hAnsi="Arial"/>
          <w:sz w:val="22"/>
        </w:rPr>
        <w:t xml:space="preserve"> </w:t>
      </w:r>
      <m:oMath>
        <m:sSub>
          <m:e>
            <m:r>
              <m:t>γ</m:t>
            </m:r>
          </m:e>
          <m:sub>
            <m:r>
              <m:t>01</m:t>
            </m:r>
          </m:sub>
        </m:sSub>
        <m:r>
          <m:rPr>
            <m:sty m:val="p"/>
          </m:rPr>
          <m:t>&lt;</m:t>
        </m:r>
        <m:r>
          <m:t>0</m:t>
        </m:r>
      </m:oMath>
      <w:r>
        <w:rPr>
          <w:rFonts w:ascii="Arial" w:hAnsi="Arial"/>
          <w:sz w:val="22"/>
        </w:rPr>
        <w:t xml:space="preserve"> </w:t>
      </w:r>
      <w:r>
        <w:rPr>
          <w:rFonts w:ascii="Arial" w:hAnsi="Arial"/>
          <w:sz w:val="22"/>
        </w:rPr>
        <w:t xml:space="preserve">é a evidência de</w:t>
      </w:r>
      <w:r>
        <w:rPr>
          <w:rFonts w:ascii="Arial" w:hAnsi="Arial"/>
          <w:sz w:val="22"/>
        </w:rPr>
        <w:t xml:space="preserve"> </w:t>
      </w:r>
      <w:r>
        <w:rPr>
          <w:rFonts w:ascii="Arial" w:hAnsi="Arial"/>
          <w:sz w:val="22"/>
        </w:rPr>
        <w:t xml:space="preserve">duplo disadvantage</w:t>
      </w:r>
      <w:r>
        <w:rPr>
          <w:rFonts w:ascii="Arial" w:hAnsi="Arial"/>
          <w:sz w:val="22"/>
        </w:rPr>
        <w:t xml:space="preserve">: morar em</w:t>
      </w:r>
      <w:r>
        <w:rPr>
          <w:rFonts w:ascii="Arial" w:hAnsi="Arial"/>
          <w:sz w:val="22"/>
        </w:rPr>
        <w:t xml:space="preserve"> </w:t>
      </w:r>
      <w:r>
        <w:rPr>
          <w:rFonts w:ascii="Arial" w:hAnsi="Arial"/>
          <w:sz w:val="22"/>
        </w:rPr>
        <w:t xml:space="preserve">bairros com maior concentração de negros reduz o rendimento</w:t>
      </w:r>
      <w:r>
        <w:rPr>
          <w:rFonts w:ascii="Arial" w:hAnsi="Arial"/>
          <w:sz w:val="22"/>
        </w:rPr>
        <w:t xml:space="preserve"> </w:t>
      </w:r>
      <w:r>
        <w:rPr>
          <w:rFonts w:ascii="Arial" w:hAnsi="Arial"/>
          <w:sz w:val="22"/>
        </w:rPr>
        <w:t xml:space="preserve">independentemente</w:t>
      </w:r>
      <w:r>
        <w:rPr>
          <w:rFonts w:ascii="Arial" w:hAnsi="Arial"/>
          <w:sz w:val="22"/>
        </w:rPr>
        <w:t xml:space="preserve"> </w:t>
      </w:r>
      <w:r>
        <w:rPr>
          <w:rFonts w:ascii="Arial" w:hAnsi="Arial"/>
          <w:sz w:val="22"/>
        </w:rPr>
        <w:t xml:space="preserve">da raça individual. A correlação intraclasse, calculada por</w:t>
      </w:r>
      <w:r>
        <w:rPr>
          <w:rFonts w:ascii="Arial" w:hAnsi="Arial"/>
          <w:sz w:val="22"/>
        </w:rPr>
        <w:t xml:space="preserve"> </w:t>
      </w:r>
      <m:oMath>
        <m:sSub>
          <m:e>
            <m:r>
              <m:t>ρ</m:t>
            </m:r>
          </m:e>
          <m:sub>
            <m:r>
              <m:rPr>
                <m:nor/>
                <m:sty m:val="p"/>
              </m:rPr>
              <m:t>UPA</m:t>
            </m:r>
          </m:sub>
        </m:sSub>
        <m:r>
          <m:rPr>
            <m:sty m:val="p"/>
          </m:rPr>
          <m:t>=</m:t>
        </m:r>
        <m:sSubSup>
          <m:e>
            <m:r>
              <m:t>τ</m:t>
            </m:r>
          </m:e>
          <m:sub>
            <m:r>
              <m:rPr>
                <m:nor/>
                <m:sty m:val="p"/>
              </m:rPr>
              <m:t>UPA</m:t>
            </m:r>
          </m:sub>
          <m:sup>
            <m:r>
              <m:t>2</m:t>
            </m:r>
          </m:sup>
        </m:sSubSup>
        <m:r>
          <m:rPr>
            <m:sty m:val="p"/>
          </m:rPr>
          <m:t>/</m:t>
        </m:r>
        <m:r>
          <m:rPr>
            <m:sty m:val="p"/>
          </m:rPr>
          <m:t>(</m:t>
        </m:r>
        <m:sSubSup>
          <m:e>
            <m:r>
              <m:t>τ</m:t>
            </m:r>
          </m:e>
          <m:sub>
            <m:r>
              <m:rPr>
                <m:nor/>
                <m:sty m:val="p"/>
              </m:rPr>
              <m:t>UPA</m:t>
            </m:r>
          </m:sub>
          <m:sup>
            <m:r>
              <m:t>2</m:t>
            </m:r>
          </m:sup>
        </m:sSubSup>
        <m:r>
          <m:rPr>
            <m:sty m:val="p"/>
          </m:rPr>
          <m:t>+</m:t>
        </m:r>
        <m:sSup>
          <m:e>
            <m:r>
              <m:t>σ</m:t>
            </m:r>
          </m:e>
          <m:sup>
            <m:r>
              <m:t>2</m:t>
            </m:r>
          </m:sup>
        </m:sSup>
        <m:r>
          <m:rPr>
            <m:sty m:val="p"/>
          </m:rPr>
          <m:t>)</m:t>
        </m:r>
      </m:oMath>
      <w:r>
        <w:rPr>
          <w:rFonts w:ascii="Arial" w:hAnsi="Arial"/>
          <w:sz w:val="22"/>
        </w:rPr>
        <w:t xml:space="preserve">,</w:t>
      </w:r>
      <w:r>
        <w:rPr>
          <w:rFonts w:ascii="Arial" w:hAnsi="Arial"/>
          <w:sz w:val="22"/>
        </w:rPr>
        <w:t xml:space="preserve"> </w:t>
      </w:r>
      <w:r>
        <w:rPr>
          <w:rFonts w:ascii="Arial" w:hAnsi="Arial"/>
          <w:sz w:val="22"/>
        </w:rPr>
        <w:t xml:space="preserve">mede a fração da variância do log-rendimento que está</w:t>
      </w:r>
      <w:r>
        <w:rPr>
          <w:rFonts w:ascii="Arial" w:hAnsi="Arial"/>
          <w:sz w:val="22"/>
        </w:rPr>
        <w:t xml:space="preserve"> </w:t>
      </w:r>
      <w:r>
        <w:rPr>
          <w:rFonts w:ascii="Arial" w:hAnsi="Arial"/>
          <w:sz w:val="22"/>
        </w:rPr>
        <w:t xml:space="preserve">entre</w:t>
      </w:r>
      <w:r>
        <w:rPr>
          <w:rFonts w:ascii="Arial" w:hAnsi="Arial"/>
          <w:sz w:val="22"/>
        </w:rPr>
        <w:t xml:space="preserve"> </w:t>
      </w:r>
      <w:r>
        <w:rPr>
          <w:rFonts w:ascii="Arial" w:hAnsi="Arial"/>
          <w:sz w:val="22"/>
        </w:rPr>
        <w:t xml:space="preserve">bairros; valores</w:t>
      </w:r>
      <w:r>
        <w:rPr>
          <w:rFonts w:ascii="Arial" w:hAnsi="Arial"/>
          <w:sz w:val="22"/>
        </w:rPr>
        <w:t xml:space="preserve"> </w:t>
      </w:r>
      <w:r>
        <w:rPr>
          <w:rFonts w:ascii="Arial" w:hAnsi="Arial"/>
          <w:sz w:val="22"/>
        </w:rPr>
        <w:t xml:space="preserve">acima de 5% justificam o modelo multinível</w:t>
      </w:r>
      <w:r>
        <w:rPr>
          <w:rFonts w:ascii="Arial" w:hAnsi="Arial"/>
          <w:sz w:val="22"/>
        </w:rPr>
        <w:t xml:space="preserve"> </w:t>
      </w:r>
      <w:r>
        <w:rPr>
          <w:rFonts w:ascii="Arial" w:hAnsi="Arial"/>
          <w:sz w:val="22"/>
        </w:rPr>
        <w:t xml:space="preserve">(Raudenbush; Bryk, 2002)</w:t>
      </w:r>
      <w:r>
        <w:rPr>
          <w:rFonts w:ascii="Arial" w:hAnsi="Arial"/>
          <w:sz w:val="22"/>
        </w:rPr>
        <w:t xml:space="preserve">.</w:t>
      </w:r>
    </w:p>
    <w:p>
      <w:pPr>
        <w:pStyle w:val="BodyText"/>
        <w:spacing w:line="360" w:lineRule="auto" w:after="0"/>
        <w:ind w:firstLine="709"/>
        <w:jc w:val="both"/>
      </w:pPr>
      <w:r>
        <w:rPr>
          <w:rFonts w:ascii="Arial" w:hAnsi="Arial"/>
          <w:b/>
          <w:bCs/>
          <w:sz w:val="22"/>
        </w:rPr>
        <w:t xml:space="preserve">Estratégia</w:t>
      </w:r>
      <w:r>
        <w:rPr>
          <w:rFonts w:ascii="Arial" w:hAnsi="Arial"/>
          <w:b/>
          <w:bCs/>
          <w:sz w:val="22"/>
        </w:rPr>
        <w:t xml:space="preserve"> </w:t>
      </w:r>
      <w:r>
        <w:rPr>
          <w:rFonts w:ascii="Arial" w:hAnsi="Arial"/>
          <w:b/>
          <w:bCs/>
          <w:sz w:val="22"/>
        </w:rPr>
        <w:t xml:space="preserve">step-up</w:t>
      </w:r>
      <w:r>
        <w:rPr>
          <w:rFonts w:ascii="Arial" w:hAnsi="Arial"/>
          <w:b/>
          <w:bCs/>
          <w:sz w:val="22"/>
        </w:rPr>
        <w:t xml:space="preserve">.</w:t>
      </w:r>
      <w:r>
        <w:rPr>
          <w:rFonts w:ascii="Arial" w:hAnsi="Arial"/>
          <w:sz w:val="22"/>
        </w:rPr>
        <w:t xml:space="preserve"> </w:t>
      </w:r>
      <w:r>
        <w:rPr>
          <w:rFonts w:ascii="Arial" w:hAnsi="Arial"/>
          <w:sz w:val="22"/>
        </w:rPr>
        <w:t xml:space="preserve">Seguindo</w:t>
      </w:r>
      <w:r>
        <w:rPr>
          <w:rFonts w:ascii="Arial" w:hAnsi="Arial"/>
          <w:sz w:val="22"/>
        </w:rPr>
        <w:t xml:space="preserve"> </w:t>
      </w:r>
      <w:r>
        <w:rPr>
          <w:rFonts w:ascii="Arial" w:hAnsi="Arial"/>
          <w:sz w:val="22"/>
        </w:rPr>
        <w:t xml:space="preserve">Raudenbush; Bryk (2002)</w:t>
      </w:r>
      <w:r>
        <w:rPr>
          <w:rFonts w:ascii="Arial" w:hAnsi="Arial"/>
          <w:sz w:val="22"/>
        </w:rPr>
        <w:t xml:space="preserve">, os modelos</w:t>
      </w:r>
      <w:r>
        <w:rPr>
          <w:rFonts w:ascii="Arial" w:hAnsi="Arial"/>
          <w:sz w:val="22"/>
        </w:rPr>
        <w:t xml:space="preserve"> </w:t>
      </w:r>
      <w:r>
        <w:rPr>
          <w:rFonts w:ascii="Arial" w:hAnsi="Arial"/>
          <w:sz w:val="22"/>
        </w:rPr>
        <w:t xml:space="preserve">são estimados em degraus aninhados: M0 (nulo: só o intercepto aleatório, que dá o ICC);</w:t>
      </w:r>
      <w:r>
        <w:rPr>
          <w:rFonts w:ascii="Arial" w:hAnsi="Arial"/>
          <w:sz w:val="22"/>
        </w:rPr>
        <w:t xml:space="preserve"> </w:t>
      </w:r>
      <w:r>
        <w:rPr>
          <w:rFonts w:ascii="Arial" w:hAnsi="Arial"/>
          <w:sz w:val="22"/>
        </w:rPr>
        <w:t xml:space="preserve">M1 (+ capital humano e demografia); M2 (+ contexto do bairro, nível 2); M3 (+ efeitos</w:t>
      </w:r>
      <w:r>
        <w:rPr>
          <w:rFonts w:ascii="Arial" w:hAnsi="Arial"/>
          <w:sz w:val="22"/>
        </w:rPr>
        <w:t xml:space="preserve"> </w:t>
      </w:r>
      <w:r>
        <w:rPr>
          <w:rFonts w:ascii="Arial" w:hAnsi="Arial"/>
          <w:sz w:val="22"/>
        </w:rPr>
        <w:t xml:space="preserve">fixos de UF) — o modelo principal, que produz o</w:t>
      </w:r>
      <w:r>
        <w:rPr>
          <w:rFonts w:ascii="Arial" w:hAnsi="Arial"/>
          <w:sz w:val="22"/>
        </w:rPr>
        <w:t xml:space="preserve"> </w:t>
      </w:r>
      <w:r>
        <w:rPr>
          <w:rFonts w:ascii="Arial" w:hAnsi="Arial"/>
          <w:b/>
          <w:bCs/>
          <w:sz w:val="22"/>
        </w:rPr>
        <w:t xml:space="preserve">gap líquido</w:t>
      </w:r>
      <w:r>
        <w:rPr>
          <w:rFonts w:ascii="Arial" w:hAnsi="Arial"/>
          <w:sz w:val="22"/>
        </w:rPr>
        <w:t xml:space="preserve">; e M4 (+ vínculo</w:t>
      </w:r>
      <w:r>
        <w:rPr>
          <w:rFonts w:ascii="Arial" w:hAnsi="Arial"/>
          <w:sz w:val="22"/>
        </w:rPr>
        <w:t xml:space="preserve"> </w:t>
      </w:r>
      <w:r>
        <w:rPr>
          <w:rFonts w:ascii="Arial" w:hAnsi="Arial"/>
          <w:sz w:val="22"/>
        </w:rPr>
        <w:t xml:space="preserve">e grupo ocupacional), reportado como</w:t>
      </w:r>
      <w:r>
        <w:rPr>
          <w:rFonts w:ascii="Arial" w:hAnsi="Arial"/>
          <w:sz w:val="22"/>
        </w:rPr>
        <w:t xml:space="preserve"> </w:t>
      </w:r>
      <w:r>
        <w:rPr>
          <w:rFonts w:ascii="Arial" w:hAnsi="Arial"/>
          <w:sz w:val="22"/>
        </w:rPr>
        <w:t xml:space="preserve">limite inferior</w:t>
      </w:r>
      <w:r>
        <w:rPr>
          <w:rFonts w:ascii="Arial" w:hAnsi="Arial"/>
          <w:sz w:val="22"/>
        </w:rPr>
        <w:t xml:space="preserve"> </w:t>
      </w:r>
      <w:r>
        <w:rPr>
          <w:rFonts w:ascii="Arial" w:hAnsi="Arial"/>
          <w:sz w:val="22"/>
        </w:rPr>
        <w:t xml:space="preserve">porque ocupação e formalidade</w:t>
      </w:r>
      <w:r>
        <w:rPr>
          <w:rFonts w:ascii="Arial" w:hAnsi="Arial"/>
          <w:sz w:val="22"/>
        </w:rPr>
        <w:t xml:space="preserve"> </w:t>
      </w:r>
      <w:r>
        <w:rPr>
          <w:rFonts w:ascii="Arial" w:hAnsi="Arial"/>
          <w:sz w:val="22"/>
        </w:rPr>
        <w:t xml:space="preserve">são desfechos da própria discriminação (</w:t>
      </w:r>
      <w:r>
        <w:rPr>
          <w:rFonts w:ascii="Arial" w:hAnsi="Arial"/>
          <w:sz w:val="22"/>
        </w:rPr>
        <w:t xml:space="preserve">bad controls</w:t>
      </w:r>
      <w:r>
        <w:rPr>
          <w:rFonts w:ascii="Arial" w:hAnsi="Arial"/>
          <w:sz w:val="22"/>
        </w:rPr>
        <w:t xml:space="preserve">,</w:t>
      </w:r>
      <w:r>
        <w:rPr>
          <w:rFonts w:ascii="Arial" w:hAnsi="Arial"/>
          <w:sz w:val="22"/>
        </w:rPr>
        <w:t xml:space="preserve"> </w:t>
      </w:r>
      <w:r>
        <w:rPr>
          <w:rFonts w:ascii="Arial" w:hAnsi="Arial"/>
          <w:sz w:val="22"/>
        </w:rPr>
        <w:t xml:space="preserve">Angrist; Pischke (2009)</w:t>
      </w:r>
      <w:r>
        <w:rPr>
          <w:rFonts w:ascii="Arial" w:hAnsi="Arial"/>
          <w:sz w:val="22"/>
        </w:rPr>
        <w:t xml:space="preserve">).</w:t>
      </w:r>
      <w:r>
        <w:rPr>
          <w:rFonts w:ascii="Arial" w:hAnsi="Arial"/>
          <w:sz w:val="22"/>
        </w:rPr>
        <w:t xml:space="preserve"> </w:t>
      </w:r>
      <w:r>
        <w:rPr>
          <w:rFonts w:ascii="Arial" w:hAnsi="Arial"/>
          <w:sz w:val="22"/>
        </w:rPr>
        <w:t xml:space="preserve">Cada degrau é comparado ao anterior por teste de razão de verossimilhança (LR), e a</w:t>
      </w:r>
      <w:r>
        <w:rPr>
          <w:rFonts w:ascii="Arial" w:hAnsi="Arial"/>
          <w:sz w:val="22"/>
        </w:rPr>
        <w:t xml:space="preserve"> </w:t>
      </w:r>
      <w:r>
        <w:rPr>
          <w:rFonts w:ascii="Arial" w:hAnsi="Arial"/>
          <w:sz w:val="22"/>
        </w:rPr>
        <w:t xml:space="preserve">redução de</w:t>
      </w:r>
      <w:r>
        <w:rPr>
          <w:rFonts w:ascii="Arial" w:hAnsi="Arial"/>
          <w:sz w:val="22"/>
        </w:rPr>
        <w:t xml:space="preserve"> </w:t>
      </w:r>
      <m:oMath>
        <m:sSubSup>
          <m:e>
            <m:r>
              <m:t>τ</m:t>
            </m:r>
          </m:e>
          <m:sub>
            <m:r>
              <m:rPr>
                <m:nor/>
                <m:sty m:val="p"/>
              </m:rPr>
              <m:t>UPA</m:t>
            </m:r>
          </m:sub>
          <m:sup>
            <m:r>
              <m:t>2</m:t>
            </m:r>
          </m:sup>
        </m:sSubSup>
      </m:oMath>
      <w:r>
        <w:rPr>
          <w:rFonts w:ascii="Arial" w:hAnsi="Arial"/>
          <w:sz w:val="22"/>
        </w:rPr>
        <w:t xml:space="preserve"> </w:t>
      </w:r>
      <w:r>
        <w:rPr>
          <w:rFonts w:ascii="Arial" w:hAnsi="Arial"/>
          <w:sz w:val="22"/>
        </w:rPr>
        <w:t xml:space="preserve">em relação ao M0 mede a variância entre bairros explicada</w:t>
      </w:r>
      <w:r>
        <w:rPr>
          <w:rFonts w:ascii="Arial" w:hAnsi="Arial"/>
          <w:sz w:val="22"/>
        </w:rPr>
        <w:t xml:space="preserve"> </w:t>
      </w:r>
      <w:r>
        <w:rPr>
          <w:rFonts w:ascii="Arial" w:hAnsi="Arial"/>
          <w:sz w:val="22"/>
        </w:rPr>
        <w:t xml:space="preserve">pelos controles. Testa-se ainda uma</w:t>
      </w:r>
      <w:r>
        <w:rPr>
          <w:rFonts w:ascii="Arial" w:hAnsi="Arial"/>
          <w:sz w:val="22"/>
        </w:rPr>
        <w:t xml:space="preserve"> </w:t>
      </w:r>
      <w:r>
        <w:rPr>
          <w:rFonts w:ascii="Arial" w:hAnsi="Arial"/>
          <w:sz w:val="22"/>
        </w:rPr>
        <w:t xml:space="preserve">inclinação aleatória</w:t>
      </w:r>
      <w:r>
        <w:rPr>
          <w:rFonts w:ascii="Arial" w:hAnsi="Arial"/>
          <w:sz w:val="22"/>
        </w:rPr>
        <w:t xml:space="preserve"> </w:t>
      </w:r>
      <w:r>
        <w:rPr>
          <w:rFonts w:ascii="Arial" w:hAnsi="Arial"/>
          <w:sz w:val="22"/>
        </w:rPr>
        <w:t xml:space="preserve">de</w:t>
      </w:r>
      <w:r>
        <w:rPr>
          <w:rFonts w:ascii="Arial" w:hAnsi="Arial"/>
          <w:sz w:val="22"/>
        </w:rPr>
        <w:t xml:space="preserve"> </w:t>
      </w:r>
      <w:r>
        <w:rPr>
          <w:rStyle w:val="VerbatimChar"/>
          <w:rFonts w:ascii="Arial" w:hAnsi="Arial"/>
          <w:sz w:val="22"/>
        </w:rPr>
        <w:t xml:space="preserve">negro</w:t>
      </w:r>
      <w:r>
        <w:rPr>
          <w:rFonts w:ascii="Arial" w:hAnsi="Arial"/>
          <w:sz w:val="22"/>
        </w:rPr>
        <w:t xml:space="preserve"> </w:t>
      </w:r>
      <w:r>
        <w:rPr>
          <w:rFonts w:ascii="Arial" w:hAnsi="Arial"/>
          <w:sz w:val="22"/>
        </w:rPr>
        <w:t xml:space="preserve">por UPA</w:t>
      </w:r>
      <w:r>
        <w:rPr>
          <w:rFonts w:ascii="Arial" w:hAnsi="Arial"/>
          <w:sz w:val="22"/>
        </w:rPr>
        <w:t xml:space="preserve"> </w:t>
      </w:r>
      <w:r>
        <w:rPr>
          <w:rFonts w:ascii="Arial" w:hAnsi="Arial"/>
          <w:sz w:val="22"/>
        </w:rPr>
        <w:t xml:space="preserve">(M3 +</w:t>
      </w:r>
      <w:r>
        <w:rPr>
          <w:rFonts w:ascii="Arial" w:hAnsi="Arial"/>
          <w:sz w:val="22"/>
        </w:rPr>
        <w:t xml:space="preserve"> </w:t>
      </w:r>
      <m:oMath>
        <m:sSub>
          <m:e>
            <m:r>
              <m:t>u</m:t>
            </m:r>
          </m:e>
          <m:sub>
            <m:r>
              <m:t>1</m:t>
            </m:r>
            <m:r>
              <m:t>j</m:t>
            </m:r>
          </m:sub>
        </m:sSub>
        <m:sSub>
          <m:e>
            <m:r>
              <m:rPr>
                <m:nor/>
                <m:sty m:val="p"/>
              </m:rPr>
              <m:t>Negro</m:t>
            </m:r>
          </m:e>
          <m:sub>
            <m:r>
              <m:t>i</m:t>
            </m:r>
            <m:r>
              <m:t>j</m:t>
            </m:r>
          </m:sub>
        </m:sSub>
      </m:oMath>
      <w:r>
        <w:rPr>
          <w:rFonts w:ascii="Arial" w:hAnsi="Arial"/>
          <w:sz w:val="22"/>
        </w:rPr>
        <w:t xml:space="preserve">, com covariância não estruturada) — a penalidade racial</w:t>
      </w:r>
      <w:r>
        <w:rPr>
          <w:rFonts w:ascii="Arial" w:hAnsi="Arial"/>
          <w:sz w:val="22"/>
        </w:rPr>
        <w:t xml:space="preserve"> </w:t>
      </w:r>
      <w:r>
        <w:rPr>
          <w:rFonts w:ascii="Arial" w:hAnsi="Arial"/>
          <w:sz w:val="22"/>
        </w:rPr>
        <w:t xml:space="preserve">varia entre bairros? — por LR com dois graus de liberdade. Todos os modelos são</w:t>
      </w:r>
      <w:r>
        <w:rPr>
          <w:rFonts w:ascii="Arial" w:hAnsi="Arial"/>
          <w:sz w:val="22"/>
        </w:rPr>
        <w:t xml:space="preserve"> </w:t>
      </w:r>
      <w:r>
        <w:rPr>
          <w:rFonts w:ascii="Arial" w:hAnsi="Arial"/>
          <w:sz w:val="22"/>
        </w:rPr>
        <w:t xml:space="preserve">estimados por máxima verossimilhança (ML), necessária para comparar efeitos fixos entre</w:t>
      </w:r>
      <w:r>
        <w:rPr>
          <w:rFonts w:ascii="Arial" w:hAnsi="Arial"/>
          <w:sz w:val="22"/>
        </w:rPr>
        <w:t xml:space="preserve"> </w:t>
      </w:r>
      <w:r>
        <w:rPr>
          <w:rFonts w:ascii="Arial" w:hAnsi="Arial"/>
          <w:sz w:val="22"/>
        </w:rPr>
        <w:t xml:space="preserve">degraus; com</w:t>
      </w:r>
      <w:r>
        <w:rPr>
          <w:rFonts w:ascii="Arial" w:hAnsi="Arial"/>
          <w:sz w:val="22"/>
        </w:rPr>
        <w:t xml:space="preserve"> </w:t>
      </w:r>
      <m:oMath>
        <m:r>
          <m:t>N</m:t>
        </m:r>
        <m:r>
          <m:rPr>
            <m:sty m:val="p"/>
          </m:rPr>
          <m:t>=</m:t>
        </m:r>
        <m:r>
          <m:t>7</m:t>
        </m:r>
        <m:r>
          <m:rPr>
            <m:sty m:val="p"/>
          </m:rPr>
          <m:t>,</m:t>
        </m:r>
        <m:r>
          <m:t>7</m:t>
        </m:r>
      </m:oMath>
      <w:r>
        <w:rPr>
          <w:rFonts w:ascii="Arial" w:hAnsi="Arial"/>
          <w:sz w:val="22"/>
        </w:rPr>
        <w:t xml:space="preserve"> milhões, REML e ML produzem os mesmos componentes de variância</w:t>
      </w:r>
      <w:r>
        <w:rPr>
          <w:rFonts w:ascii="Arial" w:hAnsi="Arial"/>
          <w:sz w:val="22"/>
        </w:rPr>
        <w:t xml:space="preserve"> </w:t>
      </w:r>
      <w:r>
        <w:rPr>
          <w:rFonts w:ascii="Arial" w:hAnsi="Arial"/>
          <w:sz w:val="22"/>
        </w:rPr>
        <w:t xml:space="preserve">(no M0,</w:t>
      </w:r>
      <w:r>
        <w:rPr>
          <w:rFonts w:ascii="Arial" w:hAnsi="Arial"/>
          <w:sz w:val="22"/>
        </w:rPr>
        <w:t xml:space="preserve"> </w:t>
      </w:r>
      <m:oMath>
        <m:sSubSup>
          <m:e>
            <m:acc>
              <m:accPr>
                <m:chr m:val="̂"/>
              </m:accPr>
              <m:e>
                <m:r>
                  <m:t>τ</m:t>
                </m:r>
              </m:e>
            </m:acc>
          </m:e>
          <m:sub>
            <m:r>
              <m:rPr>
                <m:nor/>
                <m:sty m:val="p"/>
              </m:rPr>
              <m:t>UPA</m:t>
            </m:r>
          </m:sub>
          <m:sup>
            <m:r>
              <m:t>2</m:t>
            </m:r>
          </m:sup>
        </m:sSubSup>
        <m:r>
          <m:rPr>
            <m:sty m:val="p"/>
          </m:rPr>
          <m:t>=</m:t>
        </m:r>
        <m:r>
          <m:t>0</m:t>
        </m:r>
        <m:r>
          <m:rPr>
            <m:sty m:val="p"/>
          </m:rPr>
          <m:t>,</m:t>
        </m:r>
        <m:r>
          <m:t>30182</m:t>
        </m:r>
      </m:oMath>
      <w:r>
        <w:rPr>
          <w:rFonts w:ascii="Arial" w:hAnsi="Arial"/>
          <w:sz w:val="22"/>
        </w:rPr>
        <w:t xml:space="preserve"> </w:t>
      </w:r>
      <w:r>
        <w:rPr>
          <w:rFonts w:ascii="Arial" w:hAnsi="Arial"/>
          <w:sz w:val="22"/>
        </w:rPr>
        <w:t xml:space="preserve">por ML e 0,30182 por REML;</w:t>
      </w:r>
      <w:r>
        <w:rPr>
          <w:rFonts w:ascii="Arial" w:hAnsi="Arial"/>
          <w:sz w:val="22"/>
        </w:rPr>
        <w:t xml:space="preserve"> </w:t>
      </w:r>
      <w:r>
        <w:rPr>
          <w:rFonts w:ascii="Arial" w:hAnsi="Arial"/>
          <w:sz w:val="22"/>
        </w:rPr>
        <w:t xml:space="preserve">ICC idêntico até a quarta casa).</w:t>
      </w:r>
    </w:p>
    <w:bookmarkEnd w:id="25"/>
    <w:bookmarkStart w:id="26" w:name="subsec:oaxaca_metodo"/>
    <w:p>
      <w:pPr>
        <w:pStyle w:val="Ttulo2"/>
        <w:spacing w:line="360" w:lineRule="auto" w:before="280" w:after="280"/>
        <w:ind w:firstLine="709"/>
        <w:jc w:val="left"/>
      </w:pPr>
      <w:r>
        <w:rPr>
          <w:rFonts w:ascii="Arial" w:hAnsi="Arial"/>
          <w:b/>
          <w:sz w:val="22"/>
        </w:rPr>
        <w:t xml:space="preserve">Decomposição de Oaxaca–Blinder</w:t>
      </w:r>
    </w:p>
    <w:p>
      <w:pPr>
        <w:pStyle w:val="FirstParagraph"/>
        <w:spacing w:line="360" w:lineRule="auto" w:after="0"/>
        <w:ind w:firstLine="709"/>
        <w:jc w:val="both"/>
      </w:pPr>
      <w:r>
        <w:rPr>
          <w:rFonts w:ascii="Arial" w:hAnsi="Arial"/>
          <w:sz w:val="22"/>
        </w:rPr>
        <w:t xml:space="preserve">Estimam-se equações de rendimento separadas para brancos e negros e</w:t>
      </w:r>
      <w:r>
        <w:rPr>
          <w:rFonts w:ascii="Arial" w:hAnsi="Arial"/>
          <w:sz w:val="22"/>
        </w:rPr>
        <w:t xml:space="preserve"> </w:t>
      </w:r>
      <w:r>
        <w:rPr>
          <w:rFonts w:ascii="Arial" w:hAnsi="Arial"/>
          <w:sz w:val="22"/>
        </w:rPr>
        <w:t xml:space="preserve">decompõe-se a diferença de médias na forma</w:t>
      </w:r>
      <w:r>
        <w:rPr>
          <w:rFonts w:ascii="Arial" w:hAnsi="Arial"/>
          <w:sz w:val="22"/>
        </w:rPr>
        <w:t xml:space="preserve"> </w:t>
      </w:r>
      <w:r>
        <w:rPr>
          <w:rFonts w:ascii="Arial" w:hAnsi="Arial"/>
          <w:sz w:val="22"/>
        </w:rPr>
        <w:t xml:space="preserve">twofold</w:t>
      </w:r>
      <w:r>
        <w:rPr>
          <w:rFonts w:ascii="Arial" w:hAnsi="Arial"/>
          <w:sz w:val="22"/>
        </w:rPr>
        <w:t xml:space="preserve"> </w:t>
      </w:r>
      <w:r>
        <w:rPr>
          <w:rFonts w:ascii="Arial" w:hAnsi="Arial"/>
          <w:sz w:val="22"/>
        </w:rPr>
        <w:t xml:space="preserve">(Blinder, 1973; Oaxaca, 1973)</w:t>
      </w:r>
      <w:r>
        <w:rPr>
          <w:rFonts w:ascii="Arial" w:hAnsi="Arial"/>
          <w:sz w:val="22"/>
        </w:rPr>
        <w:t xml:space="preserve">, tomando a estrutura de preços dos brancos como</w:t>
      </w:r>
      <w:r>
        <w:rPr>
          <w:rFonts w:ascii="Arial" w:hAnsi="Arial"/>
          <w:sz w:val="22"/>
        </w:rPr>
        <w:t xml:space="preserve"> </w:t>
      </w:r>
      <w:r>
        <w:rPr>
          <w:rFonts w:ascii="Arial" w:hAnsi="Arial"/>
          <w:sz w:val="22"/>
        </w:rPr>
        <w:t xml:space="preserve">referência não discriminatória:</w:t>
      </w:r>
      <w:r>
        <w:rPr>
          <w:rFonts w:ascii="Arial" w:hAnsi="Arial"/>
          <w:sz w:val="22"/>
        </w:rPr>
        <w:t xml:space="preserve"> </w:t>
      </w:r>
      <m:oMath>
        <m:r>
          <m:rPr>
            <m:sty m:val="p"/>
          </m:rPr>
          <m:t>ln</m:t>
        </m:r>
        <m:sSub>
          <m:e>
            <m:acc>
              <m:accPr>
                <m:chr m:val="‾"/>
              </m:accPr>
              <m:e>
                <m:r>
                  <m:t>W</m:t>
                </m:r>
              </m:e>
            </m:acc>
          </m:e>
          <m:sub>
            <m:r>
              <m:t>B</m:t>
            </m:r>
          </m:sub>
        </m:sSub>
        <m:r>
          <m:rPr>
            <m:sty m:val="p"/>
          </m:rPr>
          <m:t>−</m:t>
        </m:r>
        <m:r>
          <m:rPr>
            <m:sty m:val="p"/>
          </m:rPr>
          <m:t>ln</m:t>
        </m:r>
        <m:sSub>
          <m:e>
            <m:acc>
              <m:accPr>
                <m:chr m:val="‾"/>
              </m:accPr>
              <m:e>
                <m:r>
                  <m:t>W</m:t>
                </m:r>
              </m:e>
            </m:acc>
          </m:e>
          <m:sub>
            <m:r>
              <m:t>N</m:t>
            </m:r>
          </m:sub>
        </m:sSub>
        <m:r>
          <m:rPr>
            <m:sty m:val="p"/>
          </m:rPr>
          <m:t>=</m:t>
        </m:r>
        <m:r>
          <m:rPr>
            <m:sty m:val="p"/>
          </m:rPr>
          <m:t>(</m:t>
        </m:r>
        <m:sSub>
          <m:e>
            <m:acc>
              <m:accPr>
                <m:chr m:val="‾"/>
              </m:accPr>
              <m:e>
                <m:r>
                  <m:t>X</m:t>
                </m:r>
              </m:e>
            </m:acc>
          </m:e>
          <m:sub>
            <m:r>
              <m:t>B</m:t>
            </m:r>
          </m:sub>
        </m:sSub>
        <m:r>
          <m:rPr>
            <m:sty m:val="p"/>
          </m:rPr>
          <m:t>−</m:t>
        </m:r>
        <m:sSub>
          <m:e>
            <m:acc>
              <m:accPr>
                <m:chr m:val="‾"/>
              </m:accPr>
              <m:e>
                <m:r>
                  <m:t>X</m:t>
                </m:r>
              </m:e>
            </m:acc>
          </m:e>
          <m:sub>
            <m:r>
              <m:t>N</m:t>
            </m:r>
          </m:sub>
        </m:sSub>
        <m:sSup>
          <m:e>
            <m:r>
              <m:rPr>
                <m:sty m:val="p"/>
              </m:rPr>
              <m:t>)</m:t>
            </m:r>
          </m:e>
          <m:sup>
            <m:r>
              <m:rPr>
                <m:sty m:val="p"/>
              </m:rPr>
              <m:t>′</m:t>
            </m:r>
          </m:sup>
        </m:sSup>
        <m:sSub>
          <m:e>
            <m:acc>
              <m:accPr>
                <m:chr m:val="̂"/>
              </m:accPr>
              <m:e>
                <m:r>
                  <m:t>β</m:t>
                </m:r>
              </m:e>
            </m:acc>
          </m:e>
          <m:sub>
            <m:r>
              <m:t>B</m:t>
            </m:r>
          </m:sub>
        </m:sSub>
        <m:r>
          <m:rPr>
            <m:sty m:val="p"/>
          </m:rPr>
          <m:t>+</m:t>
        </m:r>
        <m:sSubSup>
          <m:e>
            <m:acc>
              <m:accPr>
                <m:chr m:val="‾"/>
              </m:accPr>
              <m:e>
                <m:r>
                  <m:t>X</m:t>
                </m:r>
              </m:e>
            </m:acc>
          </m:e>
          <m:sub>
            <m:r>
              <m:t>N</m:t>
            </m:r>
          </m:sub>
          <m:sup>
            <m:r>
              <m:rPr>
                <m:sty m:val="p"/>
              </m:rPr>
              <m:t>′</m:t>
            </m:r>
          </m:sup>
        </m:sSubSup>
        <m:r>
          <m:rPr>
            <m:sty m:val="p"/>
          </m:rPr>
          <m:t>(</m:t>
        </m:r>
        <m:sSub>
          <m:e>
            <m:acc>
              <m:accPr>
                <m:chr m:val="̂"/>
              </m:accPr>
              <m:e>
                <m:r>
                  <m:t>β</m:t>
                </m:r>
              </m:e>
            </m:acc>
          </m:e>
          <m:sub>
            <m:r>
              <m:t>B</m:t>
            </m:r>
          </m:sub>
        </m:sSub>
        <m:r>
          <m:rPr>
            <m:sty m:val="p"/>
          </m:rPr>
          <m:t>−</m:t>
        </m:r>
        <m:sSub>
          <m:e>
            <m:acc>
              <m:accPr>
                <m:chr m:val="̂"/>
              </m:accPr>
              <m:e>
                <m:r>
                  <m:t>β</m:t>
                </m:r>
              </m:e>
            </m:acc>
          </m:e>
          <m:sub>
            <m:r>
              <m:t>N</m:t>
            </m:r>
          </m:sub>
        </m:sSub>
        <m:r>
          <m:rPr>
            <m:sty m:val="p"/>
          </m:rPr>
          <m:t>)</m:t>
        </m:r>
      </m:oMath>
      <w:r>
        <w:rPr>
          <w:rFonts w:ascii="Arial" w:hAnsi="Arial"/>
          <w:sz w:val="22"/>
        </w:rPr>
        <w:t xml:space="preserve">, em que o primeiro termo é a parcela de</w:t>
      </w:r>
      <w:r>
        <w:rPr>
          <w:rFonts w:ascii="Arial" w:hAnsi="Arial"/>
          <w:sz w:val="22"/>
        </w:rPr>
        <w:t xml:space="preserve"> </w:t>
      </w:r>
      <w:r>
        <w:rPr>
          <w:rFonts w:ascii="Arial" w:hAnsi="Arial"/>
          <w:sz w:val="22"/>
        </w:rPr>
        <w:t xml:space="preserve">dotações e o segundo, a de retornos. Duas especificações são reportadas:</w:t>
      </w:r>
      <w:r>
        <w:rPr>
          <w:rFonts w:ascii="Arial" w:hAnsi="Arial"/>
          <w:sz w:val="22"/>
        </w:rPr>
        <w:t xml:space="preserve"> </w:t>
      </w:r>
      <w:r>
        <w:rPr>
          <w:rFonts w:ascii="Arial" w:hAnsi="Arial"/>
          <w:sz w:val="22"/>
        </w:rPr>
        <w:t xml:space="preserve">(A) capital humano, jornada, área urbana, contexto de bairro e efeitos fixos de UF —</w:t>
      </w:r>
      <w:r>
        <w:rPr>
          <w:rFonts w:ascii="Arial" w:hAnsi="Arial"/>
          <w:sz w:val="22"/>
        </w:rPr>
        <w:t xml:space="preserve"> </w:t>
      </w:r>
      <w:r>
        <w:rPr>
          <w:rFonts w:ascii="Arial" w:hAnsi="Arial"/>
          <w:sz w:val="22"/>
        </w:rPr>
        <w:t xml:space="preserve">os controles do HLM M3 —, comparável à literatura; e (B) acrescentando formalidade e</w:t>
      </w:r>
      <w:r>
        <w:rPr>
          <w:rFonts w:ascii="Arial" w:hAnsi="Arial"/>
          <w:sz w:val="22"/>
        </w:rPr>
        <w:t xml:space="preserve"> </w:t>
      </w:r>
      <w:r>
        <w:rPr>
          <w:rFonts w:ascii="Arial" w:hAnsi="Arial"/>
          <w:sz w:val="22"/>
        </w:rPr>
        <w:t xml:space="preserve">grupo ocupacional como dotações (os controles do M4). Como</w:t>
      </w:r>
      <w:r>
        <w:rPr>
          <w:rFonts w:ascii="Arial" w:hAnsi="Arial"/>
          <w:sz w:val="22"/>
        </w:rPr>
        <w:t xml:space="preserve"> </w:t>
      </w:r>
      <w:r>
        <w:rPr>
          <w:rFonts w:ascii="Arial" w:hAnsi="Arial"/>
          <w:sz w:val="22"/>
        </w:rPr>
        <w:t xml:space="preserve">adverte</w:t>
      </w:r>
      <w:r>
        <w:rPr>
          <w:rFonts w:ascii="Arial" w:hAnsi="Arial"/>
          <w:sz w:val="22"/>
        </w:rPr>
        <w:t xml:space="preserve"> </w:t>
      </w:r>
      <w:r>
        <w:rPr>
          <w:rFonts w:ascii="Arial" w:hAnsi="Arial"/>
          <w:sz w:val="22"/>
        </w:rPr>
        <w:t xml:space="preserve">Oaxaca; Ransom (1999)</w:t>
      </w:r>
      <w:r>
        <w:rPr>
          <w:rFonts w:ascii="Arial" w:hAnsi="Arial"/>
          <w:sz w:val="22"/>
        </w:rPr>
        <w:t xml:space="preserve">, a especificação (B) subestima a</w:t>
      </w:r>
      <w:r>
        <w:rPr>
          <w:rFonts w:ascii="Arial" w:hAnsi="Arial"/>
          <w:sz w:val="22"/>
        </w:rPr>
        <w:t xml:space="preserve"> </w:t>
      </w:r>
      <w:r>
        <w:rPr>
          <w:rFonts w:ascii="Arial" w:hAnsi="Arial"/>
          <w:sz w:val="22"/>
        </w:rPr>
        <w:t xml:space="preserve">discriminação total, porque a segregação ocupacional é ela própria seu</w:t>
      </w:r>
      <w:r>
        <w:rPr>
          <w:rFonts w:ascii="Arial" w:hAnsi="Arial"/>
          <w:sz w:val="22"/>
        </w:rPr>
        <w:t xml:space="preserve"> </w:t>
      </w:r>
      <w:r>
        <w:rPr>
          <w:rFonts w:ascii="Arial" w:hAnsi="Arial"/>
          <w:sz w:val="22"/>
        </w:rPr>
        <w:t xml:space="preserve">produto — por isso ela é lida como limite inferior, e não como a estimativa</w:t>
      </w:r>
      <w:r>
        <w:rPr>
          <w:rFonts w:ascii="Arial" w:hAnsi="Arial"/>
          <w:sz w:val="22"/>
        </w:rPr>
        <w:t xml:space="preserve"> </w:t>
      </w:r>
      <w:r>
        <w:rPr>
          <w:rFonts w:ascii="Arial" w:hAnsi="Arial"/>
          <w:sz w:val="22"/>
        </w:rPr>
        <w:t xml:space="preserve">preferida. Os erros-padrão vêm de bootstrap em blocos de UPA, e não da fórmula</w:t>
      </w:r>
      <w:r>
        <w:rPr>
          <w:rFonts w:ascii="Arial" w:hAnsi="Arial"/>
          <w:sz w:val="22"/>
        </w:rPr>
        <w:t xml:space="preserve"> </w:t>
      </w:r>
      <w:r>
        <w:rPr>
          <w:rFonts w:ascii="Arial" w:hAnsi="Arial"/>
          <w:sz w:val="22"/>
        </w:rPr>
        <w:t xml:space="preserve">analítica, que pressupõe independência entre observações</w:t>
      </w:r>
      <w:r>
        <w:rPr>
          <w:rFonts w:ascii="Arial" w:hAnsi="Arial"/>
          <w:sz w:val="22"/>
        </w:rPr>
        <w:t xml:space="preserve"> </w:t>
      </w:r>
      <w:r>
        <w:rPr>
          <w:rFonts w:ascii="Arial" w:hAnsi="Arial"/>
          <w:sz w:val="22"/>
        </w:rPr>
        <w:t xml:space="preserve">(Cameron; Gelbach; Miller, 2008)</w:t>
      </w:r>
      <w:r>
        <w:rPr>
          <w:rFonts w:ascii="Arial" w:hAnsi="Arial"/>
          <w:sz w:val="22"/>
        </w:rPr>
        <w:t xml:space="preserve">.</w:t>
      </w:r>
    </w:p>
    <w:bookmarkEnd w:id="26"/>
    <w:bookmarkStart w:id="27" w:name="modelo-logístico-multinível-de-acesso"/>
    <w:p>
      <w:pPr>
        <w:pStyle w:val="Ttulo2"/>
        <w:spacing w:line="360" w:lineRule="auto" w:before="280" w:after="280"/>
        <w:ind w:firstLine="709"/>
        <w:jc w:val="left"/>
      </w:pPr>
      <w:r>
        <w:rPr>
          <w:rFonts w:ascii="Arial" w:hAnsi="Arial"/>
          <w:b/>
          <w:sz w:val="22"/>
        </w:rPr>
        <w:t xml:space="preserve">Modelo logístico multinível de acesso</w:t>
      </w:r>
    </w:p>
    <w:p>
      <w:pPr>
        <w:pStyle w:val="FirstParagraph"/>
        <w:spacing w:line="360" w:lineRule="auto" w:after="0"/>
        <w:ind w:firstLine="709"/>
        <w:jc w:val="both"/>
      </w:pPr>
      <w:r>
        <w:rPr>
          <w:rFonts w:ascii="Arial" w:hAnsi="Arial"/>
          <w:sz w:val="22"/>
        </w:rPr>
        <w:t xml:space="preserve">A barreira de entrada é modelada por um GLMM logístico com intercepto</w:t>
      </w:r>
      <w:r>
        <w:rPr>
          <w:rFonts w:ascii="Arial" w:hAnsi="Arial"/>
          <w:sz w:val="22"/>
        </w:rPr>
        <w:t xml:space="preserve"> </w:t>
      </w:r>
      <w:r>
        <w:rPr>
          <w:rFonts w:ascii="Arial" w:hAnsi="Arial"/>
          <w:sz w:val="22"/>
        </w:rPr>
        <w:t xml:space="preserve">aleatório de UPA, estimado por</w:t>
      </w:r>
      <w:r>
        <w:rPr>
          <w:rFonts w:ascii="Arial" w:hAnsi="Arial"/>
          <w:sz w:val="22"/>
        </w:rPr>
        <w:t xml:space="preserve"> </w:t>
      </w:r>
      <w:r>
        <w:rPr>
          <w:rStyle w:val="VerbatimChar"/>
          <w:rFonts w:ascii="Arial" w:hAnsi="Arial"/>
          <w:sz w:val="22"/>
        </w:rPr>
        <w:t xml:space="preserve">lme4::glmer</w:t>
      </w:r>
      <w:r>
        <w:rPr>
          <w:rFonts w:ascii="Arial" w:hAnsi="Arial"/>
          <w:sz w:val="22"/>
        </w:rPr>
        <w:t xml:space="preserve"> </w:t>
      </w:r>
      <w:r>
        <w:rPr>
          <w:rFonts w:ascii="Arial" w:hAnsi="Arial"/>
          <w:sz w:val="22"/>
        </w:rPr>
        <w:t xml:space="preserve">em R, para três desfechos</w:t>
      </w:r>
      <w:r>
        <w:rPr>
          <w:rFonts w:ascii="Arial" w:hAnsi="Arial"/>
          <w:sz w:val="22"/>
        </w:rPr>
        <w:t xml:space="preserve"> </w:t>
      </w:r>
      <w:r>
        <w:rPr>
          <w:rFonts w:ascii="Arial" w:hAnsi="Arial"/>
          <w:sz w:val="22"/>
        </w:rPr>
        <w:t xml:space="preserve">binários: ocupar cargo qualificado (grupos CBO 1–4), estar no quintil superior</w:t>
      </w:r>
      <w:r>
        <w:rPr>
          <w:rFonts w:ascii="Arial" w:hAnsi="Arial"/>
          <w:sz w:val="22"/>
        </w:rPr>
        <w:t xml:space="preserve"> </w:t>
      </w:r>
      <w:r>
        <w:rPr>
          <w:rFonts w:ascii="Arial" w:hAnsi="Arial"/>
          <w:sz w:val="22"/>
        </w:rPr>
        <w:t xml:space="preserve">e estar no decil superior da renda. A estrutura multinível é a mesma do HLM</w:t>
      </w:r>
      <w:r>
        <w:rPr>
          <w:rFonts w:ascii="Arial" w:hAnsi="Arial"/>
          <w:sz w:val="22"/>
        </w:rPr>
        <w:t xml:space="preserve"> </w:t>
      </w:r>
      <w:r>
        <w:rPr>
          <w:rFonts w:ascii="Arial" w:hAnsi="Arial"/>
          <w:sz w:val="22"/>
        </w:rPr>
        <w:t xml:space="preserve">(Raudenbush; Bryk, 2002)</w:t>
      </w:r>
      <w:r>
        <w:rPr>
          <w:rFonts w:ascii="Arial" w:hAnsi="Arial"/>
          <w:sz w:val="22"/>
        </w:rPr>
        <w:t xml:space="preserve">, agora com função de ligação logit; o ICC do nível de</w:t>
      </w:r>
      <w:r>
        <w:rPr>
          <w:rFonts w:ascii="Arial" w:hAnsi="Arial"/>
          <w:sz w:val="22"/>
        </w:rPr>
        <w:t xml:space="preserve"> </w:t>
      </w:r>
      <w:r>
        <w:rPr>
          <w:rFonts w:ascii="Arial" w:hAnsi="Arial"/>
          <w:sz w:val="22"/>
        </w:rPr>
        <w:t xml:space="preserve">bairro é calculado por</w:t>
      </w:r>
      <w:r>
        <w:rPr>
          <w:rFonts w:ascii="Arial" w:hAnsi="Arial"/>
          <w:sz w:val="22"/>
        </w:rPr>
        <w:t xml:space="preserve"> </w:t>
      </w:r>
      <m:oMath>
        <m:sSup>
          <m:e>
            <m:r>
              <m:t>τ</m:t>
            </m:r>
          </m:e>
          <m:sup>
            <m:r>
              <m:t>2</m:t>
            </m:r>
          </m:sup>
        </m:sSup>
        <m:r>
          <m:rPr>
            <m:sty m:val="p"/>
          </m:rPr>
          <m:t>/</m:t>
        </m:r>
        <m:r>
          <m:rPr>
            <m:sty m:val="p"/>
          </m:rPr>
          <m:t>(</m:t>
        </m:r>
        <m:sSup>
          <m:e>
            <m:r>
              <m:t>τ</m:t>
            </m:r>
          </m:e>
          <m:sup>
            <m:r>
              <m:t>2</m:t>
            </m:r>
          </m:sup>
        </m:sSup>
        <m:r>
          <m:rPr>
            <m:sty m:val="p"/>
          </m:rPr>
          <m:t>+</m:t>
        </m:r>
        <m:sSup>
          <m:e>
            <m:r>
              <m:t>π</m:t>
            </m:r>
          </m:e>
          <m:sup>
            <m:r>
              <m:t>2</m:t>
            </m:r>
          </m:sup>
        </m:sSup>
        <m:r>
          <m:rPr>
            <m:sty m:val="p"/>
          </m:rPr>
          <m:t>/</m:t>
        </m:r>
        <m:r>
          <m:t>3</m:t>
        </m:r>
        <m:r>
          <m:rPr>
            <m:sty m:val="p"/>
          </m:rPr>
          <m:t>)</m:t>
        </m:r>
      </m:oMath>
      <w:r>
        <w:rPr>
          <w:rFonts w:ascii="Arial" w:hAnsi="Arial"/>
          <w:sz w:val="22"/>
        </w:rPr>
        <w:t xml:space="preserve">, a formulação de variância</w:t>
      </w:r>
      <w:r>
        <w:rPr>
          <w:rFonts w:ascii="Arial" w:hAnsi="Arial"/>
          <w:sz w:val="22"/>
        </w:rPr>
        <w:t xml:space="preserve"> </w:t>
      </w:r>
      <w:r>
        <w:rPr>
          <w:rFonts w:ascii="Arial" w:hAnsi="Arial"/>
          <w:sz w:val="22"/>
        </w:rPr>
        <w:t xml:space="preserve">latente apropriada ao modelo logístico. Além da razão de chances, reporta-se o</w:t>
      </w:r>
      <w:r>
        <w:rPr>
          <w:rFonts w:ascii="Arial" w:hAnsi="Arial"/>
          <w:sz w:val="22"/>
        </w:rPr>
        <w:t xml:space="preserve"> </w:t>
      </w:r>
      <w:r>
        <w:rPr>
          <w:rFonts w:ascii="Arial" w:hAnsi="Arial"/>
          <w:sz w:val="22"/>
        </w:rPr>
        <w:t xml:space="preserve">efeito marginal médio em pontos percentuais, porque a razão de chances não é</w:t>
      </w:r>
      <w:r>
        <w:rPr>
          <w:rFonts w:ascii="Arial" w:hAnsi="Arial"/>
          <w:sz w:val="22"/>
        </w:rPr>
        <w:t xml:space="preserve"> </w:t>
      </w:r>
      <w:r>
        <w:rPr>
          <w:rFonts w:ascii="Arial" w:hAnsi="Arial"/>
          <w:sz w:val="22"/>
        </w:rPr>
        <w:t xml:space="preserve">interpretável como diferença de probabilidade.</w:t>
      </w:r>
    </w:p>
    <w:bookmarkEnd w:id="27"/>
    <w:bookmarkStart w:id="28" w:name="regressão-quantílica-e-decomposição-rif"/>
    <w:p>
      <w:pPr>
        <w:pStyle w:val="Ttulo2"/>
        <w:spacing w:line="360" w:lineRule="auto" w:before="280" w:after="280"/>
        <w:ind w:firstLine="709"/>
        <w:jc w:val="left"/>
      </w:pPr>
      <w:r>
        <w:rPr>
          <w:rFonts w:ascii="Arial" w:hAnsi="Arial"/>
          <w:b/>
          <w:sz w:val="22"/>
        </w:rPr>
        <w:t xml:space="preserve">Regressão quantílica e decomposição RIF</w:t>
      </w:r>
    </w:p>
    <w:p>
      <w:pPr>
        <w:pStyle w:val="FirstParagraph"/>
        <w:spacing w:line="360" w:lineRule="auto" w:after="0"/>
        <w:ind w:firstLine="709"/>
        <w:jc w:val="both"/>
      </w:pPr>
      <w:r>
        <w:rPr>
          <w:rFonts w:ascii="Arial" w:hAnsi="Arial"/>
          <w:sz w:val="22"/>
        </w:rPr>
        <w:t xml:space="preserve">A regressão quantílica</w:t>
      </w:r>
      <w:r>
        <w:rPr>
          <w:rFonts w:ascii="Arial" w:hAnsi="Arial"/>
          <w:sz w:val="22"/>
        </w:rPr>
        <w:t xml:space="preserve"> </w:t>
      </w:r>
      <w:r>
        <w:rPr>
          <w:rFonts w:ascii="Arial" w:hAnsi="Arial"/>
          <w:sz w:val="22"/>
        </w:rPr>
        <w:t xml:space="preserve">(Koenker; Bassett, 1978)</w:t>
      </w:r>
      <w:r>
        <w:rPr>
          <w:rFonts w:ascii="Arial" w:hAnsi="Arial"/>
          <w:sz w:val="22"/>
        </w:rPr>
        <w:t xml:space="preserve"> </w:t>
      </w:r>
      <w:r>
        <w:rPr>
          <w:rFonts w:ascii="Arial" w:hAnsi="Arial"/>
          <w:sz w:val="22"/>
        </w:rPr>
        <w:t xml:space="preserve">estima</w:t>
      </w:r>
      <w:r>
        <w:rPr>
          <w:rFonts w:ascii="Arial" w:hAnsi="Arial"/>
          <w:sz w:val="22"/>
        </w:rPr>
        <w:t xml:space="preserve"> </w:t>
      </w:r>
      <m:oMath>
        <m:acc>
          <m:accPr>
            <m:chr m:val="̂"/>
          </m:accPr>
          <m:e>
            <m:r>
              <m:t>β</m:t>
            </m:r>
          </m:e>
        </m:acc>
        <m:r>
          <m:rPr>
            <m:sty m:val="p"/>
          </m:rPr>
          <m:t>(</m:t>
        </m:r>
        <m:r>
          <m:t>τ</m:t>
        </m:r>
        <m:r>
          <m:rPr>
            <m:sty m:val="p"/>
          </m:rPr>
          <m:t>)</m:t>
        </m:r>
      </m:oMath>
      <w:r>
        <w:rPr>
          <w:rFonts w:ascii="Arial" w:hAnsi="Arial"/>
          <w:sz w:val="22"/>
        </w:rPr>
        <w:t xml:space="preserve"> </w:t>
      </w:r>
      <w:r>
        <w:rPr>
          <w:rFonts w:ascii="Arial" w:hAnsi="Arial"/>
          <w:sz w:val="22"/>
        </w:rPr>
        <w:t xml:space="preserve">em seis</w:t>
      </w:r>
      <w:r>
        <w:rPr>
          <w:rFonts w:ascii="Arial" w:hAnsi="Arial"/>
          <w:sz w:val="22"/>
        </w:rPr>
        <w:t xml:space="preserve"> </w:t>
      </w:r>
      <w:r>
        <w:rPr>
          <w:rFonts w:ascii="Arial" w:hAnsi="Arial"/>
          <w:sz w:val="22"/>
        </w:rPr>
        <w:t xml:space="preserve">pontos da distribuição condicional (</w:t>
      </w:r>
      <m:oMath>
        <m:r>
          <m:t>τ</m:t>
        </m:r>
        <m:r>
          <m:rPr>
            <m:sty m:val="p"/>
          </m:rPr>
          <m:t>∈</m:t>
        </m:r>
        <m:r>
          <m:rPr>
            <m:sty m:val="p"/>
          </m:rPr>
          <m:t>{</m:t>
        </m:r>
        <m:r>
          <m:t>0</m:t>
        </m:r>
        <m:r>
          <m:rPr>
            <m:sty m:val="p"/>
          </m:rPr>
          <m:t>,</m:t>
        </m:r>
        <m:r>
          <m:t>10</m:t>
        </m:r>
        <m:r>
          <m:rPr>
            <m:sty m:val="p"/>
          </m:rPr>
          <m:t>;</m:t>
        </m:r>
        <m:r>
          <m:t> </m:t>
        </m:r>
        <m:r>
          <m:t>0</m:t>
        </m:r>
        <m:r>
          <m:rPr>
            <m:sty m:val="p"/>
          </m:rPr>
          <m:t>,</m:t>
        </m:r>
        <m:r>
          <m:t>25</m:t>
        </m:r>
        <m:r>
          <m:rPr>
            <m:sty m:val="p"/>
          </m:rPr>
          <m:t>;</m:t>
        </m:r>
        <m:r>
          <m:t> </m:t>
        </m:r>
        <m:r>
          <m:t>0</m:t>
        </m:r>
        <m:r>
          <m:rPr>
            <m:sty m:val="p"/>
          </m:rPr>
          <m:t>,</m:t>
        </m:r>
        <m:r>
          <m:t>50</m:t>
        </m:r>
        <m:r>
          <m:rPr>
            <m:sty m:val="p"/>
          </m:rPr>
          <m:t>;</m:t>
        </m:r>
        <m:r>
          <m:t> </m:t>
        </m:r>
        <m:r>
          <m:t>0</m:t>
        </m:r>
        <m:r>
          <m:rPr>
            <m:sty m:val="p"/>
          </m:rPr>
          <m:t>,</m:t>
        </m:r>
        <m:r>
          <m:t>75</m:t>
        </m:r>
        <m:r>
          <m:rPr>
            <m:sty m:val="p"/>
          </m:rPr>
          <m:t>;</m:t>
        </m:r>
        <m:r>
          <m:t> </m:t>
        </m:r>
        <m:r>
          <m:t>0</m:t>
        </m:r>
        <m:r>
          <m:rPr>
            <m:sty m:val="p"/>
          </m:rPr>
          <m:t>,</m:t>
        </m:r>
        <m:r>
          <m:t>90</m:t>
        </m:r>
        <m:r>
          <m:rPr>
            <m:sty m:val="p"/>
          </m:rPr>
          <m:t>;</m:t>
        </m:r>
        <m:r>
          <m:t> </m:t>
        </m:r>
        <m:r>
          <m:t>0</m:t>
        </m:r>
        <m:r>
          <m:rPr>
            <m:sty m:val="p"/>
          </m:rPr>
          <m:t>,</m:t>
        </m:r>
        <m:r>
          <m:t>95</m:t>
        </m:r>
        <m:r>
          <m:rPr>
            <m:sty m:val="p"/>
          </m:rPr>
          <m:t>}</m:t>
        </m:r>
      </m:oMath>
      <w:r>
        <w:rPr>
          <w:rFonts w:ascii="Arial" w:hAnsi="Arial"/>
          <w:sz w:val="22"/>
        </w:rPr>
        <w:t xml:space="preserve">), permitindo testar se a penalidade racial é constante ao</w:t>
      </w:r>
      <w:r>
        <w:rPr>
          <w:rFonts w:ascii="Arial" w:hAnsi="Arial"/>
          <w:sz w:val="22"/>
        </w:rPr>
        <w:t xml:space="preserve"> </w:t>
      </w:r>
      <w:r>
        <w:rPr>
          <w:rFonts w:ascii="Arial" w:hAnsi="Arial"/>
          <w:sz w:val="22"/>
        </w:rPr>
        <w:t xml:space="preserve">longo da distribuição. O teste de igualdade compara</w:t>
      </w:r>
      <w:r>
        <w:rPr>
          <w:rFonts w:ascii="Arial" w:hAnsi="Arial"/>
          <w:sz w:val="22"/>
        </w:rPr>
        <w:t xml:space="preserve"> </w:t>
      </w:r>
      <m:oMath>
        <m:r>
          <m:t>τ</m:t>
        </m:r>
        <m:r>
          <m:rPr>
            <m:sty m:val="p"/>
          </m:rPr>
          <m:t>=</m:t>
        </m:r>
        <m:r>
          <m:t>0</m:t>
        </m:r>
        <m:r>
          <m:rPr>
            <m:sty m:val="p"/>
          </m:rPr>
          <m:t>,</m:t>
        </m:r>
        <m:r>
          <m:t>90</m:t>
        </m:r>
      </m:oMath>
      <w:r>
        <w:rPr>
          <w:rFonts w:ascii="Arial" w:hAnsi="Arial"/>
          <w:sz w:val="22"/>
        </w:rPr>
        <w:t xml:space="preserve"> </w:t>
      </w:r>
      <w:r>
        <w:rPr>
          <w:rFonts w:ascii="Arial" w:hAnsi="Arial"/>
          <w:sz w:val="22"/>
        </w:rPr>
        <w:t xml:space="preserve">e</w:t>
      </w:r>
      <w:r>
        <w:rPr>
          <w:rFonts w:ascii="Arial" w:hAnsi="Arial"/>
          <w:sz w:val="22"/>
        </w:rPr>
        <w:t xml:space="preserve"> </w:t>
      </w:r>
      <m:oMath>
        <m:r>
          <m:t>τ</m:t>
        </m:r>
        <m:r>
          <m:rPr>
            <m:sty m:val="p"/>
          </m:rPr>
          <m:t>=</m:t>
        </m:r>
        <m:r>
          <m:t>0</m:t>
        </m:r>
        <m:r>
          <m:rPr>
            <m:sty m:val="p"/>
          </m:rPr>
          <m:t>,</m:t>
        </m:r>
        <m:r>
          <m:t>10</m:t>
        </m:r>
      </m:oMath>
      <w:r>
        <w:rPr>
          <w:rFonts w:ascii="Arial" w:hAnsi="Arial"/>
          <w:sz w:val="22"/>
        </w:rPr>
        <w:t xml:space="preserve"> </w:t>
      </w:r>
      <w:r>
        <w:rPr>
          <w:rFonts w:ascii="Arial" w:hAnsi="Arial"/>
          <w:sz w:val="22"/>
        </w:rPr>
        <w:t xml:space="preserve">— os mesmos extremos da decomposição RIF —; o</w:t>
      </w:r>
      <w:r>
        <w:rPr>
          <w:rFonts w:ascii="Arial" w:hAnsi="Arial"/>
          <w:sz w:val="22"/>
        </w:rPr>
        <w:t xml:space="preserve"> </w:t>
      </w:r>
      <m:oMath>
        <m:r>
          <m:t>τ</m:t>
        </m:r>
        <m:r>
          <m:rPr>
            <m:sty m:val="p"/>
          </m:rPr>
          <m:t>=</m:t>
        </m:r>
        <m:r>
          <m:t>0</m:t>
        </m:r>
        <m:r>
          <m:rPr>
            <m:sty m:val="p"/>
          </m:rPr>
          <m:t>,</m:t>
        </m:r>
        <m:r>
          <m:t>95</m:t>
        </m:r>
      </m:oMath>
      <w:r>
        <w:rPr>
          <w:rFonts w:ascii="Arial" w:hAnsi="Arial"/>
          <w:sz w:val="22"/>
        </w:rPr>
        <w:t xml:space="preserve"> </w:t>
      </w:r>
      <w:r>
        <w:rPr>
          <w:rFonts w:ascii="Arial" w:hAnsi="Arial"/>
          <w:sz w:val="22"/>
        </w:rPr>
        <w:t xml:space="preserve">é apenas descritivo. Ele usa</w:t>
      </w:r>
      <w:r>
        <w:rPr>
          <w:rFonts w:ascii="Arial" w:hAnsi="Arial"/>
          <w:sz w:val="22"/>
        </w:rPr>
        <w:t xml:space="preserve"> </w:t>
      </w:r>
      <w:r>
        <w:rPr>
          <w:rFonts w:ascii="Arial" w:hAnsi="Arial"/>
          <w:sz w:val="22"/>
        </w:rPr>
        <w:t xml:space="preserve">bootstrap</w:t>
      </w:r>
      <w:r>
        <w:rPr>
          <w:rFonts w:ascii="Arial" w:hAnsi="Arial"/>
          <w:sz w:val="22"/>
        </w:rPr>
        <w:t xml:space="preserve"> </w:t>
      </w:r>
      <w:r>
        <w:rPr>
          <w:rFonts w:ascii="Arial" w:hAnsi="Arial"/>
          <w:sz w:val="22"/>
        </w:rPr>
        <w:t xml:space="preserve">m-out-of-n</w:t>
      </w:r>
      <w:r>
        <w:rPr>
          <w:rFonts w:ascii="Arial" w:hAnsi="Arial"/>
          <w:sz w:val="22"/>
        </w:rPr>
        <w:t xml:space="preserve"> </w:t>
      </w:r>
      <w:r>
        <w:rPr>
          <w:rFonts w:ascii="Arial" w:hAnsi="Arial"/>
          <w:sz w:val="22"/>
        </w:rPr>
        <w:t xml:space="preserve">em blocos de UPA, com reescala</w:t>
      </w:r>
      <w:r>
        <w:rPr>
          <w:rFonts w:ascii="Arial" w:hAnsi="Arial"/>
          <w:sz w:val="22"/>
        </w:rPr>
        <w:t xml:space="preserve"> </w:t>
      </w:r>
      <m:oMath>
        <m:rad>
          <m:radPr>
            <m:degHide m:val="on"/>
          </m:radPr>
          <m:deg/>
          <m:e>
            <m:r>
              <m:t>m</m:t>
            </m:r>
            <m:r>
              <m:rPr>
                <m:sty m:val="p"/>
              </m:rPr>
              <m:t>/</m:t>
            </m:r>
            <m:r>
              <m:t>G</m:t>
            </m:r>
          </m:e>
        </m:rad>
      </m:oMath>
      <w:r>
        <w:rPr>
          <w:rFonts w:ascii="Arial" w:hAnsi="Arial"/>
          <w:sz w:val="22"/>
        </w:rPr>
        <w:t xml:space="preserve"> </w:t>
      </w:r>
      <w:r>
        <w:rPr>
          <w:rFonts w:ascii="Arial" w:hAnsi="Arial"/>
          <w:sz w:val="22"/>
        </w:rPr>
        <w:t xml:space="preserve">(Bickel; Sakov, 2008)</w:t>
      </w:r>
      <w:r>
        <w:rPr>
          <w:rFonts w:ascii="Arial" w:hAnsi="Arial"/>
          <w:sz w:val="22"/>
        </w:rPr>
        <w:t xml:space="preserve"> </w:t>
      </w:r>
      <w:r>
        <w:rPr>
          <w:rFonts w:ascii="Arial" w:hAnsi="Arial"/>
          <w:sz w:val="22"/>
        </w:rPr>
        <w:t xml:space="preserve">— necessária porque reamostrar todas as 41.459 UPAs a cada</w:t>
      </w:r>
      <w:r>
        <w:rPr>
          <w:rFonts w:ascii="Arial" w:hAnsi="Arial"/>
          <w:sz w:val="22"/>
        </w:rPr>
        <w:t xml:space="preserve"> </w:t>
      </w:r>
      <w:r>
        <w:rPr>
          <w:rFonts w:ascii="Arial" w:hAnsi="Arial"/>
          <w:sz w:val="22"/>
        </w:rPr>
        <w:t xml:space="preserve">réplica seria proibitivo com 7</w:t>
      </w:r>
      <w:r>
        <w:rPr>
          <w:rFonts w:ascii="Arial" w:hAnsi="Arial"/>
          <w:sz w:val="22"/>
        </w:rPr>
        <w:t xml:space="preserve">,</w:t>
      </w:r>
      <w:r>
        <w:rPr>
          <w:rFonts w:ascii="Arial" w:hAnsi="Arial"/>
          <w:sz w:val="22"/>
        </w:rPr>
        <w:t xml:space="preserve">7 milhões de observações.</w:t>
      </w:r>
      <w:r>
        <w:rPr>
          <w:rFonts w:ascii="Arial" w:hAnsi="Arial"/>
          <w:sz w:val="22"/>
        </w:rPr>
        <w:t xml:space="preserve"> </w:t>
      </w:r>
      <w:r>
        <w:rPr>
          <w:rFonts w:ascii="Arial" w:hAnsi="Arial"/>
          <w:sz w:val="22"/>
        </w:rPr>
        <w:t xml:space="preserve">Complementarmente, a decomposição RIF</w:t>
      </w:r>
      <w:r>
        <w:rPr>
          <w:rFonts w:ascii="Arial" w:hAnsi="Arial"/>
          <w:sz w:val="22"/>
        </w:rPr>
        <w:t xml:space="preserve"> </w:t>
      </w:r>
      <w:r>
        <w:rPr>
          <w:rFonts w:ascii="Arial" w:hAnsi="Arial"/>
          <w:sz w:val="22"/>
        </w:rPr>
        <w:t xml:space="preserve">(Firpo; Fortin; Lemieux, 2018)</w:t>
      </w:r>
      <w:r>
        <w:rPr>
          <w:rFonts w:ascii="Arial" w:hAnsi="Arial"/>
          <w:sz w:val="22"/>
        </w:rPr>
        <w:t xml:space="preserve"> </w:t>
      </w:r>
      <w:r>
        <w:rPr>
          <w:rFonts w:ascii="Arial" w:hAnsi="Arial"/>
          <w:sz w:val="22"/>
        </w:rPr>
        <w:t xml:space="preserve">é aplicada aos quantis</w:t>
      </w:r>
      <w:r>
        <w:rPr>
          <w:rFonts w:ascii="Arial" w:hAnsi="Arial"/>
          <w:sz w:val="22"/>
        </w:rPr>
        <w:t xml:space="preserve"> </w:t>
      </w:r>
      <w:r>
        <w:rPr>
          <w:rFonts w:ascii="Arial" w:hAnsi="Arial"/>
          <w:sz w:val="22"/>
        </w:rPr>
        <w:t xml:space="preserve">incondicionais da distribuição de renda, separando dotações e retornos em cada</w:t>
      </w:r>
      <w:r>
        <w:rPr>
          <w:rFonts w:ascii="Arial" w:hAnsi="Arial"/>
          <w:sz w:val="22"/>
        </w:rPr>
        <w:t xml:space="preserve"> </w:t>
      </w:r>
      <w:r>
        <w:rPr>
          <w:rFonts w:ascii="Arial" w:hAnsi="Arial"/>
          <w:sz w:val="22"/>
        </w:rPr>
        <w:t xml:space="preserve">ponto.</w:t>
      </w:r>
    </w:p>
    <w:bookmarkEnd w:id="28"/>
    <w:bookmarkStart w:id="29" w:name="sensibilidade-a-variáveis-omitidas"/>
    <w:p>
      <w:pPr>
        <w:pStyle w:val="Ttulo2"/>
        <w:spacing w:line="360" w:lineRule="auto" w:before="280" w:after="280"/>
        <w:ind w:firstLine="709"/>
        <w:jc w:val="left"/>
      </w:pPr>
      <w:r>
        <w:rPr>
          <w:rFonts w:ascii="Arial" w:hAnsi="Arial"/>
          <w:b/>
          <w:sz w:val="22"/>
        </w:rPr>
        <w:t xml:space="preserve">Sensibilidade a variáveis omitidas</w:t>
      </w:r>
    </w:p>
    <w:p>
      <w:pPr>
        <w:pStyle w:val="FirstParagraph"/>
        <w:spacing w:line="360" w:lineRule="auto" w:after="0"/>
        <w:ind w:firstLine="709"/>
        <w:jc w:val="both"/>
      </w:pPr>
      <w:r>
        <w:rPr>
          <w:rFonts w:ascii="Arial" w:hAnsi="Arial"/>
          <w:sz w:val="22"/>
        </w:rPr>
        <w:t xml:space="preserve">A hipótese de seleção em observáveis não é testável, mas é possível quantificar</w:t>
      </w:r>
      <w:r>
        <w:rPr>
          <w:rFonts w:ascii="Arial" w:hAnsi="Arial"/>
          <w:sz w:val="22"/>
        </w:rPr>
        <w:t xml:space="preserve"> </w:t>
      </w:r>
      <w:r>
        <w:rPr>
          <w:rFonts w:ascii="Arial" w:hAnsi="Arial"/>
          <w:sz w:val="22"/>
        </w:rPr>
        <w:t xml:space="preserve">quanto de confundimento não observado seria necessário para anular os</w:t>
      </w:r>
      <w:r>
        <w:rPr>
          <w:rFonts w:ascii="Arial" w:hAnsi="Arial"/>
          <w:sz w:val="22"/>
        </w:rPr>
        <w:t xml:space="preserve"> </w:t>
      </w:r>
      <w:r>
        <w:rPr>
          <w:rFonts w:ascii="Arial" w:hAnsi="Arial"/>
          <w:sz w:val="22"/>
        </w:rPr>
        <w:t xml:space="preserve">resultados. Reportam-se duas medidas: o</w:t>
      </w:r>
      <w:r>
        <w:rPr>
          <w:rFonts w:ascii="Arial" w:hAnsi="Arial"/>
          <w:sz w:val="22"/>
        </w:rPr>
        <w:t xml:space="preserve"> </w:t>
      </w:r>
      <w:r>
        <w:rPr>
          <w:rFonts w:ascii="Arial" w:hAnsi="Arial"/>
          <w:sz w:val="22"/>
        </w:rPr>
        <w:t xml:space="preserve">E-value</w:t>
      </w:r>
      <w:r>
        <w:rPr>
          <w:rFonts w:ascii="Arial" w:hAnsi="Arial"/>
          <w:sz w:val="22"/>
        </w:rPr>
        <w:t xml:space="preserve"> </w:t>
      </w:r>
      <w:r>
        <w:rPr>
          <w:rFonts w:ascii="Arial" w:hAnsi="Arial"/>
          <w:sz w:val="22"/>
        </w:rPr>
        <w:t xml:space="preserve">(VanderWeele; Ding, 2017)</w:t>
      </w:r>
      <w:r>
        <w:rPr>
          <w:rFonts w:ascii="Arial" w:hAnsi="Arial"/>
          <w:sz w:val="22"/>
        </w:rPr>
        <w:t xml:space="preserve">, que é a associação mínima — em razão de chances —</w:t>
      </w:r>
      <w:r>
        <w:rPr>
          <w:rFonts w:ascii="Arial" w:hAnsi="Arial"/>
          <w:sz w:val="22"/>
        </w:rPr>
        <w:t xml:space="preserve"> </w:t>
      </w:r>
      <w:r>
        <w:rPr>
          <w:rFonts w:ascii="Arial" w:hAnsi="Arial"/>
          <w:sz w:val="22"/>
        </w:rPr>
        <w:t xml:space="preserve">que um confundidor precisaria ter simultaneamente com a raça e com o desfecho</w:t>
      </w:r>
      <w:r>
        <w:rPr>
          <w:rFonts w:ascii="Arial" w:hAnsi="Arial"/>
          <w:sz w:val="22"/>
        </w:rPr>
        <w:t xml:space="preserve"> </w:t>
      </w:r>
      <w:r>
        <w:rPr>
          <w:rFonts w:ascii="Arial" w:hAnsi="Arial"/>
          <w:sz w:val="22"/>
        </w:rPr>
        <w:t xml:space="preserve">para explicar o efeito observado; e o índice de</w:t>
      </w:r>
      <w:r>
        <w:rPr>
          <w:rFonts w:ascii="Arial" w:hAnsi="Arial"/>
          <w:sz w:val="22"/>
        </w:rPr>
        <w:t xml:space="preserve"> </w:t>
      </w:r>
      <w:r>
        <w:rPr>
          <w:rFonts w:ascii="Arial" w:hAnsi="Arial"/>
          <w:sz w:val="22"/>
        </w:rPr>
        <w:t xml:space="preserve">Frank et al. (2013)</w:t>
      </w:r>
      <w:r>
        <w:rPr>
          <w:rFonts w:ascii="Arial" w:hAnsi="Arial"/>
          <w:sz w:val="22"/>
        </w:rPr>
        <w:t xml:space="preserve">, que</w:t>
      </w:r>
      <w:r>
        <w:rPr>
          <w:rFonts w:ascii="Arial" w:hAnsi="Arial"/>
          <w:sz w:val="22"/>
        </w:rPr>
        <w:t xml:space="preserve"> </w:t>
      </w:r>
      <w:r>
        <w:rPr>
          <w:rFonts w:ascii="Arial" w:hAnsi="Arial"/>
          <w:sz w:val="22"/>
        </w:rPr>
        <w:t xml:space="preserve">expressa a fração da estimativa que precisaria ser viés para invalidar a</w:t>
      </w:r>
      <w:r>
        <w:rPr>
          <w:rFonts w:ascii="Arial" w:hAnsi="Arial"/>
          <w:sz w:val="22"/>
        </w:rPr>
        <w:t xml:space="preserve"> </w:t>
      </w:r>
      <w:r>
        <w:rPr>
          <w:rFonts w:ascii="Arial" w:hAnsi="Arial"/>
          <w:sz w:val="22"/>
        </w:rPr>
        <w:t xml:space="preserve">inferência.</w:t>
      </w:r>
    </w:p>
    <w:bookmarkEnd w:id="29"/>
    <w:bookmarkStart w:id="31" w:name="subsec:inferencia"/>
    <w:p>
      <w:pPr>
        <w:pStyle w:val="Ttulo2"/>
        <w:spacing w:line="360" w:lineRule="auto" w:before="280" w:after="280"/>
        <w:ind w:firstLine="709"/>
        <w:jc w:val="left"/>
      </w:pPr>
      <w:r>
        <w:rPr>
          <w:rFonts w:ascii="Arial" w:hAnsi="Arial"/>
          <w:b/>
          <w:sz w:val="22"/>
        </w:rPr>
        <w:t xml:space="preserve">Inferência: erros-padrão agrupados, poucos clusters e pesos</w:t>
      </w:r>
    </w:p>
    <w:p>
      <w:pPr>
        <w:pStyle w:val="FirstParagraph"/>
        <w:spacing w:line="360" w:lineRule="auto" w:after="0"/>
        <w:ind w:firstLine="709"/>
        <w:jc w:val="both"/>
      </w:pPr>
      <w:r>
        <w:rPr>
          <w:rFonts w:ascii="Arial" w:hAnsi="Arial"/>
          <w:sz w:val="22"/>
        </w:rPr>
        <w:t xml:space="preserve">A PNAD Contínua é uma amostra por conglomerados: pessoas da mesma unidade primária de amostragem (UPA, proxy de bairro) compartilham choques não observados, e os regressores de contexto variam apenas no nível da UPA. Tratar as</w:t>
      </w:r>
      <w:r>
        <w:rPr>
          <w:rFonts w:ascii="Arial" w:hAnsi="Arial"/>
          <w:sz w:val="22"/>
        </w:rPr>
        <w:t xml:space="preserve"> </w:t>
      </w:r>
      <m:oMath>
        <m:r>
          <m:t>7</m:t>
        </m:r>
        <m:r>
          <m:rPr>
            <m:sty m:val="p"/>
          </m:rPr>
          <m:t>,</m:t>
        </m:r>
        <m:r>
          <m:t>7</m:t>
        </m:r>
      </m:oMath>
      <w:r>
        <w:rPr>
          <w:rFonts w:ascii="Arial" w:hAnsi="Arial"/>
          <w:sz w:val="22"/>
        </w:rPr>
        <w:t xml:space="preserve"> milhões de observações como independentes subestima os erros-padrão pelo fator de Moulton</w:t>
      </w:r>
      <w:r>
        <w:rPr>
          <w:rFonts w:ascii="Arial" w:hAnsi="Arial"/>
          <w:sz w:val="22"/>
        </w:rPr>
        <w:t xml:space="preserve"> </w:t>
      </w:r>
      <m:oMath>
        <m:rad>
          <m:radPr>
            <m:degHide m:val="on"/>
          </m:radPr>
          <m:deg/>
          <m:e>
            <m:r>
              <m:t>1</m:t>
            </m:r>
            <m:r>
              <m:rPr>
                <m:sty m:val="p"/>
              </m:rPr>
              <m:t>+</m:t>
            </m:r>
            <m:r>
              <m:rPr>
                <m:sty m:val="p"/>
              </m:rPr>
              <m:t>(</m:t>
            </m:r>
            <m:acc>
              <m:accPr>
                <m:chr m:val="‾"/>
              </m:accPr>
              <m:e>
                <m:r>
                  <m:t>n</m:t>
                </m:r>
              </m:e>
            </m:acc>
            <m:r>
              <m:rPr>
                <m:sty m:val="p"/>
              </m:rPr>
              <m:t>−</m:t>
            </m:r>
            <m:r>
              <m:t>1</m:t>
            </m:r>
            <m:r>
              <m:rPr>
                <m:sty m:val="p"/>
              </m:rPr>
              <m:t>)</m:t>
            </m:r>
            <m:r>
              <m:t>ρ</m:t>
            </m:r>
          </m:e>
        </m:rad>
      </m:oMath>
      <w:r>
        <w:rPr>
          <w:rFonts w:ascii="Arial" w:hAnsi="Arial"/>
          <w:sz w:val="22"/>
        </w:rPr>
        <w:t xml:space="preserve"> </w:t>
      </w:r>
      <w:r>
        <w:rPr>
          <w:rFonts w:ascii="Arial" w:hAnsi="Arial"/>
          <w:sz w:val="22"/>
        </w:rPr>
        <w:t xml:space="preserve">(Angrist; Pischke, 2009)</w:t>
      </w:r>
      <w:r>
        <w:rPr>
          <w:rFonts w:ascii="Arial" w:hAnsi="Arial"/>
          <w:sz w:val="22"/>
        </w:rPr>
        <w:t xml:space="preserve">. Por isso, todos os modelos de regressão (OLS com efeitos fixos de UF, decomposição de Oaxaca–Blinder, regressão quantílica e logit) reportam erros-padrão</w:t>
      </w:r>
      <w:r>
        <w:rPr>
          <w:rFonts w:ascii="Arial" w:hAnsi="Arial"/>
          <w:sz w:val="22"/>
        </w:rPr>
        <w:t xml:space="preserve"> </w:t>
      </w:r>
      <w:r>
        <w:rPr>
          <w:rFonts w:ascii="Arial" w:hAnsi="Arial"/>
          <w:sz w:val="22"/>
        </w:rPr>
        <w:t xml:space="preserve">agrupados por UPA</w:t>
      </w:r>
      <w:r>
        <w:rPr>
          <w:rFonts w:ascii="Arial" w:hAnsi="Arial"/>
          <w:sz w:val="22"/>
        </w:rPr>
        <w:t xml:space="preserve"> </w:t>
      </w:r>
      <w:r>
        <w:rPr>
          <w:rFonts w:ascii="Arial" w:hAnsi="Arial"/>
          <w:sz w:val="22"/>
        </w:rPr>
        <w:t xml:space="preserve">(41.459 clusters) — para a OB e a regressão quantílica, por bootstrap em blocos de UPA. O agrupamento por UF é mais conservador, mas com 27 clusters (</w:t>
      </w:r>
      <m:oMath>
        <m:r>
          <m:rPr>
            <m:sty m:val="p"/>
          </m:rPr>
          <m:t>&lt;</m:t>
        </m:r>
        <m:r>
          <m:t>42</m:t>
        </m:r>
      </m:oMath>
      <w:r>
        <w:rPr>
          <w:rFonts w:ascii="Arial" w:hAnsi="Arial"/>
          <w:sz w:val="22"/>
        </w:rPr>
        <w:t xml:space="preserve">) a inferência assintótica é pouco confiável</w:t>
      </w:r>
      <w:r>
        <w:rPr>
          <w:rFonts w:ascii="Arial" w:hAnsi="Arial"/>
          <w:sz w:val="22"/>
        </w:rPr>
        <w:t xml:space="preserve"> </w:t>
      </w:r>
      <w:r>
        <w:rPr>
          <w:rFonts w:ascii="Arial" w:hAnsi="Arial"/>
          <w:sz w:val="22"/>
        </w:rPr>
        <w:t xml:space="preserve">(Angrist; Pischke, 2009)</w:t>
      </w:r>
      <w:r>
        <w:rPr>
          <w:rFonts w:ascii="Arial" w:hAnsi="Arial"/>
          <w:sz w:val="22"/>
        </w:rPr>
        <w:t xml:space="preserve">; quando reportado, usa a distribuição</w:t>
      </w:r>
      <w:r>
        <w:rPr>
          <w:rFonts w:ascii="Arial" w:hAnsi="Arial"/>
          <w:sz w:val="22"/>
        </w:rPr>
        <w:t xml:space="preserve"> </w:t>
      </w:r>
      <m:oMath>
        <m:r>
          <m:t>t</m:t>
        </m:r>
      </m:oMath>
      <w:r>
        <w:rPr>
          <w:rFonts w:ascii="Arial" w:hAnsi="Arial"/>
          <w:sz w:val="22"/>
        </w:rPr>
        <w:t xml:space="preserve"> </w:t>
      </w:r>
      <w:r>
        <w:rPr>
          <w:rFonts w:ascii="Arial" w:hAnsi="Arial"/>
          <w:sz w:val="22"/>
        </w:rPr>
        <w:t xml:space="preserve">com</w:t>
      </w:r>
      <w:r>
        <w:rPr>
          <w:rFonts w:ascii="Arial" w:hAnsi="Arial"/>
          <w:sz w:val="22"/>
        </w:rPr>
        <w:t xml:space="preserve"> </w:t>
      </w:r>
      <m:oMath>
        <m:r>
          <m:t>G</m:t>
        </m:r>
        <m:r>
          <m:rPr>
            <m:sty m:val="p"/>
          </m:rPr>
          <m:t>−</m:t>
        </m:r>
        <m:r>
          <m:t>1</m:t>
        </m:r>
      </m:oMath>
      <w:r>
        <w:rPr>
          <w:rFonts w:ascii="Arial" w:hAnsi="Arial"/>
          <w:sz w:val="22"/>
        </w:rPr>
        <w:t xml:space="preserve"> </w:t>
      </w:r>
      <w:r>
        <w:rPr>
          <w:rFonts w:ascii="Arial" w:hAnsi="Arial"/>
          <w:sz w:val="22"/>
        </w:rPr>
        <w:t xml:space="preserve">graus de liberdade. No HLM, o intercepto aleatório de UPA modela explicitamente a correlação intra-bairro, de modo que o erro-padrão do modelo já a incorpora (sob a hipótese de efeitos aleatórios); como contraprova, os coeficientes do HLM são comparados aos do OLS com efeitos fixos de UF e erro-padrão agrupado por UPA, que coincidem em sinal, magnitude e significância. No OLS com efeitos fixos de UF (especificação do M3), o erro-padrão de</w:t>
      </w:r>
      <w:r>
        <w:rPr>
          <w:rFonts w:ascii="Arial" w:hAnsi="Arial"/>
          <w:sz w:val="22"/>
        </w:rPr>
        <w:t xml:space="preserve"> </w:t>
      </w:r>
      <m:oMath>
        <m:sSub>
          <m:e>
            <m:acc>
              <m:accPr>
                <m:chr m:val="̂"/>
              </m:accPr>
              <m:e>
                <m:r>
                  <m:t>β</m:t>
                </m:r>
              </m:e>
            </m:acc>
          </m:e>
          <m:sub>
            <m:r>
              <m:rPr>
                <m:nor/>
                <m:sty m:val="p"/>
              </m:rPr>
              <m:t>negro</m:t>
            </m:r>
          </m:sub>
        </m:sSub>
      </m:oMath>
      <w:r>
        <w:rPr>
          <w:rFonts w:ascii="Arial" w:hAnsi="Arial"/>
          <w:sz w:val="22"/>
        </w:rPr>
        <w:t xml:space="preserve"> </w:t>
      </w:r>
      <w:r>
        <w:rPr>
          <w:rFonts w:ascii="Arial" w:hAnsi="Arial"/>
          <w:sz w:val="22"/>
        </w:rPr>
        <w:t xml:space="preserve">passa de 0,0005 (convencional) para 0,0009 (agrupado por UPA) e 0,0033 (agrupado por UF); para o regressor de contexto</w:t>
      </w:r>
      <w:r>
        <w:rPr>
          <w:rFonts w:ascii="Arial" w:hAnsi="Arial"/>
          <w:sz w:val="22"/>
        </w:rPr>
        <w:t xml:space="preserve"> </w:t>
      </w:r>
      <m:oMath>
        <m:sSub>
          <m:e>
            <m:bar>
              <m:barPr>
                <m:pos m:val="top"/>
              </m:barPr>
              <m:e>
                <m:r>
                  <m:rPr>
                    <m:sty m:val="p"/>
                  </m:rPr>
                  <m:t>%</m:t>
                </m:r>
                <m:r>
                  <m:rPr>
                    <m:nor/>
                    <m:sty m:val="p"/>
                  </m:rPr>
                  <m:t>Negro</m:t>
                </m:r>
              </m:e>
            </m:bar>
          </m:e>
          <m:sub>
            <m:r>
              <m:rPr>
                <m:nor/>
                <m:sty m:val="p"/>
              </m:rPr>
              <m:t>UPA</m:t>
            </m:r>
          </m:sub>
        </m:sSub>
      </m:oMath>
      <w:r>
        <w:rPr>
          <w:rFonts w:ascii="Arial" w:hAnsi="Arial"/>
          <w:sz w:val="22"/>
        </w:rPr>
        <w:t xml:space="preserve">, que varia apenas no nível da UPA, a razão é de 4,1</w:t>
      </w:r>
      <m:oMath>
        <m:r>
          <m:rPr>
            <m:sty m:val="p"/>
          </m:rPr>
          <m:t>×</m:t>
        </m:r>
      </m:oMath>
      <w:r>
        <w:rPr>
          <w:rFonts w:ascii="Arial" w:hAnsi="Arial"/>
          <w:sz w:val="22"/>
        </w:rPr>
        <w:t xml:space="preserve"> </w:t>
      </w:r>
      <w:r>
        <w:rPr>
          <w:rFonts w:ascii="Arial" w:hAnsi="Arial"/>
          <w:sz w:val="22"/>
        </w:rPr>
        <w:t xml:space="preserve">(UPA) e 20,1</w:t>
      </w:r>
      <m:oMath>
        <m:r>
          <m:rPr>
            <m:sty m:val="p"/>
          </m:rPr>
          <m:t>×</m:t>
        </m:r>
      </m:oMath>
      <w:r>
        <w:rPr>
          <w:rFonts w:ascii="Arial" w:hAnsi="Arial"/>
          <w:sz w:val="22"/>
        </w:rPr>
        <w:t xml:space="preserve"> </w:t>
      </w:r>
      <w:r>
        <w:rPr>
          <w:rFonts w:ascii="Arial" w:hAnsi="Arial"/>
          <w:sz w:val="22"/>
        </w:rPr>
        <w:t xml:space="preserve">(UF) — a assinatura do efeito Moulton. Como</w:t>
      </w:r>
      <w:r>
        <w:rPr>
          <w:rFonts w:ascii="Arial" w:hAnsi="Arial"/>
          <w:sz w:val="22"/>
        </w:rPr>
        <w:t xml:space="preserve"> </w:t>
      </w:r>
      <m:oMath>
        <m:r>
          <m:rPr>
            <m:sty m:val="p"/>
          </m:rPr>
          <m:t>|</m:t>
        </m:r>
        <m:sSub>
          <m:e>
            <m:acc>
              <m:accPr>
                <m:chr m:val="̂"/>
              </m:accPr>
              <m:e>
                <m:r>
                  <m:t>β</m:t>
                </m:r>
              </m:e>
            </m:acc>
          </m:e>
          <m:sub>
            <m:r>
              <m:rPr>
                <m:nor/>
                <m:sty m:val="p"/>
              </m:rPr>
              <m:t>negro</m:t>
            </m:r>
          </m:sub>
        </m:sSub>
        <m:r>
          <m:rPr>
            <m:sty m:val="p"/>
          </m:rPr>
          <m:t>|</m:t>
        </m:r>
        <m:r>
          <m:rPr>
            <m:sty m:val="p"/>
          </m:rPr>
          <m:t>/</m:t>
        </m:r>
        <m:r>
          <m:rPr>
            <m:nor/>
            <m:sty m:val="p"/>
          </m:rPr>
          <m:t>SE</m:t>
        </m:r>
      </m:oMath>
      <w:r>
        <w:rPr>
          <w:rFonts w:ascii="Arial" w:hAnsi="Arial"/>
          <w:sz w:val="22"/>
        </w:rPr>
        <w:t xml:space="preserve"> </w:t>
      </w:r>
      <w:r>
        <w:rPr>
          <w:rFonts w:ascii="Arial" w:hAnsi="Arial"/>
          <w:sz w:val="22"/>
        </w:rPr>
        <w:t xml:space="preserve">permanece acima de 19 mesmo no agrupamento mais conservador, nenhuma conclusão sobre o gap racial depende da escolha do erro-padrão; a correção importa para os coeficientes contextuais e para as variáveis de UF.</w:t>
      </w:r>
    </w:p>
    <w:p>
      <w:pPr>
        <w:pStyle w:val="BodyText"/>
        <w:spacing w:line="360" w:lineRule="auto" w:after="0"/>
        <w:ind w:firstLine="709"/>
        <w:jc w:val="both"/>
      </w:pPr>
      <w:r>
        <w:rPr>
          <w:rFonts w:ascii="Arial" w:hAnsi="Arial"/>
          <w:b/>
          <w:bCs/>
          <w:sz w:val="22"/>
        </w:rPr>
        <w:t xml:space="preserve">Pesos amostrais.</w:t>
      </w:r>
      <w:r>
        <w:rPr>
          <w:rFonts w:ascii="Arial" w:hAnsi="Arial"/>
          <w:sz w:val="22"/>
        </w:rPr>
        <w:t xml:space="preserve"> </w:t>
      </w:r>
      <w:r>
        <w:rPr>
          <w:rFonts w:ascii="Arial" w:hAnsi="Arial"/>
          <w:sz w:val="22"/>
        </w:rPr>
        <w:t xml:space="preserve">Os modelos são estimados sem o peso amostral da PNAD (V1028), isto é, descrevem a regressão na amostra, não a regressão populacional</w:t>
      </w:r>
      <w:r>
        <w:rPr>
          <w:rFonts w:ascii="Arial" w:hAnsi="Arial"/>
          <w:sz w:val="22"/>
        </w:rPr>
        <w:t xml:space="preserve"> </w:t>
      </w:r>
      <w:r>
        <w:rPr>
          <w:rFonts w:ascii="Arial" w:hAnsi="Arial"/>
          <w:sz w:val="22"/>
        </w:rPr>
        <w:t xml:space="preserve">(Angrist; Pischke, 2009)</w:t>
      </w:r>
      <w:r>
        <w:rPr>
          <w:rFonts w:ascii="Arial" w:hAnsi="Arial"/>
          <w:sz w:val="22"/>
        </w:rPr>
        <w:t xml:space="preserve">. Como robustez, o M3 foi reestimado por mínimos quadrados ponderados com V1028 e erro-padrão agrupado por UPA:</w:t>
      </w:r>
      <w:r>
        <w:rPr>
          <w:rFonts w:ascii="Arial" w:hAnsi="Arial"/>
          <w:sz w:val="22"/>
        </w:rPr>
        <w:t xml:space="preserve"> </w:t>
      </w:r>
      <m:oMath>
        <m:sSub>
          <m:e>
            <m:acc>
              <m:accPr>
                <m:chr m:val="̂"/>
              </m:accPr>
              <m:e>
                <m:r>
                  <m:t>β</m:t>
                </m:r>
              </m:e>
            </m:acc>
          </m:e>
          <m:sub>
            <m:r>
              <m:rPr>
                <m:nor/>
                <m:sty m:val="p"/>
              </m:rPr>
              <m:t>negro</m:t>
            </m:r>
          </m:sub>
        </m:sSub>
      </m:oMath>
      <w:r>
        <w:rPr>
          <w:rFonts w:ascii="Arial" w:hAnsi="Arial"/>
          <w:sz w:val="22"/>
        </w:rPr>
        <w:t xml:space="preserve"> </w:t>
      </w:r>
      <w:r>
        <w:rPr>
          <w:rFonts w:ascii="Arial" w:hAnsi="Arial"/>
          <w:sz w:val="22"/>
        </w:rPr>
        <w:t xml:space="preserve">passa de -0,0630 (MQO equivalente, sem pesos) para -0,0575 (gap de 6,1% para 5,6%), diferença sem relevância econômica. A conclusão também se mantém no acesso e na decomposição: com o peso V1028 e erro agrupado por UPA, no logit com efeito fixo de estado, o OR do acesso vai de</w:t>
      </w:r>
      <w:r>
        <w:rPr>
          <w:rFonts w:ascii="Arial" w:hAnsi="Arial"/>
          <w:sz w:val="22"/>
        </w:rPr>
        <w:t xml:space="preserve"> </w:t>
      </w:r>
      <m:oMath>
        <m:r>
          <m:t>0</m:t>
        </m:r>
        <m:r>
          <m:rPr>
            <m:sty m:val="p"/>
          </m:rPr>
          <m:t>,</m:t>
        </m:r>
        <m:r>
          <m:t>820</m:t>
        </m:r>
      </m:oMath>
      <w:r>
        <w:rPr>
          <w:rFonts w:ascii="Arial" w:hAnsi="Arial"/>
          <w:sz w:val="22"/>
        </w:rPr>
        <w:t xml:space="preserve"> </w:t>
      </w:r>
      <w:r>
        <w:rPr>
          <w:rFonts w:ascii="Arial" w:hAnsi="Arial"/>
          <w:sz w:val="22"/>
        </w:rPr>
        <w:t xml:space="preserve">(sem peso) a</w:t>
      </w:r>
      <w:r>
        <w:rPr>
          <w:rFonts w:ascii="Arial" w:hAnsi="Arial"/>
          <w:sz w:val="22"/>
        </w:rPr>
        <w:t xml:space="preserve"> </w:t>
      </w:r>
      <m:oMath>
        <m:r>
          <m:t>0</m:t>
        </m:r>
        <m:r>
          <m:rPr>
            <m:sty m:val="p"/>
          </m:rPr>
          <m:t>,</m:t>
        </m:r>
        <m:r>
          <m:t>808</m:t>
        </m:r>
      </m:oMath>
      <w:r>
        <w:rPr>
          <w:rFonts w:ascii="Arial" w:hAnsi="Arial"/>
          <w:sz w:val="22"/>
        </w:rPr>
        <w:t xml:space="preserve">, o do décimo mais rico de</w:t>
      </w:r>
      <w:r>
        <w:rPr>
          <w:rFonts w:ascii="Arial" w:hAnsi="Arial"/>
          <w:sz w:val="22"/>
        </w:rPr>
        <w:t xml:space="preserve"> </w:t>
      </w:r>
      <m:oMath>
        <m:r>
          <m:t>0</m:t>
        </m:r>
        <m:r>
          <m:rPr>
            <m:sty m:val="p"/>
          </m:rPr>
          <m:t>,</m:t>
        </m:r>
        <m:r>
          <m:t>758</m:t>
        </m:r>
      </m:oMath>
      <w:r>
        <w:rPr>
          <w:rFonts w:ascii="Arial" w:hAnsi="Arial"/>
          <w:sz w:val="22"/>
        </w:rPr>
        <w:t xml:space="preserve"> </w:t>
      </w:r>
      <w:r>
        <w:rPr>
          <w:rFonts w:ascii="Arial" w:hAnsi="Arial"/>
          <w:sz w:val="22"/>
        </w:rPr>
        <w:t xml:space="preserve">a</w:t>
      </w:r>
      <w:r>
        <w:rPr>
          <w:rFonts w:ascii="Arial" w:hAnsi="Arial"/>
          <w:sz w:val="22"/>
        </w:rPr>
        <w:t xml:space="preserve"> </w:t>
      </w:r>
      <m:oMath>
        <m:r>
          <m:t>0</m:t>
        </m:r>
        <m:r>
          <m:rPr>
            <m:sty m:val="p"/>
          </m:rPr>
          <m:t>,</m:t>
        </m:r>
        <m:r>
          <m:t>777</m:t>
        </m:r>
      </m:oMath>
      <w:r>
        <w:rPr>
          <w:rFonts w:ascii="Arial" w:hAnsi="Arial"/>
          <w:sz w:val="22"/>
        </w:rPr>
        <w:t xml:space="preserve">, e a parcela de preço da Oaxaca–Blinder (A) de 17,9% a 15,3%. O modelo multinível ponderado (pacote WeMix, do R) mostrou-se computacionalmente inviável com 41 mil UPAs e fica como agenda; os demais resultados são não ponderados.</w:t>
      </w:r>
    </w:p>
    <w:p>
      <w:pPr>
        <w:pStyle w:val="BodyText"/>
        <w:spacing w:line="360" w:lineRule="auto" w:after="0"/>
        <w:ind w:firstLine="709"/>
        <w:jc w:val="both"/>
      </w:pPr>
      <w:r>
        <w:rPr>
          <w:rFonts w:ascii="Arial" w:hAnsi="Arial"/>
          <w:b/>
          <w:bCs/>
          <w:sz w:val="22"/>
        </w:rPr>
        <w:t xml:space="preserve">O conjunto das verificações.</w:t>
      </w:r>
      <w:r>
        <w:rPr>
          <w:rFonts w:ascii="Arial" w:hAnsi="Arial"/>
          <w:sz w:val="22"/>
        </w:rPr>
        <w:t xml:space="preserve"> </w:t>
      </w:r>
      <w:r>
        <w:rPr>
          <w:rFonts w:ascii="Arial" w:hAnsi="Arial"/>
          <w:sz w:val="22"/>
        </w:rPr>
        <w:t xml:space="preserve">A Tabela 2 reúne os diagnósticos aplicados ao longo do trabalho, o resultado de cada um e a providência que ele motivou.</w:t>
      </w:r>
    </w:p>
    <w:bookmarkStart w:id="30" w:name="tab:robustez"/>
    <w:p>
      <w:pPr>
        <w:pStyle w:val="TableCaption"/>
        <w:keepNext/>
        <w:keepLines/>
        <w:spacing w:line="240" w:lineRule="auto" w:before="240" w:after="40"/>
        <w:ind w:firstLine="0"/>
        <w:jc w:val="both"/>
      </w:pPr>
      <w:r>
        <w:rPr>
          <w:rFonts w:ascii="Arial" w:hAnsi="Arial"/>
          <w:sz w:val="22"/>
        </w:rPr>
        <w:t xml:space="preserve">Tabela 2. Testes de robustez e diagnóstico. Cada linha traz o que foi</w:t>
      </w:r>
      <w:r>
        <w:rPr>
          <w:rFonts w:ascii="Arial" w:hAnsi="Arial"/>
          <w:sz w:val="22"/>
        </w:rPr>
        <w:t xml:space="preserve"> </w:t>
      </w:r>
      <w:r>
        <w:rPr>
          <w:rFonts w:ascii="Arial" w:hAnsi="Arial"/>
          <w:sz w:val="22"/>
        </w:rPr>
        <w:t xml:space="preserve">verificado, o resultado e a providência tomada. Valores extraídos dos</w:t>
      </w:r>
      <w:r>
        <w:rPr>
          <w:rFonts w:ascii="Arial" w:hAnsi="Arial"/>
          <w:sz w:val="22"/>
        </w:rPr>
        <w:t xml:space="preserve"> </w:t>
      </w:r>
      <w:r>
        <w:rPr>
          <w:rFonts w:ascii="Arial" w:hAnsi="Arial"/>
          <w:sz w:val="22"/>
        </w:rPr>
        <w:t xml:space="preserve">mesmos csv que alimentam as demais tabelas.</w:t>
      </w:r>
    </w:p>
    <w:tbl>
      <w:tblPr>
        <w:tblStyle w:val="Table"/>
        <w:tblW w:type="auto" w:w="0"/>
        <w:tblLayout w:type="fixed"/>
        <w:tblLook w:firstRow="1" w:lastRow="0" w:firstColumn="0" w:lastColumn="0" w:noHBand="0" w:noVBand="0" w:val="0020"/>
        <w:tblCaption w:val="Tabela 2. Testes de robustez e diagnóstico. Cada linha traz o que foi verificado, o resultado e a providência tomada. Valores extraídos dos mesmos csv que alimentam as demais tabelas."/>
        <w:tblBorders>
          <w:top w:val="nil"/>
          <w:left w:val="nil"/>
          <w:bottom w:val="nil"/>
          <w:right w:val="nil"/>
          <w:insideH w:val="nil"/>
          <w:insideV w:val="nil"/>
        </w:tblBorders>
      </w:tblPr>
      <w:tblGrid>
        <w:gridCol w:w="2680"/>
        <w:gridCol w:w="2821"/>
        <w:gridCol w:w="3570"/>
      </w:tblGrid>
      <w:tr>
        <w:trPr>
          <w:tblHeader w:val="on"/>
          <w:cantSplit/>
        </w:trPr>
        <w:tc>
          <w:tcPr>
            <w:tcW w:type="dxa" w:w="2680"/>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2"/>
              </w:rPr>
              <w:t xml:space="preserve">Verificação</w:t>
            </w:r>
          </w:p>
        </w:tc>
        <w:tc>
          <w:tcPr>
            <w:tcW w:type="dxa" w:w="2821"/>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2"/>
              </w:rPr>
              <w:t xml:space="preserve">Resultado</w:t>
            </w:r>
          </w:p>
        </w:tc>
        <w:tc>
          <w:tcPr>
            <w:tcW w:type="dxa" w:w="3570"/>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2"/>
              </w:rPr>
              <w:t xml:space="preserve">Providência</w:t>
            </w:r>
          </w:p>
        </w:tc>
      </w:tr>
      <w:tr>
        <w:trPr>
          <w:cantSplit/>
        </w:trPr>
        <w:tc>
          <w:tcPr>
            <w:tcW w:type="dxa" w:w="2680"/>
          </w:tcPr>
          <w:p>
            <w:pPr>
              <w:pStyle w:val="Compact"/>
              <w:keepNext/>
              <w:spacing w:line="240" w:lineRule="auto" w:after="0"/>
              <w:ind w:firstLine="0"/>
              <w:jc w:val="left"/>
            </w:pPr>
            <w:r>
              <w:rPr>
                <w:rFonts w:ascii="Arial" w:hAnsi="Arial"/>
                <w:b w:val="0"/>
                <w:sz w:val="22"/>
              </w:rPr>
              <w:t xml:space="preserve">Heterocedasticidade (Breusch–Pagan)</w:t>
            </w:r>
          </w:p>
        </w:tc>
        <w:tc>
          <w:tcPr>
            <w:tcW w:type="dxa" w:w="2821"/>
          </w:tcPr>
          <w:p>
            <w:pPr>
              <w:pStyle w:val="Compact"/>
              <w:keepNext/>
              <w:spacing w:line="240" w:lineRule="auto" w:after="0"/>
              <w:ind w:firstLine="0"/>
              <w:jc w:val="left"/>
            </w:pPr>
            <w:r>
              <w:rPr>
                <w:rFonts w:ascii="Arial" w:hAnsi="Arial"/>
                <w:b w:val="0"/>
                <w:i/>
                <w:iCs/>
                <w:sz w:val="22"/>
              </w:rPr>
              <w:t xml:space="preserve">R</w:t>
            </w:r>
            <w:r>
              <w:rPr>
                <w:rFonts w:ascii="Arial" w:hAnsi="Arial"/>
                <w:b w:val="0"/>
                <w:sz w:val="22"/>
                <w:vertAlign w:val="superscript"/>
              </w:rPr>
              <w:t xml:space="preserve">2</w:t>
            </w:r>
            <w:r>
              <w:rPr>
                <w:rFonts w:ascii="Arial" w:hAnsi="Arial"/>
                <w:b w:val="0"/>
                <w:sz w:val="22"/>
              </w:rPr>
              <w:t xml:space="preserve"> </w:t>
            </w:r>
            <w:r>
              <w:rPr>
                <w:rFonts w:ascii="Arial" w:hAnsi="Arial"/>
                <w:b w:val="0"/>
                <w:sz w:val="22"/>
              </w:rPr>
              <w:t xml:space="preserve">da regressão auxiliar: 0</w:t>
            </w:r>
            <w:r>
              <w:rPr>
                <w:rFonts w:ascii="Arial" w:hAnsi="Arial"/>
                <w:b w:val="0"/>
                <w:sz w:val="22"/>
              </w:rPr>
              <w:t xml:space="preserve">,</w:t>
            </w:r>
            <w:r>
              <w:rPr>
                <w:rFonts w:ascii="Arial" w:hAnsi="Arial"/>
                <w:b w:val="0"/>
                <w:sz w:val="22"/>
              </w:rPr>
              <w:t xml:space="preserve">066 e 0</w:t>
            </w:r>
            <w:r>
              <w:rPr>
                <w:rFonts w:ascii="Arial" w:hAnsi="Arial"/>
                <w:b w:val="0"/>
                <w:sz w:val="22"/>
              </w:rPr>
              <w:t xml:space="preserve">,</w:t>
            </w:r>
            <w:r>
              <w:rPr>
                <w:rFonts w:ascii="Arial" w:hAnsi="Arial"/>
                <w:b w:val="0"/>
                <w:sz w:val="22"/>
              </w:rPr>
              <w:t xml:space="preserve">067</w:t>
            </w:r>
          </w:p>
        </w:tc>
        <w:tc>
          <w:tcPr>
            <w:tcW w:type="dxa" w:w="3570"/>
          </w:tcPr>
          <w:p>
            <w:pPr>
              <w:pStyle w:val="Compact"/>
              <w:keepNext/>
              <w:spacing w:line="240" w:lineRule="auto" w:after="0"/>
              <w:ind w:firstLine="0"/>
              <w:jc w:val="left"/>
            </w:pPr>
            <w:r>
              <w:rPr>
                <w:rFonts w:ascii="Arial" w:hAnsi="Arial"/>
                <w:b w:val="0"/>
                <w:sz w:val="22"/>
              </w:rPr>
              <w:t xml:space="preserve">erro-padrão agrupado por UPA e bootstrap em blocos</w:t>
            </w:r>
          </w:p>
        </w:tc>
      </w:tr>
      <w:tr>
        <w:trPr>
          <w:cantSplit/>
        </w:trPr>
        <w:tc>
          <w:tcPr>
            <w:tcW w:type="dxa" w:w="2680"/>
          </w:tcPr>
          <w:p>
            <w:pPr>
              <w:pStyle w:val="Compact"/>
              <w:keepNext/>
              <w:spacing w:line="240" w:lineRule="auto" w:after="0"/>
              <w:ind w:firstLine="0"/>
              <w:jc w:val="left"/>
            </w:pPr>
            <w:r>
              <w:rPr>
                <w:rFonts w:ascii="Arial" w:hAnsi="Arial"/>
                <w:b w:val="0"/>
                <w:sz w:val="22"/>
              </w:rPr>
              <w:t xml:space="preserve">Forma funcional (RESET)</w:t>
            </w:r>
          </w:p>
        </w:tc>
        <w:tc>
          <w:tcPr>
            <w:tcW w:type="dxa" w:w="2821"/>
          </w:tcPr>
          <w:p>
            <w:pPr>
              <w:pStyle w:val="Compact"/>
              <w:keepNext/>
              <w:spacing w:line="240" w:lineRule="auto" w:after="0"/>
              <w:ind w:firstLine="0"/>
              <w:jc w:val="left"/>
            </w:pPr>
            <w:r>
              <w:rPr>
                <w:rFonts w:ascii="Arial" w:hAnsi="Arial"/>
                <w:b w:val="0"/>
                <w:sz w:val="22"/>
              </w:rPr>
              <w:t xml:space="preserve">ganho de</w:t>
            </w:r>
            <w:r>
              <w:rPr>
                <w:rFonts w:ascii="Arial" w:hAnsi="Arial"/>
                <w:b w:val="0"/>
                <w:sz w:val="22"/>
              </w:rPr>
              <w:t xml:space="preserve"> </w:t>
            </w:r>
            <w:r>
              <w:rPr>
                <w:rFonts w:ascii="Arial" w:hAnsi="Arial"/>
                <w:b w:val="0"/>
                <w:i/>
                <w:iCs/>
                <w:sz w:val="22"/>
              </w:rPr>
              <w:t xml:space="preserve">R</w:t>
            </w:r>
            <w:r>
              <w:rPr>
                <w:rFonts w:ascii="Arial" w:hAnsi="Arial"/>
                <w:b w:val="0"/>
                <w:sz w:val="22"/>
                <w:vertAlign w:val="superscript"/>
              </w:rPr>
              <w:t xml:space="preserve">2</w:t>
            </w:r>
            <w:r>
              <w:rPr>
                <w:rFonts w:ascii="Arial" w:hAnsi="Arial"/>
                <w:b w:val="0"/>
                <w:sz w:val="22"/>
              </w:rPr>
              <w:t xml:space="preserve"> </w:t>
            </w:r>
            <w:r>
              <w:rPr>
                <w:rFonts w:ascii="Arial" w:hAnsi="Arial"/>
                <w:b w:val="0"/>
                <w:sz w:val="22"/>
              </w:rPr>
              <w:t xml:space="preserve">com potências do predito: 0</w:t>
            </w:r>
            <w:r>
              <w:rPr>
                <w:rFonts w:ascii="Arial" w:hAnsi="Arial"/>
                <w:b w:val="0"/>
                <w:sz w:val="22"/>
              </w:rPr>
              <w:t xml:space="preserve">,</w:t>
            </w:r>
            <w:r>
              <w:rPr>
                <w:rFonts w:ascii="Arial" w:hAnsi="Arial"/>
                <w:b w:val="0"/>
                <w:sz w:val="22"/>
              </w:rPr>
              <w:t xml:space="preserve">0020 a 0</w:t>
            </w:r>
            <w:r>
              <w:rPr>
                <w:rFonts w:ascii="Arial" w:hAnsi="Arial"/>
                <w:b w:val="0"/>
                <w:sz w:val="22"/>
              </w:rPr>
              <w:t xml:space="preserve">,</w:t>
            </w:r>
            <w:r>
              <w:rPr>
                <w:rFonts w:ascii="Arial" w:hAnsi="Arial"/>
                <w:b w:val="0"/>
                <w:sz w:val="22"/>
              </w:rPr>
              <w:t xml:space="preserve">0060</w:t>
            </w:r>
          </w:p>
        </w:tc>
        <w:tc>
          <w:tcPr>
            <w:tcW w:type="dxa" w:w="3570"/>
          </w:tcPr>
          <w:p>
            <w:pPr>
              <w:pStyle w:val="Compact"/>
              <w:keepNext/>
              <w:spacing w:line="240" w:lineRule="auto" w:after="0"/>
              <w:ind w:firstLine="0"/>
              <w:jc w:val="left"/>
            </w:pPr>
            <w:r>
              <w:rPr>
                <w:rFonts w:ascii="Arial" w:hAnsi="Arial"/>
                <w:b w:val="0"/>
                <w:sz w:val="22"/>
              </w:rPr>
              <w:t xml:space="preserve">rejeição sem relevância prática; forma mantida</w:t>
            </w:r>
          </w:p>
        </w:tc>
      </w:tr>
      <w:tr>
        <w:trPr>
          <w:cantSplit/>
        </w:trPr>
        <w:tc>
          <w:tcPr>
            <w:tcW w:type="dxa" w:w="2680"/>
          </w:tcPr>
          <w:p>
            <w:pPr>
              <w:pStyle w:val="Compact"/>
              <w:keepNext/>
              <w:spacing w:line="240" w:lineRule="auto" w:after="0"/>
              <w:ind w:firstLine="0"/>
              <w:jc w:val="left"/>
            </w:pPr>
            <w:r>
              <w:rPr>
                <w:rFonts w:ascii="Arial" w:hAnsi="Arial"/>
                <w:b w:val="0"/>
                <w:sz w:val="22"/>
              </w:rPr>
              <w:t xml:space="preserve">Multicolinearidade (VIF)</w:t>
            </w:r>
          </w:p>
        </w:tc>
        <w:tc>
          <w:tcPr>
            <w:tcW w:type="dxa" w:w="2821"/>
          </w:tcPr>
          <w:p>
            <w:pPr>
              <w:pStyle w:val="Compact"/>
              <w:keepNext/>
              <w:spacing w:line="240" w:lineRule="auto" w:after="0"/>
              <w:ind w:firstLine="0"/>
              <w:jc w:val="left"/>
            </w:pPr>
            <w:r>
              <w:rPr>
                <w:rFonts w:ascii="Arial" w:hAnsi="Arial"/>
                <w:b w:val="0"/>
                <w:sz w:val="22"/>
              </w:rPr>
              <w:t xml:space="preserve">VIF de</w:t>
            </w:r>
            <w:r>
              <w:rPr>
                <w:rFonts w:ascii="Arial" w:hAnsi="Arial"/>
                <w:b w:val="0"/>
                <w:sz w:val="22"/>
              </w:rPr>
              <w:t xml:space="preserve"> </w:t>
            </w:r>
            <w:r>
              <w:rPr>
                <w:rStyle w:val="VerbatimChar"/>
                <w:rFonts w:ascii="Arial" w:hAnsi="Arial"/>
                <w:b w:val="0"/>
                <w:sz w:val="22"/>
              </w:rPr>
              <w:t xml:space="preserve">negro</w:t>
            </w:r>
            <w:r>
              <w:rPr>
                <w:rFonts w:ascii="Arial" w:hAnsi="Arial"/>
                <w:b w:val="0"/>
                <w:sz w:val="22"/>
              </w:rPr>
              <w:t xml:space="preserve"> </w:t>
            </w:r>
            <w:r>
              <w:rPr>
                <w:rFonts w:ascii="Arial" w:hAnsi="Arial"/>
                <w:b w:val="0"/>
                <w:sz w:val="22"/>
              </w:rPr>
              <w:t xml:space="preserve">= 1</w:t>
            </w:r>
            <w:r>
              <w:rPr>
                <w:rFonts w:ascii="Arial" w:hAnsi="Arial"/>
                <w:b w:val="0"/>
                <w:sz w:val="22"/>
              </w:rPr>
              <w:t xml:space="preserve">,</w:t>
            </w:r>
            <w:r>
              <w:rPr>
                <w:rFonts w:ascii="Arial" w:hAnsi="Arial"/>
                <w:b w:val="0"/>
                <w:sz w:val="22"/>
              </w:rPr>
              <w:t xml:space="preserve">36; nenhum preditor acima de 10</w:t>
            </w:r>
          </w:p>
        </w:tc>
        <w:tc>
          <w:tcPr>
            <w:tcW w:type="dxa" w:w="3570"/>
          </w:tcPr>
          <w:p>
            <w:pPr>
              <w:pStyle w:val="Compact"/>
              <w:keepNext/>
              <w:spacing w:line="240" w:lineRule="auto" w:after="0"/>
              <w:ind w:firstLine="0"/>
              <w:jc w:val="left"/>
            </w:pPr>
            <w:r>
              <w:rPr>
                <w:rFonts w:ascii="Arial" w:hAnsi="Arial"/>
                <w:b w:val="0"/>
                <w:sz w:val="22"/>
              </w:rPr>
              <w:t xml:space="preserve">sem colinearidade relevante; o coeficiente de interesse não é afetado</w:t>
            </w:r>
          </w:p>
        </w:tc>
      </w:tr>
      <w:tr>
        <w:trPr>
          <w:cantSplit/>
        </w:trPr>
        <w:tc>
          <w:tcPr>
            <w:tcW w:type="dxa" w:w="2680"/>
          </w:tcPr>
          <w:p>
            <w:pPr>
              <w:pStyle w:val="Compact"/>
              <w:keepNext/>
              <w:spacing w:line="240" w:lineRule="auto" w:after="0"/>
              <w:ind w:firstLine="0"/>
              <w:jc w:val="left"/>
            </w:pPr>
            <w:r>
              <w:rPr>
                <w:rFonts w:ascii="Arial" w:hAnsi="Arial"/>
                <w:b w:val="0"/>
                <w:sz w:val="22"/>
              </w:rPr>
              <w:t xml:space="preserve">Estrutura multinível (teste de razão de verossimilhança)</w:t>
            </w:r>
          </w:p>
        </w:tc>
        <w:tc>
          <w:tcPr>
            <w:tcW w:type="dxa" w:w="2821"/>
          </w:tcPr>
          <w:p>
            <w:pPr>
              <w:pStyle w:val="Compact"/>
              <w:keepNext/>
              <w:spacing w:line="240" w:lineRule="auto" w:after="0"/>
              <w:ind w:firstLine="0"/>
              <w:jc w:val="left"/>
            </w:pPr>
            <w:r>
              <w:rPr>
                <w:rFonts w:ascii="Arial" w:hAnsi="Arial"/>
                <w:b w:val="0"/>
                <w:sz w:val="22"/>
              </w:rPr>
              <w:t xml:space="preserve">ICC da UPA no modelo nulo = 0</w:t>
            </w:r>
            <w:r>
              <w:rPr>
                <w:rFonts w:ascii="Arial" w:hAnsi="Arial"/>
                <w:b w:val="0"/>
                <w:sz w:val="22"/>
              </w:rPr>
              <w:t xml:space="preserve">,</w:t>
            </w:r>
            <w:r>
              <w:rPr>
                <w:rFonts w:ascii="Arial" w:hAnsi="Arial"/>
                <w:b w:val="0"/>
                <w:sz w:val="22"/>
              </w:rPr>
              <w:t xml:space="preserve">353</w:t>
            </w:r>
          </w:p>
        </w:tc>
        <w:tc>
          <w:tcPr>
            <w:tcW w:type="dxa" w:w="3570"/>
          </w:tcPr>
          <w:p>
            <w:pPr>
              <w:pStyle w:val="Compact"/>
              <w:keepNext/>
              <w:spacing w:line="240" w:lineRule="auto" w:after="0"/>
              <w:ind w:firstLine="0"/>
              <w:jc w:val="left"/>
            </w:pPr>
            <w:r>
              <w:rPr>
                <w:rFonts w:ascii="Arial" w:hAnsi="Arial"/>
                <w:b w:val="0"/>
                <w:sz w:val="22"/>
              </w:rPr>
              <w:t xml:space="preserve">nível de bairro justificado (limiar de 5%)</w:t>
            </w:r>
          </w:p>
        </w:tc>
      </w:tr>
      <w:tr>
        <w:trPr>
          <w:cantSplit/>
        </w:trPr>
        <w:tc>
          <w:tcPr>
            <w:tcW w:type="dxa" w:w="2680"/>
          </w:tcPr>
          <w:p>
            <w:pPr>
              <w:pStyle w:val="Compact"/>
              <w:keepNext/>
              <w:spacing w:line="240" w:lineRule="auto" w:after="0"/>
              <w:ind w:firstLine="0"/>
              <w:jc w:val="left"/>
            </w:pPr>
            <w:r>
              <w:rPr>
                <w:rFonts w:ascii="Arial" w:hAnsi="Arial"/>
                <w:b w:val="0"/>
                <w:sz w:val="22"/>
              </w:rPr>
              <w:t xml:space="preserve">Método de estimação (ML vs. REML)</w:t>
            </w:r>
          </w:p>
        </w:tc>
        <w:tc>
          <w:tcPr>
            <w:tcW w:type="dxa" w:w="2821"/>
          </w:tcPr>
          <w:p>
            <w:pPr>
              <w:pStyle w:val="Compact"/>
              <w:keepNext/>
              <w:spacing w:line="240" w:lineRule="auto" w:after="0"/>
              <w:ind w:firstLine="0"/>
              <w:jc w:val="left"/>
            </w:pPr>
            <m:oMath>
              <m:sSup>
                <m:e>
                  <m:acc>
                    <m:accPr>
                      <m:chr m:val="̂"/>
                    </m:accPr>
                    <m:e>
                      <m:r>
                        <m:t>τ</m:t>
                      </m:r>
                    </m:e>
                  </m:acc>
                </m:e>
                <m:sup>
                  <m:r>
                    <m:t>2</m:t>
                  </m:r>
                </m:sup>
              </m:sSup>
            </m:oMath>
            <w:r>
              <w:rPr>
                <w:rFonts w:ascii="Arial" w:hAnsi="Arial"/>
                <w:b w:val="0"/>
                <w:sz w:val="22"/>
              </w:rPr>
              <w:t xml:space="preserve"> </w:t>
            </w:r>
            <w:r>
              <w:rPr>
                <w:rFonts w:ascii="Arial" w:hAnsi="Arial"/>
                <w:b w:val="0"/>
                <w:sz w:val="22"/>
              </w:rPr>
              <w:t xml:space="preserve">da UPA: 0</w:t>
            </w:r>
            <w:r>
              <w:rPr>
                <w:rFonts w:ascii="Arial" w:hAnsi="Arial"/>
                <w:b w:val="0"/>
                <w:sz w:val="22"/>
              </w:rPr>
              <w:t xml:space="preserve">,</w:t>
            </w:r>
            <w:r>
              <w:rPr>
                <w:rFonts w:ascii="Arial" w:hAnsi="Arial"/>
                <w:b w:val="0"/>
                <w:sz w:val="22"/>
              </w:rPr>
              <w:t xml:space="preserve">30182 (ML) e 0</w:t>
            </w:r>
            <w:r>
              <w:rPr>
                <w:rFonts w:ascii="Arial" w:hAnsi="Arial"/>
                <w:b w:val="0"/>
                <w:sz w:val="22"/>
              </w:rPr>
              <w:t xml:space="preserve">,</w:t>
            </w:r>
            <w:r>
              <w:rPr>
                <w:rFonts w:ascii="Arial" w:hAnsi="Arial"/>
                <w:b w:val="0"/>
                <w:sz w:val="22"/>
              </w:rPr>
              <w:t xml:space="preserve">30182 (REML)</w:t>
            </w:r>
          </w:p>
        </w:tc>
        <w:tc>
          <w:tcPr>
            <w:tcW w:type="dxa" w:w="3570"/>
          </w:tcPr>
          <w:p>
            <w:pPr>
              <w:pStyle w:val="Compact"/>
              <w:keepNext/>
              <w:spacing w:line="240" w:lineRule="auto" w:after="0"/>
              <w:ind w:firstLine="0"/>
              <w:jc w:val="left"/>
            </w:pPr>
            <w:r>
              <w:rPr>
                <w:rFonts w:ascii="Arial" w:hAnsi="Arial"/>
                <w:b w:val="0"/>
                <w:sz w:val="22"/>
              </w:rPr>
              <w:t xml:space="preserve">coincidem com</w:t>
            </w:r>
            <w:r>
              <w:rPr>
                <w:rFonts w:ascii="Arial" w:hAnsi="Arial"/>
                <w:b w:val="0"/>
                <w:sz w:val="22"/>
              </w:rPr>
              <w:t xml:space="preserve"> </w:t>
            </w:r>
            <w:r>
              <w:rPr>
                <w:rFonts w:ascii="Arial" w:hAnsi="Arial"/>
                <w:b w:val="0"/>
                <w:i/>
                <w:iCs/>
                <w:sz w:val="22"/>
              </w:rPr>
              <w:t xml:space="preserve">N</w:t>
            </w:r>
            <w:r>
              <w:rPr>
                <w:rFonts w:ascii="Arial" w:hAnsi="Arial"/>
                <w:b w:val="0"/>
                <w:sz w:val="22"/>
              </w:rPr>
              <w:t xml:space="preserve"> </w:t>
            </w:r>
            <w:r>
              <w:rPr>
                <w:rFonts w:ascii="Arial" w:hAnsi="Arial"/>
                <w:b w:val="0"/>
                <w:sz w:val="22"/>
              </w:rPr>
              <w:t xml:space="preserve">de milhões; ML usado para os testes aninhados</w:t>
            </w:r>
          </w:p>
        </w:tc>
      </w:tr>
      <w:tr>
        <w:trPr>
          <w:cantSplit/>
        </w:trPr>
        <w:tc>
          <w:tcPr>
            <w:tcW w:type="dxa" w:w="2680"/>
          </w:tcPr>
          <w:p>
            <w:pPr>
              <w:pStyle w:val="Compact"/>
              <w:keepNext/>
              <w:spacing w:line="240" w:lineRule="auto" w:after="0"/>
              <w:ind w:firstLine="0"/>
              <w:jc w:val="left"/>
            </w:pPr>
            <w:r>
              <w:rPr>
                <w:rFonts w:ascii="Arial" w:hAnsi="Arial"/>
                <w:b w:val="0"/>
                <w:sz w:val="22"/>
              </w:rPr>
              <w:t xml:space="preserve">Confundidor não observado (Konfound/ITCV)</w:t>
            </w:r>
          </w:p>
        </w:tc>
        <w:tc>
          <w:tcPr>
            <w:tcW w:type="dxa" w:w="2821"/>
          </w:tcPr>
          <w:p>
            <w:pPr>
              <w:pStyle w:val="Compact"/>
              <w:keepNext/>
              <w:spacing w:line="240" w:lineRule="auto" w:after="0"/>
              <w:ind w:firstLine="0"/>
              <w:jc w:val="left"/>
            </w:pPr>
            <w:r>
              <w:rPr>
                <w:rFonts w:ascii="Arial" w:hAnsi="Arial"/>
                <w:b w:val="0"/>
                <w:sz w:val="22"/>
              </w:rPr>
              <w:t xml:space="preserve">98</w:t>
            </w:r>
            <w:r>
              <w:rPr>
                <w:rFonts w:ascii="Arial" w:hAnsi="Arial"/>
                <w:b w:val="0"/>
                <w:sz w:val="22"/>
              </w:rPr>
              <w:t xml:space="preserve">,</w:t>
            </w:r>
            <w:r>
              <w:rPr>
                <w:rFonts w:ascii="Arial" w:hAnsi="Arial"/>
                <w:b w:val="0"/>
                <w:sz w:val="22"/>
              </w:rPr>
              <w:t xml:space="preserve">4% das estimativas teriam de ser viés para anular o achado</w:t>
            </w:r>
          </w:p>
        </w:tc>
        <w:tc>
          <w:tcPr>
            <w:tcW w:type="dxa" w:w="3570"/>
          </w:tcPr>
          <w:p>
            <w:pPr>
              <w:pStyle w:val="Compact"/>
              <w:keepNext/>
              <w:spacing w:line="240" w:lineRule="auto" w:after="0"/>
              <w:ind w:firstLine="0"/>
              <w:jc w:val="left"/>
            </w:pPr>
            <w:r>
              <w:rPr>
                <w:rFonts w:ascii="Arial" w:hAnsi="Arial"/>
                <w:b w:val="0"/>
                <w:sz w:val="22"/>
              </w:rPr>
              <w:t xml:space="preserve">achado robusto a confundimento plausível</w:t>
            </w:r>
          </w:p>
        </w:tc>
      </w:tr>
      <w:tr>
        <w:trPr>
          <w:cantSplit/>
        </w:trPr>
        <w:tc>
          <w:tcPr>
            <w:tcW w:type="dxa" w:w="2680"/>
          </w:tcPr>
          <w:p>
            <w:pPr>
              <w:pStyle w:val="Compact"/>
              <w:keepNext/>
              <w:spacing w:line="240" w:lineRule="auto" w:after="0"/>
              <w:ind w:firstLine="0"/>
              <w:jc w:val="left"/>
            </w:pPr>
            <w:r>
              <w:rPr>
                <w:rFonts w:ascii="Arial" w:hAnsi="Arial"/>
                <w:b w:val="0"/>
                <w:sz w:val="22"/>
              </w:rPr>
              <w:t xml:space="preserve">Confundidor não observado (E-value)</w:t>
            </w:r>
          </w:p>
        </w:tc>
        <w:tc>
          <w:tcPr>
            <w:tcW w:type="dxa" w:w="2821"/>
          </w:tcPr>
          <w:p>
            <w:pPr>
              <w:pStyle w:val="Compact"/>
              <w:keepNext/>
              <w:spacing w:line="240" w:lineRule="auto" w:after="0"/>
              <w:ind w:firstLine="0"/>
              <w:jc w:val="left"/>
            </w:pPr>
            <w:r>
              <w:rPr>
                <w:rFonts w:ascii="Arial" w:hAnsi="Arial"/>
                <w:b w:val="0"/>
                <w:sz w:val="22"/>
              </w:rPr>
              <w:t xml:space="preserve">E-value entre 1</w:t>
            </w:r>
            <w:r>
              <w:rPr>
                <w:rFonts w:ascii="Arial" w:hAnsi="Arial"/>
                <w:b w:val="0"/>
                <w:sz w:val="22"/>
              </w:rPr>
              <w:t xml:space="preserve">,</w:t>
            </w:r>
            <w:r>
              <w:rPr>
                <w:rFonts w:ascii="Arial" w:hAnsi="Arial"/>
                <w:b w:val="0"/>
                <w:sz w:val="22"/>
              </w:rPr>
              <w:t xml:space="preserve">46 e 2</w:t>
            </w:r>
            <w:r>
              <w:rPr>
                <w:rFonts w:ascii="Arial" w:hAnsi="Arial"/>
                <w:b w:val="0"/>
                <w:sz w:val="22"/>
              </w:rPr>
              <w:t xml:space="preserve">,</w:t>
            </w:r>
            <w:r>
              <w:rPr>
                <w:rFonts w:ascii="Arial" w:hAnsi="Arial"/>
                <w:b w:val="0"/>
                <w:sz w:val="22"/>
              </w:rPr>
              <w:t xml:space="preserve">36</w:t>
            </w:r>
          </w:p>
        </w:tc>
        <w:tc>
          <w:tcPr>
            <w:tcW w:type="dxa" w:w="3570"/>
          </w:tcPr>
          <w:p>
            <w:pPr>
              <w:pStyle w:val="Compact"/>
              <w:keepNext/>
              <w:spacing w:line="240" w:lineRule="auto" w:after="0"/>
              <w:ind w:firstLine="0"/>
              <w:jc w:val="left"/>
            </w:pPr>
            <w:r>
              <w:rPr>
                <w:rFonts w:ascii="Arial" w:hAnsi="Arial"/>
                <w:b w:val="0"/>
                <w:sz w:val="22"/>
              </w:rPr>
              <w:t xml:space="preserve">um confundidor precisaria dessa força com raça e desfecho</w:t>
            </w:r>
          </w:p>
        </w:tc>
      </w:tr>
      <w:tr>
        <w:trPr>
          <w:cantSplit/>
        </w:trPr>
        <w:tc>
          <w:tcPr>
            <w:tcW w:type="dxa" w:w="2680"/>
          </w:tcPr>
          <w:p>
            <w:pPr>
              <w:pStyle w:val="Compact"/>
              <w:keepNext/>
              <w:spacing w:line="240" w:lineRule="auto" w:after="0"/>
              <w:ind w:firstLine="0"/>
              <w:jc w:val="left"/>
            </w:pPr>
            <w:r>
              <w:rPr>
                <w:rFonts w:ascii="Arial" w:hAnsi="Arial"/>
                <w:b w:val="0"/>
                <w:sz w:val="22"/>
              </w:rPr>
              <w:t xml:space="preserve">Sobreajuste (treino vs. teste)</w:t>
            </w:r>
          </w:p>
        </w:tc>
        <w:tc>
          <w:tcPr>
            <w:tcW w:type="dxa" w:w="2821"/>
          </w:tcPr>
          <w:p>
            <w:pPr>
              <w:pStyle w:val="Compact"/>
              <w:keepNext/>
              <w:spacing w:line="240" w:lineRule="auto" w:after="0"/>
              <w:ind w:firstLine="0"/>
              <w:jc w:val="left"/>
            </w:pPr>
            <w:r>
              <w:rPr>
                <w:rFonts w:ascii="Arial" w:hAnsi="Arial"/>
                <w:b w:val="0"/>
                <w:sz w:val="22"/>
              </w:rPr>
              <w:t xml:space="preserve">maior diferença de</w:t>
            </w:r>
            <w:r>
              <w:rPr>
                <w:rFonts w:ascii="Arial" w:hAnsi="Arial"/>
                <w:b w:val="0"/>
                <w:sz w:val="22"/>
              </w:rPr>
              <w:t xml:space="preserve"> </w:t>
            </w:r>
            <w:r>
              <w:rPr>
                <w:rFonts w:ascii="Arial" w:hAnsi="Arial"/>
                <w:b w:val="0"/>
                <w:i/>
                <w:iCs/>
                <w:sz w:val="22"/>
              </w:rPr>
              <w:t xml:space="preserve">R</w:t>
            </w:r>
            <w:r>
              <w:rPr>
                <w:rFonts w:ascii="Arial" w:hAnsi="Arial"/>
                <w:b w:val="0"/>
                <w:sz w:val="22"/>
                <w:vertAlign w:val="superscript"/>
              </w:rPr>
              <w:t xml:space="preserve">2</w:t>
            </w:r>
            <w:r>
              <w:rPr>
                <w:rFonts w:ascii="Arial" w:hAnsi="Arial"/>
                <w:b w:val="0"/>
                <w:sz w:val="22"/>
              </w:rPr>
              <w:t xml:space="preserve">: 0</w:t>
            </w:r>
            <w:r>
              <w:rPr>
                <w:rFonts w:ascii="Arial" w:hAnsi="Arial"/>
                <w:b w:val="0"/>
                <w:sz w:val="22"/>
              </w:rPr>
              <w:t xml:space="preserve">,</w:t>
            </w:r>
            <w:r>
              <w:rPr>
                <w:rFonts w:ascii="Arial" w:hAnsi="Arial"/>
                <w:b w:val="0"/>
                <w:sz w:val="22"/>
              </w:rPr>
              <w:t xml:space="preserve">0084</w:t>
            </w:r>
          </w:p>
        </w:tc>
        <w:tc>
          <w:tcPr>
            <w:tcW w:type="dxa" w:w="3570"/>
          </w:tcPr>
          <w:p>
            <w:pPr>
              <w:pStyle w:val="Compact"/>
              <w:keepNext/>
              <w:spacing w:line="240" w:lineRule="auto" w:after="0"/>
              <w:ind w:firstLine="0"/>
              <w:jc w:val="left"/>
            </w:pPr>
            <w:r>
              <w:rPr>
                <w:rFonts w:ascii="Arial" w:hAnsi="Arial"/>
                <w:b w:val="0"/>
                <w:sz w:val="22"/>
              </w:rPr>
              <w:t xml:space="preserve">partição 80/20 e validação cruzada</w:t>
            </w:r>
            <w:r>
              <w:rPr>
                <w:rFonts w:ascii="Arial" w:hAnsi="Arial"/>
                <w:b w:val="0"/>
                <w:sz w:val="22"/>
              </w:rPr>
              <w:t xml:space="preserve"> </w:t>
            </w:r>
            <w:r>
              <w:rPr>
                <w:rFonts w:ascii="Arial" w:hAnsi="Arial"/>
                <w:b w:val="0"/>
                <w:i/>
                <w:iCs/>
                <w:sz w:val="22"/>
              </w:rPr>
              <w:t xml:space="preserve">k</w:t>
            </w:r>
            <w:r>
              <w:rPr>
                <w:rFonts w:ascii="Arial" w:hAnsi="Arial"/>
                <w:b w:val="0"/>
                <w:sz w:val="22"/>
              </w:rPr>
              <w:t xml:space="preserve">-</w:t>
            </w:r>
            <w:r>
              <w:rPr>
                <w:rFonts w:ascii="Arial" w:hAnsi="Arial"/>
                <w:b w:val="0"/>
                <w:sz w:val="22"/>
              </w:rPr>
              <w:t xml:space="preserve">fold</w:t>
            </w:r>
          </w:p>
        </w:tc>
      </w:tr>
      <w:tr>
        <w:trPr>
          <w:cantSplit/>
        </w:trPr>
        <w:tc>
          <w:tcPr>
            <w:tcW w:type="dxa" w:w="2680"/>
          </w:tcPr>
          <w:p>
            <w:pPr>
              <w:pStyle w:val="Compact"/>
              <w:keepNext/>
              <w:spacing w:line="240" w:lineRule="auto" w:after="0"/>
              <w:ind w:firstLine="0"/>
              <w:jc w:val="left"/>
            </w:pPr>
            <w:r>
              <w:rPr>
                <w:rFonts w:ascii="Arial" w:hAnsi="Arial"/>
                <w:b w:val="0"/>
                <w:sz w:val="22"/>
              </w:rPr>
              <w:t xml:space="preserve">Ganho do ML sobre o linear</w:t>
            </w:r>
          </w:p>
        </w:tc>
        <w:tc>
          <w:tcPr>
            <w:tcW w:type="dxa" w:w="2821"/>
          </w:tcPr>
          <w:p>
            <w:pPr>
              <w:pStyle w:val="Compact"/>
              <w:keepNext/>
              <w:spacing w:line="240" w:lineRule="auto" w:after="0"/>
              <w:ind w:firstLine="0"/>
              <w:jc w:val="left"/>
            </w:pPr>
            <w:r>
              <w:rPr>
                <w:rFonts w:ascii="Arial" w:hAnsi="Arial"/>
                <w:b w:val="0"/>
                <w:i/>
                <w:iCs/>
                <w:sz w:val="22"/>
              </w:rPr>
              <w:t xml:space="preserve">R</w:t>
            </w:r>
            <w:r>
              <w:rPr>
                <w:rFonts w:ascii="Arial" w:hAnsi="Arial"/>
                <w:b w:val="0"/>
                <w:sz w:val="22"/>
                <w:vertAlign w:val="superscript"/>
              </w:rPr>
              <w:t xml:space="preserve">2</w:t>
            </w:r>
            <w:r>
              <w:rPr>
                <w:rFonts w:ascii="Arial" w:hAnsi="Arial"/>
                <w:b w:val="0"/>
                <w:sz w:val="22"/>
              </w:rPr>
              <w:t xml:space="preserve"> </w:t>
            </w:r>
            <w:r>
              <w:rPr>
                <w:rFonts w:ascii="Arial" w:hAnsi="Arial"/>
                <w:b w:val="0"/>
                <w:sz w:val="22"/>
              </w:rPr>
              <w:t xml:space="preserve">de teste: MQO 0</w:t>
            </w:r>
            <w:r>
              <w:rPr>
                <w:rFonts w:ascii="Arial" w:hAnsi="Arial"/>
                <w:b w:val="0"/>
                <w:sz w:val="22"/>
              </w:rPr>
              <w:t xml:space="preserve">,</w:t>
            </w:r>
            <w:r>
              <w:rPr>
                <w:rFonts w:ascii="Arial" w:hAnsi="Arial"/>
                <w:b w:val="0"/>
                <w:sz w:val="22"/>
              </w:rPr>
              <w:t xml:space="preserve">587; RF 0</w:t>
            </w:r>
            <w:r>
              <w:rPr>
                <w:rFonts w:ascii="Arial" w:hAnsi="Arial"/>
                <w:b w:val="0"/>
                <w:sz w:val="22"/>
              </w:rPr>
              <w:t xml:space="preserve">,</w:t>
            </w:r>
            <w:r>
              <w:rPr>
                <w:rFonts w:ascii="Arial" w:hAnsi="Arial"/>
                <w:b w:val="0"/>
                <w:sz w:val="22"/>
              </w:rPr>
              <w:t xml:space="preserve">589; XGBoost 0</w:t>
            </w:r>
            <w:r>
              <w:rPr>
                <w:rFonts w:ascii="Arial" w:hAnsi="Arial"/>
                <w:b w:val="0"/>
                <w:sz w:val="22"/>
              </w:rPr>
              <w:t xml:space="preserve">,</w:t>
            </w:r>
            <w:r>
              <w:rPr>
                <w:rFonts w:ascii="Arial" w:hAnsi="Arial"/>
                <w:b w:val="0"/>
                <w:sz w:val="22"/>
              </w:rPr>
              <w:t xml:space="preserve">644</w:t>
            </w:r>
          </w:p>
        </w:tc>
        <w:tc>
          <w:tcPr>
            <w:tcW w:type="dxa" w:w="3570"/>
          </w:tcPr>
          <w:p>
            <w:pPr>
              <w:pStyle w:val="Compact"/>
              <w:keepNext/>
              <w:spacing w:line="240" w:lineRule="auto" w:after="0"/>
              <w:ind w:firstLine="0"/>
              <w:jc w:val="left"/>
            </w:pPr>
            <w:r>
              <w:rPr>
                <w:rFonts w:ascii="Arial" w:hAnsi="Arial"/>
                <w:b w:val="0"/>
                <w:sz w:val="22"/>
              </w:rPr>
              <w:t xml:space="preserve">mesmo treino e teste: o RF empata com o linear (+0</w:t>
            </w:r>
            <w:r>
              <w:rPr>
                <w:rFonts w:ascii="Arial" w:hAnsi="Arial"/>
                <w:b w:val="0"/>
                <w:sz w:val="22"/>
              </w:rPr>
              <w:t xml:space="preserve">,</w:t>
            </w:r>
            <w:r>
              <w:rPr>
                <w:rFonts w:ascii="Arial" w:hAnsi="Arial"/>
                <w:b w:val="0"/>
                <w:sz w:val="22"/>
              </w:rPr>
              <w:t xml:space="preserve">002); o XGBoost ganha 0</w:t>
            </w:r>
            <w:r>
              <w:rPr>
                <w:rFonts w:ascii="Arial" w:hAnsi="Arial"/>
                <w:b w:val="0"/>
                <w:sz w:val="22"/>
              </w:rPr>
              <w:t xml:space="preserve">,</w:t>
            </w:r>
            <w:r>
              <w:rPr>
                <w:rFonts w:ascii="Arial" w:hAnsi="Arial"/>
                <w:b w:val="0"/>
                <w:sz w:val="22"/>
              </w:rPr>
              <w:t xml:space="preserve">058</w:t>
            </w:r>
          </w:p>
        </w:tc>
      </w:tr>
      <w:tr>
        <w:trPr>
          <w:cantSplit/>
        </w:trPr>
        <w:tc>
          <w:tcPr>
            <w:tcW w:type="dxa" w:w="2680"/>
          </w:tcPr>
          <w:p>
            <w:pPr>
              <w:pStyle w:val="Compact"/>
              <w:keepNext/>
              <w:spacing w:line="240" w:lineRule="auto" w:after="0"/>
              <w:ind w:firstLine="0"/>
              <w:jc w:val="left"/>
            </w:pPr>
            <w:r>
              <w:rPr>
                <w:rFonts w:ascii="Arial" w:hAnsi="Arial"/>
                <w:b w:val="0"/>
                <w:sz w:val="22"/>
              </w:rPr>
              <w:t xml:space="preserve">Peso amostral (V1028) no acesso, no topo e na decomposição</w:t>
            </w:r>
          </w:p>
        </w:tc>
        <w:tc>
          <w:tcPr>
            <w:tcW w:type="dxa" w:w="2821"/>
          </w:tcPr>
          <w:p>
            <w:pPr>
              <w:pStyle w:val="Compact"/>
              <w:keepNext/>
              <w:spacing w:line="240" w:lineRule="auto" w:after="0"/>
              <w:ind w:firstLine="0"/>
              <w:jc w:val="left"/>
            </w:pPr>
            <w:r>
              <w:rPr>
                <w:rFonts w:ascii="Arial" w:hAnsi="Arial"/>
                <w:b w:val="0"/>
                <w:sz w:val="22"/>
              </w:rPr>
              <w:t xml:space="preserve">OR do acesso 0</w:t>
            </w:r>
            <w:r>
              <w:rPr>
                <w:rFonts w:ascii="Arial" w:hAnsi="Arial"/>
                <w:b w:val="0"/>
                <w:sz w:val="22"/>
              </w:rPr>
              <w:t xml:space="preserve">,</w:t>
            </w:r>
            <w:r>
              <w:rPr>
                <w:rFonts w:ascii="Arial" w:hAnsi="Arial"/>
                <w:b w:val="0"/>
                <w:sz w:val="22"/>
              </w:rPr>
              <w:t xml:space="preserve">820</w:t>
            </w:r>
            <w:r>
              <w:rPr>
                <w:rFonts w:ascii="Arial" w:hAnsi="Arial"/>
                <w:b w:val="0"/>
                <w:sz w:val="22"/>
              </w:rPr>
              <w:t xml:space="preserve"> </w:t>
            </w:r>
            <m:oMath>
              <m:r>
                <m:rPr>
                  <m:sty m:val="p"/>
                </m:rPr>
                <m:t>→</m:t>
              </m:r>
            </m:oMath>
            <w:r>
              <w:rPr>
                <w:rFonts w:ascii="Arial" w:hAnsi="Arial"/>
                <w:b w:val="0"/>
                <w:sz w:val="22"/>
              </w:rPr>
              <w:t xml:space="preserve"> </w:t>
            </w:r>
            <w:r>
              <w:rPr>
                <w:rFonts w:ascii="Arial" w:hAnsi="Arial"/>
                <w:b w:val="0"/>
                <w:sz w:val="22"/>
              </w:rPr>
              <w:t xml:space="preserve">0</w:t>
            </w:r>
            <w:r>
              <w:rPr>
                <w:rFonts w:ascii="Arial" w:hAnsi="Arial"/>
                <w:b w:val="0"/>
                <w:sz w:val="22"/>
              </w:rPr>
              <w:t xml:space="preserve">,</w:t>
            </w:r>
            <w:r>
              <w:rPr>
                <w:rFonts w:ascii="Arial" w:hAnsi="Arial"/>
                <w:b w:val="0"/>
                <w:sz w:val="22"/>
              </w:rPr>
              <w:t xml:space="preserve">808; topo 10% 0</w:t>
            </w:r>
            <w:r>
              <w:rPr>
                <w:rFonts w:ascii="Arial" w:hAnsi="Arial"/>
                <w:b w:val="0"/>
                <w:sz w:val="22"/>
              </w:rPr>
              <w:t xml:space="preserve">,</w:t>
            </w:r>
            <w:r>
              <w:rPr>
                <w:rFonts w:ascii="Arial" w:hAnsi="Arial"/>
                <w:b w:val="0"/>
                <w:sz w:val="22"/>
              </w:rPr>
              <w:t xml:space="preserve">758</w:t>
            </w:r>
            <w:r>
              <w:rPr>
                <w:rFonts w:ascii="Arial" w:hAnsi="Arial"/>
                <w:b w:val="0"/>
                <w:sz w:val="22"/>
              </w:rPr>
              <w:t xml:space="preserve"> </w:t>
            </w:r>
            <m:oMath>
              <m:r>
                <m:rPr>
                  <m:sty m:val="p"/>
                </m:rPr>
                <m:t>→</m:t>
              </m:r>
            </m:oMath>
            <w:r>
              <w:rPr>
                <w:rFonts w:ascii="Arial" w:hAnsi="Arial"/>
                <w:b w:val="0"/>
                <w:sz w:val="22"/>
              </w:rPr>
              <w:t xml:space="preserve"> </w:t>
            </w:r>
            <w:r>
              <w:rPr>
                <w:rFonts w:ascii="Arial" w:hAnsi="Arial"/>
                <w:b w:val="0"/>
                <w:sz w:val="22"/>
              </w:rPr>
              <w:t xml:space="preserve">0</w:t>
            </w:r>
            <w:r>
              <w:rPr>
                <w:rFonts w:ascii="Arial" w:hAnsi="Arial"/>
                <w:b w:val="0"/>
                <w:sz w:val="22"/>
              </w:rPr>
              <w:t xml:space="preserve">,</w:t>
            </w:r>
            <w:r>
              <w:rPr>
                <w:rFonts w:ascii="Arial" w:hAnsi="Arial"/>
                <w:b w:val="0"/>
                <w:sz w:val="22"/>
              </w:rPr>
              <w:t xml:space="preserve">777; preço da Oaxaca (A, com peso) 17</w:t>
            </w:r>
            <w:r>
              <w:rPr>
                <w:rFonts w:ascii="Arial" w:hAnsi="Arial"/>
                <w:b w:val="0"/>
                <w:sz w:val="22"/>
              </w:rPr>
              <w:t xml:space="preserve">,</w:t>
            </w:r>
            <w:r>
              <w:rPr>
                <w:rFonts w:ascii="Arial" w:hAnsi="Arial"/>
                <w:b w:val="0"/>
                <w:sz w:val="22"/>
              </w:rPr>
              <w:t xml:space="preserve">9%</w:t>
            </w:r>
            <w:r>
              <w:rPr>
                <w:rFonts w:ascii="Arial" w:hAnsi="Arial"/>
                <w:b w:val="0"/>
                <w:sz w:val="22"/>
              </w:rPr>
              <w:t xml:space="preserve"> </w:t>
            </w:r>
            <m:oMath>
              <m:r>
                <m:rPr>
                  <m:sty m:val="p"/>
                </m:rPr>
                <m:t>→</m:t>
              </m:r>
            </m:oMath>
            <w:r>
              <w:rPr>
                <w:rFonts w:ascii="Arial" w:hAnsi="Arial"/>
                <w:b w:val="0"/>
                <w:sz w:val="22"/>
              </w:rPr>
              <w:t xml:space="preserve"> </w:t>
            </w:r>
            <w:r>
              <w:rPr>
                <w:rFonts w:ascii="Arial" w:hAnsi="Arial"/>
                <w:b w:val="0"/>
                <w:sz w:val="22"/>
              </w:rPr>
              <w:t xml:space="preserve">15</w:t>
            </w:r>
            <w:r>
              <w:rPr>
                <w:rFonts w:ascii="Arial" w:hAnsi="Arial"/>
                <w:b w:val="0"/>
                <w:sz w:val="22"/>
              </w:rPr>
              <w:t xml:space="preserve">,</w:t>
            </w:r>
            <w:r>
              <w:rPr>
                <w:rFonts w:ascii="Arial" w:hAnsi="Arial"/>
                <w:b w:val="0"/>
                <w:sz w:val="22"/>
              </w:rPr>
              <w:t xml:space="preserve">3%</w:t>
            </w:r>
          </w:p>
        </w:tc>
        <w:tc>
          <w:tcPr>
            <w:tcW w:type="dxa" w:w="3570"/>
          </w:tcPr>
          <w:p>
            <w:pPr>
              <w:pStyle w:val="Compact"/>
              <w:keepNext/>
              <w:spacing w:line="240" w:lineRule="auto" w:after="0"/>
              <w:ind w:firstLine="0"/>
              <w:jc w:val="left"/>
            </w:pPr>
            <w:r>
              <w:rPr>
                <w:rFonts w:ascii="Arial" w:hAnsi="Arial"/>
                <w:b w:val="0"/>
                <w:sz w:val="22"/>
              </w:rPr>
              <w:t xml:space="preserve">logit com efeito fixo de estado e erro agrupado por UPA; conclusão inalterada</w:t>
            </w:r>
          </w:p>
        </w:tc>
      </w:tr>
      <w:tr>
        <w:trPr>
          <w:cantSplit/>
        </w:trPr>
        <w:tc>
          <w:tcPr>
            <w:tcW w:type="dxa" w:w="2680"/>
          </w:tcPr>
          <w:p>
            <w:pPr>
              <w:pStyle w:val="Compact"/>
              <w:keepNext/>
              <w:spacing w:line="240" w:lineRule="auto" w:after="0"/>
              <w:ind w:firstLine="0"/>
              <w:jc w:val="left"/>
            </w:pPr>
            <w:r>
              <w:rPr>
                <w:rFonts w:ascii="Arial" w:hAnsi="Arial"/>
                <w:b w:val="0"/>
                <w:sz w:val="22"/>
              </w:rPr>
              <w:t xml:space="preserve">Validação cruzada (</w:t>
            </w:r>
            <m:oMath>
              <m:r>
                <m:t>k</m:t>
              </m:r>
              <m:r>
                <m:rPr>
                  <m:sty m:val="p"/>
                </m:rPr>
                <m:t>=</m:t>
              </m:r>
              <m:r>
                <m:t>5</m:t>
              </m:r>
            </m:oMath>
            <w:r>
              <w:rPr>
                <w:rFonts w:ascii="Arial" w:hAnsi="Arial"/>
                <w:b w:val="0"/>
                <w:sz w:val="22"/>
              </w:rPr>
              <w:t xml:space="preserve">)</w:t>
            </w:r>
          </w:p>
        </w:tc>
        <w:tc>
          <w:tcPr>
            <w:tcW w:type="dxa" w:w="2821"/>
          </w:tcPr>
          <w:p>
            <w:pPr>
              <w:pStyle w:val="Compact"/>
              <w:keepNext/>
              <w:spacing w:line="240" w:lineRule="auto" w:after="0"/>
              <w:ind w:firstLine="0"/>
              <w:jc w:val="left"/>
            </w:pPr>
            <w:r>
              <w:rPr>
                <w:rFonts w:ascii="Arial" w:hAnsi="Arial"/>
                <w:b w:val="0"/>
                <w:i/>
                <w:iCs/>
                <w:sz w:val="22"/>
              </w:rPr>
              <w:t xml:space="preserve">R</w:t>
            </w:r>
            <w:r>
              <w:rPr>
                <w:rFonts w:ascii="Arial" w:hAnsi="Arial"/>
                <w:b w:val="0"/>
                <w:sz w:val="22"/>
                <w:vertAlign w:val="superscript"/>
              </w:rPr>
              <w:t xml:space="preserve">2</w:t>
            </w:r>
            <w:r>
              <w:rPr>
                <w:rFonts w:ascii="Arial" w:hAnsi="Arial"/>
                <w:b w:val="0"/>
                <w:sz w:val="22"/>
              </w:rPr>
              <w:t xml:space="preserve"> </w:t>
            </w:r>
            <w:r>
              <w:rPr>
                <w:rFonts w:ascii="Arial" w:hAnsi="Arial"/>
                <w:b w:val="0"/>
                <w:sz w:val="22"/>
              </w:rPr>
              <w:t xml:space="preserve">médio entre</w:t>
            </w:r>
            <w:r>
              <w:rPr>
                <w:rFonts w:ascii="Arial" w:hAnsi="Arial"/>
                <w:b w:val="0"/>
                <w:sz w:val="22"/>
              </w:rPr>
              <w:t xml:space="preserve"> </w:t>
            </w:r>
            <w:r>
              <w:rPr>
                <w:rFonts w:ascii="Arial" w:hAnsi="Arial"/>
                <w:b w:val="0"/>
                <w:sz w:val="22"/>
              </w:rPr>
              <w:t xml:space="preserve">folds</w:t>
            </w:r>
            <w:r>
              <w:rPr>
                <w:rFonts w:ascii="Arial" w:hAnsi="Arial"/>
                <w:b w:val="0"/>
                <w:sz w:val="22"/>
              </w:rPr>
              <w:t xml:space="preserve">: 0</w:t>
            </w:r>
            <w:r>
              <w:rPr>
                <w:rFonts w:ascii="Arial" w:hAnsi="Arial"/>
                <w:b w:val="0"/>
                <w:sz w:val="22"/>
              </w:rPr>
              <w:t xml:space="preserve">,</w:t>
            </w:r>
            <w:r>
              <w:rPr>
                <w:rFonts w:ascii="Arial" w:hAnsi="Arial"/>
                <w:b w:val="0"/>
                <w:sz w:val="22"/>
              </w:rPr>
              <w:t xml:space="preserve">6435</w:t>
            </w:r>
          </w:p>
        </w:tc>
        <w:tc>
          <w:tcPr>
            <w:tcW w:type="dxa" w:w="3570"/>
          </w:tcPr>
          <w:p>
            <w:pPr>
              <w:pStyle w:val="Compact"/>
              <w:keepNext/>
              <w:spacing w:line="240" w:lineRule="auto" w:after="0"/>
              <w:ind w:firstLine="0"/>
              <w:jc w:val="left"/>
            </w:pPr>
            <w:r>
              <w:rPr>
                <w:rFonts w:ascii="Arial" w:hAnsi="Arial"/>
                <w:b w:val="0"/>
                <w:sz w:val="22"/>
              </w:rPr>
              <w:t xml:space="preserve">hiperparâmetros escolhidos em partição de validação e confirmados por CV</w:t>
            </w:r>
          </w:p>
        </w:tc>
      </w:tr>
      <w:tr>
        <w:trPr>
          <w:cantSplit/>
        </w:trPr>
        <w:tc>
          <w:tcPr>
            <w:tcW w:type="dxa" w:w="2680"/>
          </w:tcPr>
          <w:p>
            <w:pPr>
              <w:pStyle w:val="Compact"/>
              <w:keepNext/>
              <w:spacing w:line="240" w:lineRule="auto" w:after="0"/>
              <w:ind w:firstLine="0"/>
              <w:jc w:val="left"/>
            </w:pPr>
            <w:r>
              <w:rPr>
                <w:rFonts w:ascii="Arial" w:hAnsi="Arial"/>
                <w:b w:val="0"/>
                <w:sz w:val="22"/>
              </w:rPr>
              <w:t xml:space="preserve">Balanceamento e suporte comum</w:t>
            </w:r>
          </w:p>
        </w:tc>
        <w:tc>
          <w:tcPr>
            <w:tcW w:type="dxa" w:w="2821"/>
          </w:tcPr>
          <w:p>
            <w:pPr>
              <w:pStyle w:val="Compact"/>
              <w:keepNext/>
              <w:spacing w:line="240" w:lineRule="auto" w:after="0"/>
              <w:ind w:firstLine="0"/>
              <w:jc w:val="left"/>
            </w:pPr>
            <w:r>
              <w:rPr>
                <w:rFonts w:ascii="Arial" w:hAnsi="Arial"/>
                <w:b w:val="0"/>
                <w:sz w:val="22"/>
              </w:rPr>
              <w:t xml:space="preserve">maior diferença padronizada entre grupos: 1</w:t>
            </w:r>
            <w:r>
              <w:rPr>
                <w:rFonts w:ascii="Arial" w:hAnsi="Arial"/>
                <w:b w:val="0"/>
                <w:sz w:val="22"/>
              </w:rPr>
              <w:t xml:space="preserve">,</w:t>
            </w:r>
            <w:r>
              <w:rPr>
                <w:rFonts w:ascii="Arial" w:hAnsi="Arial"/>
                <w:b w:val="0"/>
                <w:sz w:val="22"/>
              </w:rPr>
              <w:t xml:space="preserve">17</w:t>
            </w:r>
          </w:p>
        </w:tc>
        <w:tc>
          <w:tcPr>
            <w:tcW w:type="dxa" w:w="3570"/>
          </w:tcPr>
          <w:p>
            <w:pPr>
              <w:pStyle w:val="Compact"/>
              <w:keepNext/>
              <w:spacing w:line="240" w:lineRule="auto" w:after="0"/>
              <w:ind w:firstLine="0"/>
              <w:jc w:val="left"/>
            </w:pPr>
            <w:r>
              <w:rPr>
                <w:rFonts w:ascii="Arial" w:hAnsi="Arial"/>
                <w:b w:val="0"/>
                <w:sz w:val="22"/>
              </w:rPr>
              <w:t xml:space="preserve">desequilíbrio concentrado no contexto de bairro, absorvido pelo nível 2</w:t>
            </w:r>
          </w:p>
        </w:tc>
      </w:tr>
      <w:tr>
        <w:trPr>
          <w:cantSplit/>
        </w:trPr>
        <w:tc>
          <w:tcPr>
            <w:tcW w:type="dxa" w:w="2680"/>
          </w:tcPr>
          <w:p>
            <w:pPr>
              <w:pStyle w:val="Compact"/>
              <w:keepNext/>
              <w:spacing w:line="240" w:lineRule="auto" w:after="0"/>
              <w:ind w:firstLine="0"/>
              <w:jc w:val="left"/>
            </w:pPr>
            <w:r>
              <w:rPr>
                <w:rFonts w:ascii="Arial" w:hAnsi="Arial"/>
                <w:b w:val="0"/>
                <w:sz w:val="22"/>
              </w:rPr>
              <w:t xml:space="preserve">Especificação do nível de estado</w:t>
            </w:r>
          </w:p>
        </w:tc>
        <w:tc>
          <w:tcPr>
            <w:tcW w:type="dxa" w:w="2821"/>
          </w:tcPr>
          <w:p>
            <w:pPr>
              <w:pStyle w:val="Compact"/>
              <w:keepNext/>
              <w:spacing w:line="240" w:lineRule="auto" w:after="0"/>
              <w:ind w:firstLine="0"/>
              <w:jc w:val="left"/>
            </w:pPr>
            <w:r>
              <w:rPr>
                <w:rFonts w:ascii="Arial" w:hAnsi="Arial"/>
                <w:b w:val="0"/>
                <w:sz w:val="22"/>
              </w:rPr>
              <w:t xml:space="preserve">coeficiente racial com UF aleatória: −0</w:t>
            </w:r>
            <w:r>
              <w:rPr>
                <w:rFonts w:ascii="Arial" w:hAnsi="Arial"/>
                <w:b w:val="0"/>
                <w:sz w:val="22"/>
              </w:rPr>
              <w:t xml:space="preserve">,</w:t>
            </w:r>
            <w:r>
              <w:rPr>
                <w:rFonts w:ascii="Arial" w:hAnsi="Arial"/>
                <w:b w:val="0"/>
                <w:sz w:val="22"/>
              </w:rPr>
              <w:t xml:space="preserve">0629</w:t>
            </w:r>
          </w:p>
        </w:tc>
        <w:tc>
          <w:tcPr>
            <w:tcW w:type="dxa" w:w="3570"/>
          </w:tcPr>
          <w:p>
            <w:pPr>
              <w:pStyle w:val="Compact"/>
              <w:keepNext/>
              <w:spacing w:line="240" w:lineRule="auto" w:after="0"/>
              <w:ind w:firstLine="0"/>
              <w:jc w:val="left"/>
            </w:pPr>
            <w:r>
              <w:rPr>
                <w:rFonts w:ascii="Arial" w:hAnsi="Arial"/>
                <w:b w:val="0"/>
                <w:sz w:val="22"/>
              </w:rPr>
              <w:t xml:space="preserve">igual ao da UF como efeito fixo; resultado não depende da escolha</w:t>
            </w:r>
          </w:p>
        </w:tc>
      </w:tr>
      <w:tr>
        <w:trPr>
          <w:cantSplit/>
        </w:trPr>
        <w:tc>
          <w:tcPr>
            <w:tcW w:type="dxa" w:w="2680"/>
          </w:tcPr>
          <w:p>
            <w:pPr>
              <w:pStyle w:val="Compact"/>
              <w:keepNext/>
              <w:spacing w:line="240" w:lineRule="auto" w:after="0"/>
              <w:ind w:firstLine="0"/>
              <w:jc w:val="left"/>
            </w:pPr>
            <w:r>
              <w:rPr>
                <w:rFonts w:ascii="Arial" w:hAnsi="Arial"/>
                <w:b w:val="0"/>
                <w:sz w:val="22"/>
              </w:rPr>
              <w:t xml:space="preserve">Vazamento das médias de contexto</w:t>
            </w:r>
          </w:p>
        </w:tc>
        <w:tc>
          <w:tcPr>
            <w:tcW w:type="dxa" w:w="2821"/>
          </w:tcPr>
          <w:p>
            <w:pPr>
              <w:pStyle w:val="Compact"/>
              <w:keepNext/>
              <w:spacing w:line="240" w:lineRule="auto" w:after="0"/>
              <w:ind w:firstLine="0"/>
              <w:jc w:val="left"/>
            </w:pPr>
            <w:r>
              <w:rPr>
                <w:rFonts w:ascii="Arial" w:hAnsi="Arial"/>
                <w:b w:val="0"/>
                <w:sz w:val="22"/>
              </w:rPr>
              <w:t xml:space="preserve">médias do bairro e do estado calculadas sem a própria observação</w:t>
            </w:r>
          </w:p>
        </w:tc>
        <w:tc>
          <w:tcPr>
            <w:tcW w:type="dxa" w:w="3570"/>
          </w:tcPr>
          <w:p>
            <w:pPr>
              <w:pStyle w:val="Compact"/>
              <w:keepNext/>
              <w:spacing w:line="240" w:lineRule="auto" w:after="0"/>
              <w:ind w:firstLine="0"/>
              <w:jc w:val="left"/>
            </w:pPr>
            <w:r>
              <w:rPr>
                <w:rFonts w:ascii="Arial" w:hAnsi="Arial"/>
                <w:b w:val="0"/>
                <w:sz w:val="22"/>
              </w:rPr>
              <w:t xml:space="preserve">evita que a raça do indivíduo entre no regressor que o descreve</w:t>
            </w:r>
          </w:p>
        </w:tc>
      </w:tr>
      <w:tr>
        <w:trPr>
          <w:cantSplit/>
        </w:trPr>
        <w:tc>
          <w:tcPr>
            <w:tcW w:type="dxa" w:w="2680"/>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Dependência intragrupo (Moulton)</w:t>
            </w:r>
          </w:p>
        </w:tc>
        <w:tc>
          <w:tcPr>
            <w:tcW w:type="dxa" w:w="2821"/>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regressores que variam no nível da UPA</w:t>
            </w:r>
          </w:p>
        </w:tc>
        <w:tc>
          <w:tcPr>
            <w:tcW w:type="dxa" w:w="3570"/>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erro-padrão agrupado por UPA em todos os modelos</w:t>
            </w:r>
          </w:p>
        </w:tc>
      </w:tr>
    </w:tbl>
    <w:bookmarkEnd w:id="30"/>
    <w:p>
      <w:pPr>
        <w:pStyle w:val="BodyText"/>
        <w:spacing w:line="240" w:lineRule="auto" w:before="40" w:after="240"/>
        <w:ind w:firstLine="0"/>
        <w:jc w:val="both"/>
      </w:pPr>
      <w:r>
        <w:rPr>
          <w:rFonts w:ascii="Arial" w:hAnsi="Arial"/>
          <w:sz w:val="22"/>
        </w:rPr>
        <w:t xml:space="preserve">Fonte: Resultados originais da pesquisa.</w:t>
      </w:r>
    </w:p>
    <w:bookmarkEnd w:id="31"/>
    <w:bookmarkStart w:id="32" w:name="random-forest-xgboost-e-shap-values"/>
    <w:p>
      <w:pPr>
        <w:pStyle w:val="Ttulo2"/>
        <w:spacing w:line="360" w:lineRule="auto" w:before="280" w:after="280"/>
        <w:ind w:firstLine="709"/>
        <w:jc w:val="left"/>
      </w:pPr>
      <w:r>
        <w:rPr>
          <w:rFonts w:ascii="Arial" w:hAnsi="Arial"/>
          <w:b/>
          <w:sz w:val="22"/>
        </w:rPr>
        <w:t xml:space="preserve">Random Forest, XGBoost e SHAP Values</w:t>
      </w:r>
    </w:p>
    <w:p>
      <w:pPr>
        <w:pStyle w:val="FirstParagraph"/>
        <w:spacing w:line="360" w:lineRule="auto" w:after="0"/>
        <w:ind w:firstLine="709"/>
        <w:jc w:val="both"/>
      </w:pPr>
      <w:r>
        <w:rPr>
          <w:rFonts w:ascii="Arial" w:hAnsi="Arial"/>
          <w:sz w:val="22"/>
        </w:rPr>
        <w:t xml:space="preserve">Para predição do log-rendimento, foram ajustados dois modelos de ensemble:</w:t>
      </w:r>
      <w:r>
        <w:rPr>
          <w:rFonts w:ascii="Arial" w:hAnsi="Arial"/>
          <w:sz w:val="22"/>
        </w:rPr>
        <w:t xml:space="preserve"> </w:t>
      </w:r>
      <w:r>
        <w:rPr>
          <w:rFonts w:ascii="Arial" w:hAnsi="Arial"/>
          <w:sz w:val="22"/>
        </w:rPr>
        <w:t xml:space="preserve">(i) </w:t>
      </w:r>
      <w:r>
        <w:rPr>
          <w:rFonts w:ascii="Arial" w:hAnsi="Arial"/>
          <w:sz w:val="22"/>
        </w:rPr>
        <w:t xml:space="preserve">Random Forest</w:t>
      </w:r>
      <w:r>
        <w:rPr>
          <w:rFonts w:ascii="Arial" w:hAnsi="Arial"/>
          <w:sz w:val="22"/>
        </w:rPr>
        <w:t xml:space="preserve"> </w:t>
      </w:r>
      <w:r>
        <w:rPr>
          <w:rFonts w:ascii="Arial" w:hAnsi="Arial"/>
          <w:sz w:val="22"/>
        </w:rPr>
        <w:t xml:space="preserve">(Breiman, 2001)</w:t>
      </w:r>
      <w:r>
        <w:rPr>
          <w:rFonts w:ascii="Arial" w:hAnsi="Arial"/>
          <w:sz w:val="22"/>
        </w:rPr>
        <w:t xml:space="preserve"> </w:t>
      </w:r>
      <w:r>
        <w:rPr>
          <w:rFonts w:ascii="Arial" w:hAnsi="Arial"/>
          <w:sz w:val="22"/>
        </w:rPr>
        <w:t xml:space="preserve">com 200 árvores, profundidade</w:t>
      </w:r>
      <w:r>
        <w:rPr>
          <w:rFonts w:ascii="Arial" w:hAnsi="Arial"/>
          <w:sz w:val="22"/>
        </w:rPr>
        <w:t xml:space="preserve"> </w:t>
      </w:r>
      <w:r>
        <w:rPr>
          <w:rFonts w:ascii="Arial" w:hAnsi="Arial"/>
          <w:sz w:val="22"/>
        </w:rPr>
        <w:t xml:space="preserve">máxima 10, ao menos 50 observações por folha e todas as variáveis candidatas em cada</w:t>
      </w:r>
      <w:r>
        <w:rPr>
          <w:rFonts w:ascii="Arial" w:hAnsi="Arial"/>
          <w:sz w:val="22"/>
        </w:rPr>
        <w:t xml:space="preserve"> </w:t>
      </w:r>
      <w:r>
        <w:rPr>
          <w:rFonts w:ascii="Arial" w:hAnsi="Arial"/>
          <w:sz w:val="22"/>
        </w:rPr>
        <w:t xml:space="preserve">divisão (</w:t>
      </w:r>
      <w:r>
        <w:rPr>
          <w:rStyle w:val="VerbatimChar"/>
          <w:rFonts w:ascii="Arial" w:hAnsi="Arial"/>
          <w:sz w:val="22"/>
        </w:rPr>
        <w:t xml:space="preserve">max_features</w:t>
      </w:r>
      <w:r>
        <w:rPr>
          <w:rFonts w:ascii="Arial" w:hAnsi="Arial"/>
          <w:sz w:val="22"/>
        </w:rPr>
        <w:t xml:space="preserve"> </w:t>
      </w:r>
      <w:r>
        <w:rPr>
          <w:rFonts w:ascii="Arial" w:hAnsi="Arial"/>
          <w:sz w:val="22"/>
        </w:rPr>
        <w:t xml:space="preserve">padrão do</w:t>
      </w:r>
      <w:r>
        <w:rPr>
          <w:rFonts w:ascii="Arial" w:hAnsi="Arial"/>
          <w:sz w:val="22"/>
        </w:rPr>
        <w:t xml:space="preserve"> </w:t>
      </w:r>
      <w:r>
        <w:rPr>
          <w:rFonts w:ascii="Arial" w:hAnsi="Arial"/>
          <w:sz w:val="22"/>
        </w:rPr>
        <w:t xml:space="preserve">scikit-learn</w:t>
      </w:r>
      <w:r>
        <w:rPr>
          <w:rFonts w:ascii="Arial" w:hAnsi="Arial"/>
          <w:sz w:val="22"/>
        </w:rPr>
        <w:t xml:space="preserve"> </w:t>
      </w:r>
      <w:r>
        <w:rPr>
          <w:rFonts w:ascii="Arial" w:hAnsi="Arial"/>
          <w:sz w:val="22"/>
        </w:rPr>
        <w:t xml:space="preserve">para regressão); e (ii) </w:t>
      </w:r>
      <w:r>
        <w:rPr>
          <w:rFonts w:ascii="Arial" w:hAnsi="Arial"/>
          <w:sz w:val="22"/>
        </w:rPr>
        <w:t xml:space="preserve">XGBoost</w:t>
      </w:r>
      <w:r>
        <w:rPr>
          <w:rFonts w:ascii="Arial" w:hAnsi="Arial"/>
          <w:sz w:val="22"/>
        </w:rPr>
        <w:t xml:space="preserve"> </w:t>
      </w:r>
      <w:r>
        <w:rPr>
          <w:rFonts w:ascii="Arial" w:hAnsi="Arial"/>
          <w:sz w:val="22"/>
        </w:rPr>
        <w:t xml:space="preserve">(Chen; Guestrin, 2016)</w:t>
      </w:r>
      <w:r>
        <w:rPr>
          <w:rFonts w:ascii="Arial" w:hAnsi="Arial"/>
          <w:sz w:val="22"/>
        </w:rPr>
        <w:t xml:space="preserve"> </w:t>
      </w:r>
      <w:r>
        <w:rPr>
          <w:rFonts w:ascii="Arial" w:hAnsi="Arial"/>
          <w:sz w:val="22"/>
        </w:rPr>
        <w:t xml:space="preserve">com 300 iterações, taxa de aprendizado</w:t>
      </w:r>
      <w:r>
        <w:rPr>
          <w:rFonts w:ascii="Arial" w:hAnsi="Arial"/>
          <w:sz w:val="22"/>
        </w:rPr>
        <w:t xml:space="preserve"> </w:t>
      </w:r>
      <m:oMath>
        <m:r>
          <m:t>0</m:t>
        </m:r>
        <m:r>
          <m:rPr>
            <m:sty m:val="p"/>
          </m:rPr>
          <m:t>,</m:t>
        </m:r>
        <m:r>
          <m:t>05</m:t>
        </m:r>
      </m:oMath>
      <w:r>
        <w:rPr>
          <w:rFonts w:ascii="Arial" w:hAnsi="Arial"/>
          <w:sz w:val="22"/>
        </w:rPr>
        <w:t xml:space="preserve">, profundidade máxima 10 e regularização</w:t>
      </w:r>
      <w:r>
        <w:rPr>
          <w:rFonts w:ascii="Arial" w:hAnsi="Arial"/>
          <w:sz w:val="22"/>
        </w:rPr>
        <w:t xml:space="preserve"> </w:t>
      </w:r>
      <m:oMath>
        <m:sSub>
          <m:e>
            <m:r>
              <m:t>L</m:t>
            </m:r>
          </m:e>
          <m:sub>
            <m:r>
              <m:t>1</m:t>
            </m:r>
          </m:sub>
        </m:sSub>
        <m:r>
          <m:rPr>
            <m:sty m:val="p"/>
          </m:rPr>
          <m:t>/</m:t>
        </m:r>
        <m:sSub>
          <m:e>
            <m:r>
              <m:t>L</m:t>
            </m:r>
          </m:e>
          <m:sub>
            <m:r>
              <m:t>2</m:t>
            </m:r>
          </m:sub>
        </m:sSub>
      </m:oMath>
      <w:r>
        <w:rPr>
          <w:rFonts w:ascii="Arial" w:hAnsi="Arial"/>
          <w:sz w:val="22"/>
        </w:rPr>
        <w:t xml:space="preserve">. A profundidade</w:t>
      </w:r>
      <w:r>
        <w:rPr>
          <w:rFonts w:ascii="Arial" w:hAnsi="Arial"/>
          <w:sz w:val="22"/>
        </w:rPr>
        <w:t xml:space="preserve"> </w:t>
      </w:r>
      <w:r>
        <w:rPr>
          <w:rFonts w:ascii="Arial" w:hAnsi="Arial"/>
          <w:sz w:val="22"/>
        </w:rPr>
        <w:t xml:space="preserve">foi escolhida por validação cruzada (Tabela 14), e não por conveniência;</w:t>
      </w:r>
      <w:r>
        <w:rPr>
          <w:rFonts w:ascii="Arial" w:hAnsi="Arial"/>
          <w:sz w:val="22"/>
        </w:rPr>
        <w:t xml:space="preserve"> </w:t>
      </w:r>
      <w:r>
        <w:rPr>
          <w:rFonts w:ascii="Arial" w:hAnsi="Arial"/>
          <w:sz w:val="22"/>
        </w:rPr>
        <w:t xml:space="preserve">os dois modelos usam o mesmo conjunto de</w:t>
      </w:r>
      <w:r>
        <w:rPr>
          <w:rFonts w:ascii="Arial" w:hAnsi="Arial"/>
          <w:sz w:val="22"/>
        </w:rPr>
        <w:t xml:space="preserve"> </w:t>
      </w:r>
      <w:r>
        <w:rPr>
          <w:rFonts w:ascii="Arial" w:hAnsi="Arial"/>
          <w:sz w:val="22"/>
        </w:rPr>
        <w:t xml:space="preserve">features</w:t>
      </w:r>
      <w:r>
        <w:rPr>
          <w:rFonts w:ascii="Arial" w:hAnsi="Arial"/>
          <w:sz w:val="22"/>
        </w:rPr>
        <w:t xml:space="preserve"> </w:t>
      </w:r>
      <w:r>
        <w:rPr>
          <w:rFonts w:ascii="Arial" w:hAnsi="Arial"/>
          <w:sz w:val="22"/>
        </w:rPr>
        <w:t xml:space="preserve">e a mesma partição de teste. Sobre o modelo XGBoost,</w:t>
      </w:r>
      <w:r>
        <w:rPr>
          <w:rFonts w:ascii="Arial" w:hAnsi="Arial"/>
          <w:sz w:val="22"/>
        </w:rPr>
        <w:t xml:space="preserve"> </w:t>
      </w:r>
      <w:r>
        <w:rPr>
          <w:rFonts w:ascii="Arial" w:hAnsi="Arial"/>
          <w:sz w:val="22"/>
        </w:rPr>
        <w:t xml:space="preserve">foi aplicado o</w:t>
      </w:r>
      <w:r>
        <w:rPr>
          <w:rFonts w:ascii="Arial" w:hAnsi="Arial"/>
          <w:sz w:val="22"/>
        </w:rPr>
        <w:t xml:space="preserve"> </w:t>
      </w:r>
      <w:r>
        <w:rPr>
          <w:rFonts w:ascii="Arial" w:hAnsi="Arial"/>
          <w:sz w:val="22"/>
        </w:rPr>
        <w:t xml:space="preserve">TreeExplainer</w:t>
      </w:r>
      <w:r>
        <w:rPr>
          <w:rFonts w:ascii="Arial" w:hAnsi="Arial"/>
          <w:sz w:val="22"/>
        </w:rPr>
        <w:t xml:space="preserve"> </w:t>
      </w:r>
      <w:r>
        <w:rPr>
          <w:rFonts w:ascii="Arial" w:hAnsi="Arial"/>
          <w:sz w:val="22"/>
        </w:rPr>
        <w:t xml:space="preserve">da biblioteca SHAP</w:t>
      </w:r>
      <w:r>
        <w:rPr>
          <w:rFonts w:ascii="Arial" w:hAnsi="Arial"/>
          <w:sz w:val="22"/>
        </w:rPr>
        <w:t xml:space="preserve"> </w:t>
      </w:r>
      <w:r>
        <w:rPr>
          <w:rFonts w:ascii="Arial" w:hAnsi="Arial"/>
          <w:sz w:val="22"/>
        </w:rPr>
        <w:t xml:space="preserve">(Lundberg; Lee, 2017)</w:t>
      </w:r>
      <w:r>
        <w:rPr>
          <w:rFonts w:ascii="Arial" w:hAnsi="Arial"/>
          <w:sz w:val="22"/>
        </w:rPr>
        <w:t xml:space="preserve"> </w:t>
      </w:r>
      <w:r>
        <w:rPr>
          <w:rFonts w:ascii="Arial" w:hAnsi="Arial"/>
          <w:sz w:val="22"/>
        </w:rPr>
        <w:t xml:space="preserve">para calcular os valores de Shapley de cada variável. Os modelos são</w:t>
      </w:r>
      <w:r>
        <w:rPr>
          <w:rFonts w:ascii="Arial" w:hAnsi="Arial"/>
          <w:sz w:val="22"/>
        </w:rPr>
        <w:t xml:space="preserve"> </w:t>
      </w:r>
      <w:r>
        <w:rPr>
          <w:rFonts w:ascii="Arial" w:hAnsi="Arial"/>
          <w:sz w:val="22"/>
        </w:rPr>
        <w:t xml:space="preserve">ajustados e avaliados na população completa; só o cálculo dos valores SHAP usa uma amostra</w:t>
      </w:r>
      <w:r>
        <w:rPr>
          <w:rFonts w:ascii="Arial" w:hAnsi="Arial"/>
          <w:sz w:val="22"/>
        </w:rPr>
        <w:t xml:space="preserve"> </w:t>
      </w:r>
      <w:r>
        <w:rPr>
          <w:rFonts w:ascii="Arial" w:hAnsi="Arial"/>
          <w:sz w:val="22"/>
        </w:rPr>
        <w:t xml:space="preserve">de 50 mil observações sorteadas do conjunto de treino, com semente fixa, porque o custo do</w:t>
      </w:r>
      <w:r>
        <w:rPr>
          <w:rFonts w:ascii="Arial" w:hAnsi="Arial"/>
          <w:sz w:val="22"/>
        </w:rPr>
        <w:t xml:space="preserve"> </w:t>
      </w:r>
      <w:r>
        <w:rPr>
          <w:rFonts w:ascii="Arial" w:hAnsi="Arial"/>
          <w:sz w:val="22"/>
        </w:rPr>
        <w:t xml:space="preserve">TreeExplainer</w:t>
      </w:r>
      <w:r>
        <w:rPr>
          <w:rFonts w:ascii="Arial" w:hAnsi="Arial"/>
          <w:sz w:val="22"/>
        </w:rPr>
        <w:t xml:space="preserve"> </w:t>
      </w:r>
      <w:r>
        <w:rPr>
          <w:rFonts w:ascii="Arial" w:hAnsi="Arial"/>
          <w:sz w:val="22"/>
        </w:rPr>
        <w:t xml:space="preserve">cresce com o número de casos explicados.</w:t>
      </w:r>
    </w:p>
    <w:bookmarkEnd w:id="32"/>
    <w:bookmarkEnd w:id="33"/>
    <w:bookmarkStart w:id="129" w:name="resultados-e-discussão"/>
    <w:p>
      <w:pPr>
        <w:pStyle w:val="Heading1"/>
        <w:spacing w:line="360" w:lineRule="auto" w:before="280" w:after="280"/>
        <w:ind w:firstLine="0" w:left="0"/>
        <w:jc w:val="left"/>
      </w:pPr>
      <w:r>
        <w:rPr>
          <w:rFonts w:ascii="Arial" w:hAnsi="Arial"/>
          <w:b/>
          <w:sz w:val="22"/>
        </w:rPr>
        <w:t xml:space="preserve">Resultados e Discussão</w:t>
      </w:r>
    </w:p>
    <w:p>
      <w:pPr>
        <w:pStyle w:val="FirstParagraph"/>
        <w:spacing w:line="360" w:lineRule="auto" w:after="0"/>
        <w:ind w:firstLine="709"/>
        <w:jc w:val="both"/>
      </w:pPr>
      <w:r>
        <w:rPr>
          <w:rFonts w:ascii="Arial" w:hAnsi="Arial"/>
          <w:sz w:val="22"/>
        </w:rPr>
        <w:t xml:space="preserve">Os resultados seguem a trajetória anunciada nas Considerações Iniciais: o bairro, a composição do diferencial, a porta das ocupações, a escada da distribuição de renda, a interseção de raça e gênero e o que o agregado esconde por cor, setor e idade. Cada etapa responde a uma pergunta e deixa a seguinte; a Discussão, ao final, reúne as respostas e as confronta com as políticas vigentes.</w:t>
      </w:r>
    </w:p>
    <w:bookmarkStart w:id="56" w:name="Xf873877e7a67a97c590f3d0007ecfbb5641a604"/>
    <w:p>
      <w:pPr>
        <w:pStyle w:val="Ttulo2"/>
        <w:spacing w:line="360" w:lineRule="auto" w:before="280" w:after="280"/>
        <w:ind w:firstLine="709"/>
        <w:jc w:val="left"/>
      </w:pPr>
      <w:r>
        <w:rPr>
          <w:rFonts w:ascii="Arial" w:hAnsi="Arial"/>
          <w:b/>
          <w:sz w:val="22"/>
        </w:rPr>
        <w:t xml:space="preserve">Modelos Hierárquicos Lineares — Mediação Contextual do Gap</w:t>
      </w:r>
    </w:p>
    <w:p>
      <w:pPr>
        <w:pStyle w:val="FirstParagraph"/>
        <w:spacing w:line="360" w:lineRule="auto" w:after="0"/>
        <w:ind w:firstLine="709"/>
        <w:jc w:val="both"/>
      </w:pPr>
      <w:r>
        <w:rPr>
          <w:rFonts w:ascii="Arial" w:hAnsi="Arial"/>
          <w:sz w:val="22"/>
        </w:rPr>
        <w:t xml:space="preserve">A trajetória começa onde a pessoa mora.</w:t>
      </w:r>
      <w:r>
        <w:rPr>
          <w:rFonts w:ascii="Arial" w:hAnsi="Arial"/>
          <w:sz w:val="22"/>
        </w:rPr>
        <w:t xml:space="preserve"> </w:t>
      </w:r>
      <w:bookmarkStart w:id="34" w:name="subsec:hlm_resultados"/>
      <w:bookmarkEnd w:id="34"/>
    </w:p>
    <w:p>
      <w:pPr>
        <w:pStyle w:val="BodyText"/>
        <w:spacing w:line="360" w:lineRule="auto" w:after="0"/>
        <w:ind w:firstLine="709"/>
        <w:jc w:val="both"/>
      </w:pPr>
      <w:r>
        <w:rPr>
          <w:rFonts w:ascii="Arial" w:hAnsi="Arial"/>
          <w:sz w:val="22"/>
        </w:rPr>
        <w:t xml:space="preserve">Quanto do gap racial sobrevive à comparação entre dois trabalhadores que moram no</w:t>
      </w:r>
      <w:r>
        <w:rPr>
          <w:rFonts w:ascii="Arial" w:hAnsi="Arial"/>
          <w:sz w:val="22"/>
        </w:rPr>
        <w:t xml:space="preserve"> </w:t>
      </w:r>
      <w:r>
        <w:rPr>
          <w:rFonts w:ascii="Arial" w:hAnsi="Arial"/>
          <w:sz w:val="22"/>
        </w:rPr>
        <w:t xml:space="preserve">mesmo bairro? A pergunta separa duas histórias muito diferentes. Se quase nada</w:t>
      </w:r>
      <w:r>
        <w:rPr>
          <w:rFonts w:ascii="Arial" w:hAnsi="Arial"/>
          <w:sz w:val="22"/>
        </w:rPr>
        <w:t xml:space="preserve"> </w:t>
      </w:r>
      <w:r>
        <w:rPr>
          <w:rFonts w:ascii="Arial" w:hAnsi="Arial"/>
          <w:sz w:val="22"/>
        </w:rPr>
        <w:t xml:space="preserve">sobrevive, o diferencial de renda é sobretudo consequência de onde negros e brancos</w:t>
      </w:r>
      <w:r>
        <w:rPr>
          <w:rFonts w:ascii="Arial" w:hAnsi="Arial"/>
          <w:sz w:val="22"/>
        </w:rPr>
        <w:t xml:space="preserve"> </w:t>
      </w:r>
      <w:r>
        <w:rPr>
          <w:rFonts w:ascii="Arial" w:hAnsi="Arial"/>
          <w:sz w:val="22"/>
        </w:rPr>
        <w:t xml:space="preserve">conseguem morar. Se quase tudo sobrevive, o bairro é cenário, e a diferença se produz</w:t>
      </w:r>
      <w:r>
        <w:rPr>
          <w:rFonts w:ascii="Arial" w:hAnsi="Arial"/>
          <w:sz w:val="22"/>
        </w:rPr>
        <w:t xml:space="preserve"> </w:t>
      </w:r>
      <w:r>
        <w:rPr>
          <w:rFonts w:ascii="Arial" w:hAnsi="Arial"/>
          <w:sz w:val="22"/>
        </w:rPr>
        <w:t xml:space="preserve">pessoa a pessoa, dentro da mesma rua. A Tabela 4 responde em</w:t>
      </w:r>
      <w:r>
        <w:rPr>
          <w:rFonts w:ascii="Arial" w:hAnsi="Arial"/>
          <w:sz w:val="22"/>
        </w:rPr>
        <w:t xml:space="preserve"> </w:t>
      </w:r>
      <w:r>
        <w:rPr>
          <w:rFonts w:ascii="Arial" w:hAnsi="Arial"/>
          <w:sz w:val="22"/>
        </w:rPr>
        <w:t xml:space="preserve">cinco degraus, do modelo nulo (M0) ao modelo com ocupação (M4), todos com intercepto</w:t>
      </w:r>
      <w:r>
        <w:rPr>
          <w:rFonts w:ascii="Arial" w:hAnsi="Arial"/>
          <w:sz w:val="22"/>
        </w:rPr>
        <w:t xml:space="preserve"> </w:t>
      </w:r>
      <w:r>
        <w:rPr>
          <w:rFonts w:ascii="Arial" w:hAnsi="Arial"/>
          <w:sz w:val="22"/>
        </w:rPr>
        <w:t xml:space="preserve">aleatório por UPA e estimados por máxima verossimilhança sobre a população completa:</w:t>
      </w:r>
      <w:r>
        <w:rPr>
          <w:rFonts w:ascii="Arial" w:hAnsi="Arial"/>
          <w:sz w:val="22"/>
        </w:rPr>
        <w:t xml:space="preserve"> </w:t>
      </w:r>
      <w:r>
        <w:rPr>
          <w:rFonts w:ascii="Arial" w:hAnsi="Arial"/>
          <w:sz w:val="22"/>
        </w:rPr>
        <w:t xml:space="preserve">acompanhe a linha</w:t>
      </w:r>
      <w:r>
        <w:rPr>
          <w:rFonts w:ascii="Arial" w:hAnsi="Arial"/>
          <w:sz w:val="22"/>
        </w:rPr>
        <w:t xml:space="preserve"> </w:t>
      </w:r>
      <w:r>
        <w:rPr>
          <w:rFonts w:ascii="Arial" w:hAnsi="Arial"/>
          <w:b/>
          <w:bCs/>
          <w:sz w:val="22"/>
        </w:rPr>
        <w:t xml:space="preserve">Raça (negro)</w:t>
      </w:r>
      <w:r>
        <w:rPr>
          <w:rFonts w:ascii="Arial" w:hAnsi="Arial"/>
          <w:sz w:val="22"/>
        </w:rPr>
        <w:t xml:space="preserve"> </w:t>
      </w:r>
      <w:r>
        <w:rPr>
          <w:rFonts w:ascii="Arial" w:hAnsi="Arial"/>
          <w:sz w:val="22"/>
        </w:rPr>
        <w:t xml:space="preserve">da esquerda para a direita e veja o coeficiente</w:t>
      </w:r>
      <w:r>
        <w:rPr>
          <w:rFonts w:ascii="Arial" w:hAnsi="Arial"/>
          <w:sz w:val="22"/>
        </w:rPr>
        <w:t xml:space="preserve"> </w:t>
      </w:r>
      <w:r>
        <w:rPr>
          <w:rFonts w:ascii="Arial" w:hAnsi="Arial"/>
          <w:sz w:val="22"/>
        </w:rPr>
        <w:t xml:space="preserve">aproximar-se de zero à medida que cada degrau acrescenta um bloco de controles.</w:t>
      </w:r>
    </w:p>
    <w:p>
      <w:pPr>
        <w:pStyle w:val="BodyText"/>
        <w:spacing w:line="360" w:lineRule="auto" w:after="0"/>
        <w:ind w:firstLine="709"/>
        <w:jc w:val="both"/>
      </w:pPr>
      <w:r>
        <w:rPr>
          <w:rFonts w:ascii="Arial" w:hAnsi="Arial"/>
          <w:b/>
          <w:bCs/>
          <w:sz w:val="22"/>
        </w:rPr>
        <w:t xml:space="preserve">Mais de um terço da diferença de renda está entre bairros, não dentro deles.</w:t>
      </w:r>
      <w:r>
        <w:rPr>
          <w:rFonts w:ascii="Arial" w:hAnsi="Arial"/>
          <w:sz w:val="22"/>
        </w:rPr>
        <w:t xml:space="preserve"> </w:t>
      </w:r>
      <w:r>
        <w:rPr>
          <w:rFonts w:ascii="Arial" w:hAnsi="Arial"/>
          <w:sz w:val="22"/>
        </w:rPr>
        <w:t xml:space="preserve">Antes de qualquer controle, o modelo nulo reparte a variação do log-rendimento em duas</w:t>
      </w:r>
      <w:r>
        <w:rPr>
          <w:rFonts w:ascii="Arial" w:hAnsi="Arial"/>
          <w:sz w:val="22"/>
        </w:rPr>
        <w:t xml:space="preserve"> </w:t>
      </w:r>
      <w:r>
        <w:rPr>
          <w:rFonts w:ascii="Arial" w:hAnsi="Arial"/>
          <w:sz w:val="22"/>
        </w:rPr>
        <w:t xml:space="preserve">parcelas: a que separa um bairro de outro e a que separa dois vizinhos. O ICC da UPA é</w:t>
      </w:r>
      <w:r>
        <w:rPr>
          <w:rFonts w:ascii="Arial" w:hAnsi="Arial"/>
          <w:sz w:val="22"/>
        </w:rPr>
        <w:t xml:space="preserve"> </w:t>
      </w:r>
      <w:r>
        <w:rPr>
          <w:rFonts w:ascii="Arial" w:hAnsi="Arial"/>
          <w:sz w:val="22"/>
        </w:rPr>
        <w:t xml:space="preserve">de 0,353</w:t>
      </w:r>
      <w:r>
        <w:rPr>
          <w:rStyle w:val="FootnoteReference"/>
          <w:rFonts w:ascii="Arial" w:hAnsi="Arial"/>
          <w:sz w:val="22"/>
          <w:vertAlign w:val="superscript"/>
        </w:rPr>
        <w:footnoteReference w:id="35"/>
      </w:r>
      <w:r>
        <w:rPr>
          <w:rFonts w:ascii="Arial" w:hAnsi="Arial"/>
          <w:sz w:val="22"/>
        </w:rPr>
        <w:t xml:space="preserve"> </w:t>
      </w:r>
      <w:r>
        <w:rPr>
          <w:rFonts w:ascii="Arial" w:hAnsi="Arial"/>
          <w:sz w:val="22"/>
        </w:rPr>
        <w:t xml:space="preserve">— isto é,</w:t>
      </w:r>
      <w:r>
        <w:rPr>
          <w:rFonts w:ascii="Arial" w:hAnsi="Arial"/>
          <w:sz w:val="22"/>
        </w:rPr>
        <w:t xml:space="preserve"> </w:t>
      </w:r>
      <w:r>
        <w:rPr>
          <w:rFonts w:ascii="Arial" w:hAnsi="Arial"/>
          <w:b/>
          <w:bCs/>
          <w:sz w:val="22"/>
        </w:rPr>
        <w:t xml:space="preserve">35,3% da</w:t>
      </w:r>
      <w:r>
        <w:rPr>
          <w:rFonts w:ascii="Arial" w:hAnsi="Arial"/>
          <w:b/>
          <w:bCs/>
          <w:sz w:val="22"/>
        </w:rPr>
        <w:t xml:space="preserve"> </w:t>
      </w:r>
      <w:r>
        <w:rPr>
          <w:rFonts w:ascii="Arial" w:hAnsi="Arial"/>
          <w:b/>
          <w:bCs/>
          <w:sz w:val="22"/>
        </w:rPr>
        <w:t xml:space="preserve">variância do log-rendimento está entre bairros</w:t>
      </w:r>
      <w:r>
        <w:rPr>
          <w:rFonts w:ascii="Arial" w:hAnsi="Arial"/>
          <w:sz w:val="22"/>
        </w:rPr>
        <w:t xml:space="preserve">. Em linguagem de leitor: de toda a</w:t>
      </w:r>
      <w:r>
        <w:rPr>
          <w:rFonts w:ascii="Arial" w:hAnsi="Arial"/>
          <w:sz w:val="22"/>
        </w:rPr>
        <w:t xml:space="preserve"> </w:t>
      </w:r>
      <w:r>
        <w:rPr>
          <w:rFonts w:ascii="Arial" w:hAnsi="Arial"/>
          <w:sz w:val="22"/>
        </w:rPr>
        <w:t xml:space="preserve">diferença de renda entre duas pessoas sorteadas ao acaso no país, mais de um terço já</w:t>
      </w:r>
      <w:r>
        <w:rPr>
          <w:rFonts w:ascii="Arial" w:hAnsi="Arial"/>
          <w:sz w:val="22"/>
        </w:rPr>
        <w:t xml:space="preserve"> </w:t>
      </w:r>
      <w:r>
        <w:rPr>
          <w:rFonts w:ascii="Arial" w:hAnsi="Arial"/>
          <w:sz w:val="22"/>
        </w:rPr>
        <w:t xml:space="preserve">está associada a morarem em bairros diferentes, antes de se saber qualquer outra coisa</w:t>
      </w:r>
      <w:r>
        <w:rPr>
          <w:rFonts w:ascii="Arial" w:hAnsi="Arial"/>
          <w:sz w:val="22"/>
        </w:rPr>
        <w:t xml:space="preserve"> </w:t>
      </w:r>
      <w:r>
        <w:rPr>
          <w:rFonts w:ascii="Arial" w:hAnsi="Arial"/>
          <w:sz w:val="22"/>
        </w:rPr>
        <w:t xml:space="preserve">sobre elas. É muito acima do limiar de 5% a partir do qual</w:t>
      </w:r>
      <w:r>
        <w:rPr>
          <w:rFonts w:ascii="Arial" w:hAnsi="Arial"/>
          <w:sz w:val="22"/>
        </w:rPr>
        <w:t xml:space="preserve"> </w:t>
      </w:r>
      <w:r>
        <w:rPr>
          <w:rFonts w:ascii="Arial" w:hAnsi="Arial"/>
          <w:sz w:val="22"/>
        </w:rPr>
        <w:t xml:space="preserve">Raudenbush; Bryk (2002)</w:t>
      </w:r>
      <w:r>
        <w:rPr>
          <w:rFonts w:ascii="Arial" w:hAnsi="Arial"/>
          <w:sz w:val="22"/>
        </w:rPr>
        <w:t xml:space="preserve"> </w:t>
      </w:r>
      <w:r>
        <w:rPr>
          <w:rFonts w:ascii="Arial" w:hAnsi="Arial"/>
          <w:sz w:val="22"/>
        </w:rPr>
        <w:t xml:space="preserve">consideram indispensável tratar a estrutura aninhada, e maior do que a parcela entre</w:t>
      </w:r>
      <w:r>
        <w:rPr>
          <w:rFonts w:ascii="Arial" w:hAnsi="Arial"/>
          <w:sz w:val="22"/>
        </w:rPr>
        <w:t xml:space="preserve"> </w:t>
      </w:r>
      <w:r>
        <w:rPr>
          <w:rFonts w:ascii="Arial" w:hAnsi="Arial"/>
          <w:sz w:val="22"/>
        </w:rPr>
        <w:t xml:space="preserve">estados (cerca de 11%, no modelo alternativo com UF aleatória usado como robustez).</w:t>
      </w:r>
      <w:r>
        <w:rPr>
          <w:rFonts w:ascii="Arial" w:hAnsi="Arial"/>
          <w:sz w:val="22"/>
        </w:rPr>
        <w:t xml:space="preserve"> </w:t>
      </w:r>
      <w:r>
        <w:rPr>
          <w:rFonts w:ascii="Arial" w:hAnsi="Arial"/>
          <w:sz w:val="22"/>
        </w:rPr>
        <w:t xml:space="preserve">Ignorar essa estrutura trataria como independentes pessoas que compartilham o mesmo</w:t>
      </w:r>
      <w:r>
        <w:rPr>
          <w:rFonts w:ascii="Arial" w:hAnsi="Arial"/>
          <w:sz w:val="22"/>
        </w:rPr>
        <w:t xml:space="preserve"> </w:t>
      </w:r>
      <w:r>
        <w:rPr>
          <w:rFonts w:ascii="Arial" w:hAnsi="Arial"/>
          <w:sz w:val="22"/>
        </w:rPr>
        <w:t xml:space="preserve">mercado de trabalho local.</w:t>
      </w:r>
    </w:p>
    <w:p>
      <w:pPr>
        <w:pStyle w:val="BodyText"/>
        <w:spacing w:line="360" w:lineRule="auto" w:after="0"/>
        <w:ind w:firstLine="709"/>
        <w:jc w:val="both"/>
      </w:pPr>
      <w:r>
        <w:rPr>
          <w:rFonts w:ascii="Arial" w:hAnsi="Arial"/>
          <w:b/>
          <w:bCs/>
          <w:sz w:val="22"/>
        </w:rPr>
        <w:t xml:space="preserve">Comparar vizinhos reduz o gap em cerca de 40%.</w:t>
      </w:r>
      <w:r>
        <w:rPr>
          <w:rFonts w:ascii="Arial" w:hAnsi="Arial"/>
          <w:sz w:val="22"/>
        </w:rPr>
        <w:t xml:space="preserve"> </w:t>
      </w:r>
      <w:r>
        <w:rPr>
          <w:rFonts w:ascii="Arial" w:hAnsi="Arial"/>
          <w:sz w:val="22"/>
        </w:rPr>
        <w:t xml:space="preserve">Com escolaridade, idade, sexo, horas, situação urbana e ano, mas</w:t>
      </w:r>
      <w:r>
        <w:rPr>
          <w:rFonts w:ascii="Arial" w:hAnsi="Arial"/>
          <w:sz w:val="22"/>
        </w:rPr>
        <w:t xml:space="preserve"> </w:t>
      </w:r>
      <w:r>
        <w:rPr>
          <w:rFonts w:ascii="Arial" w:hAnsi="Arial"/>
          <w:sz w:val="22"/>
        </w:rPr>
        <w:t xml:space="preserve">sem</w:t>
      </w:r>
      <w:r>
        <w:rPr>
          <w:rFonts w:ascii="Arial" w:hAnsi="Arial"/>
          <w:sz w:val="22"/>
        </w:rPr>
        <w:t xml:space="preserve"> </w:t>
      </w:r>
      <w:r>
        <w:rPr>
          <w:rFonts w:ascii="Arial" w:hAnsi="Arial"/>
          <w:sz w:val="22"/>
        </w:rPr>
        <w:t xml:space="preserve">nenhum</w:t>
      </w:r>
      <w:r>
        <w:rPr>
          <w:rFonts w:ascii="Arial" w:hAnsi="Arial"/>
          <w:sz w:val="22"/>
        </w:rPr>
        <w:t xml:space="preserve"> </w:t>
      </w:r>
      <w:r>
        <w:rPr>
          <w:rFonts w:ascii="Arial" w:hAnsi="Arial"/>
          <w:sz w:val="22"/>
        </w:rPr>
        <w:t xml:space="preserve">efeito de bairro (OLS com efeitos fixos de UF, Subseção</w:t>
      </w:r>
      <w:r>
        <w:rPr>
          <w:rFonts w:ascii="Arial" w:hAnsi="Arial"/>
          <w:sz w:val="22"/>
        </w:rPr>
        <w:t xml:space="preserve"> </w:t>
      </w:r>
      <w:r>
        <w:rPr>
          <w:rFonts w:ascii="Arial" w:hAnsi="Arial"/>
          <w:sz w:val="22"/>
        </w:rPr>
        <w:t xml:space="preserve">“Inferência: erros-padrão agrupados, poucos clusters e pesos”</w:t>
      </w:r>
      <w:r>
        <w:rPr>
          <w:rFonts w:ascii="Arial" w:hAnsi="Arial"/>
          <w:sz w:val="22"/>
        </w:rPr>
        <w:t xml:space="preserve">),</w:t>
      </w:r>
      <w:r>
        <w:rPr>
          <w:rFonts w:ascii="Arial" w:hAnsi="Arial"/>
          <w:sz w:val="22"/>
        </w:rPr>
        <w:t xml:space="preserve"> </w:t>
      </w:r>
      <w:r>
        <w:rPr>
          <w:rFonts w:ascii="Arial" w:hAnsi="Arial"/>
          <w:sz w:val="22"/>
        </w:rPr>
        <w:t xml:space="preserve">trabalhadores negros recebem</w:t>
      </w:r>
      <w:r>
        <w:rPr>
          <w:rFonts w:ascii="Arial" w:hAnsi="Arial"/>
          <w:sz w:val="22"/>
        </w:rPr>
        <w:t xml:space="preserve"> </w:t>
      </w:r>
      <w:r>
        <w:rPr>
          <w:rFonts w:ascii="Arial" w:hAnsi="Arial"/>
          <w:b/>
          <w:bCs/>
          <w:sz w:val="22"/>
        </w:rPr>
        <w:t xml:space="preserve">10,5% a menos</w:t>
      </w:r>
      <w:r>
        <w:rPr>
          <w:rFonts w:ascii="Arial" w:hAnsi="Arial"/>
          <w:sz w:val="22"/>
        </w:rPr>
        <w:t xml:space="preserve"> </w:t>
      </w:r>
      <w:r>
        <w:rPr>
          <w:rFonts w:ascii="Arial" w:hAnsi="Arial"/>
          <w:sz w:val="22"/>
        </w:rPr>
        <w:t xml:space="preserve">que brancos comparáveis</w:t>
      </w:r>
      <w:r>
        <w:rPr>
          <w:rFonts w:ascii="Arial" w:hAnsi="Arial"/>
          <w:sz w:val="22"/>
        </w:rPr>
        <w:t xml:space="preserve"> </w:t>
      </w:r>
      <w:r>
        <w:rPr>
          <w:rFonts w:ascii="Arial" w:hAnsi="Arial"/>
          <w:sz w:val="22"/>
        </w:rPr>
        <w:t xml:space="preserve">(</w:t>
      </w:r>
      <m:oMath>
        <m:acc>
          <m:accPr>
            <m:chr m:val="̂"/>
          </m:accPr>
          <m:e>
            <m:r>
              <m:t>β</m:t>
            </m:r>
          </m:e>
        </m:acc>
        <m:r>
          <m:rPr>
            <m:sty m:val="p"/>
          </m:rPr>
          <m:t>=</m:t>
        </m:r>
        <m:r>
          <m:rPr>
            <m:sty m:val="p"/>
          </m:rPr>
          <m:t>−</m:t>
        </m:r>
        <m:r>
          <m:t>0</m:t>
        </m:r>
        <m:r>
          <m:rPr>
            <m:sty m:val="p"/>
          </m:rPr>
          <m:t>,</m:t>
        </m:r>
        <m:r>
          <m:t>1104</m:t>
        </m:r>
      </m:oMath>
      <w:r>
        <w:rPr>
          <w:rFonts w:ascii="Arial" w:hAnsi="Arial"/>
          <w:sz w:val="22"/>
        </w:rPr>
        <w:t xml:space="preserve">)</w:t>
      </w:r>
      <w:r>
        <w:rPr>
          <w:rStyle w:val="FootnoteReference"/>
          <w:rFonts w:ascii="Arial" w:hAnsi="Arial"/>
          <w:sz w:val="22"/>
          <w:vertAlign w:val="superscript"/>
        </w:rPr>
        <w:footnoteReference w:id="36"/>
      </w:r>
      <w:r>
        <w:rPr>
          <w:rFonts w:ascii="Arial" w:hAnsi="Arial"/>
          <w:sz w:val="22"/>
        </w:rPr>
        <w:t xml:space="preserve">. O M1 acrescenta o intercepto aleatório de UPA — na</w:t>
      </w:r>
      <w:r>
        <w:rPr>
          <w:rFonts w:ascii="Arial" w:hAnsi="Arial"/>
          <w:sz w:val="22"/>
        </w:rPr>
        <w:t xml:space="preserve"> </w:t>
      </w:r>
      <w:r>
        <w:rPr>
          <w:rFonts w:ascii="Arial" w:hAnsi="Arial"/>
          <w:sz w:val="22"/>
        </w:rPr>
        <w:t xml:space="preserve">prática, um nível de renda próprio para cada bairro — e com ele a comparação deixa de</w:t>
      </w:r>
      <w:r>
        <w:rPr>
          <w:rFonts w:ascii="Arial" w:hAnsi="Arial"/>
          <w:sz w:val="22"/>
        </w:rPr>
        <w:t xml:space="preserve"> </w:t>
      </w:r>
      <w:r>
        <w:rPr>
          <w:rFonts w:ascii="Arial" w:hAnsi="Arial"/>
          <w:sz w:val="22"/>
        </w:rPr>
        <w:t xml:space="preserve">ser entre todos os trabalhadores do país e passa a ser entre negros e brancos</w:t>
      </w:r>
      <w:r>
        <w:rPr>
          <w:rFonts w:ascii="Arial" w:hAnsi="Arial"/>
          <w:sz w:val="22"/>
        </w:rPr>
        <w:t xml:space="preserve"> </w:t>
      </w:r>
      <w:r>
        <w:rPr>
          <w:rFonts w:ascii="Arial" w:hAnsi="Arial"/>
          <w:sz w:val="22"/>
        </w:rPr>
        <w:t xml:space="preserve">do</w:t>
      </w:r>
      <w:r>
        <w:rPr>
          <w:rFonts w:ascii="Arial" w:hAnsi="Arial"/>
          <w:sz w:val="22"/>
        </w:rPr>
        <w:t xml:space="preserve"> </w:t>
      </w:r>
      <w:r>
        <w:rPr>
          <w:rFonts w:ascii="Arial" w:hAnsi="Arial"/>
          <w:sz w:val="22"/>
        </w:rPr>
        <w:t xml:space="preserve">mesmo bairro</w:t>
      </w:r>
      <w:r>
        <w:rPr>
          <w:rFonts w:ascii="Arial" w:hAnsi="Arial"/>
          <w:sz w:val="22"/>
        </w:rPr>
        <w:t xml:space="preserve">: a penalidade cai para</w:t>
      </w:r>
      <w:r>
        <w:rPr>
          <w:rFonts w:ascii="Arial" w:hAnsi="Arial"/>
          <w:sz w:val="22"/>
        </w:rPr>
        <w:t xml:space="preserve"> </w:t>
      </w:r>
      <w:r>
        <w:rPr>
          <w:rFonts w:ascii="Arial" w:hAnsi="Arial"/>
          <w:b/>
          <w:bCs/>
          <w:sz w:val="22"/>
        </w:rPr>
        <w:t xml:space="preserve">6,5%</w:t>
      </w:r>
      <w:r>
        <w:rPr>
          <w:rStyle w:val="FootnoteReference"/>
          <w:rFonts w:ascii="Arial" w:hAnsi="Arial"/>
          <w:sz w:val="22"/>
          <w:vertAlign w:val="superscript"/>
        </w:rPr>
        <w:footnoteReference w:id="37"/>
      </w:r>
      <w:r>
        <w:rPr>
          <w:rFonts w:ascii="Arial" w:hAnsi="Arial"/>
          <w:sz w:val="22"/>
        </w:rPr>
        <w:t xml:space="preserve">. Medida na régua do gap agregado,</w:t>
      </w:r>
      <w:r>
        <w:rPr>
          <w:rFonts w:ascii="Arial" w:hAnsi="Arial"/>
          <w:sz w:val="22"/>
        </w:rPr>
        <w:t xml:space="preserve"> </w:t>
      </w:r>
      <w:r>
        <w:rPr>
          <w:rFonts w:ascii="Arial" w:hAnsi="Arial"/>
          <w:b/>
          <w:bCs/>
          <w:sz w:val="22"/>
        </w:rPr>
        <w:t xml:space="preserve">39,5% da distância já foi percorrida</w:t>
      </w:r>
      <w:r>
        <w:rPr>
          <w:rFonts w:ascii="Arial" w:hAnsi="Arial"/>
          <w:sz w:val="22"/>
        </w:rPr>
        <w:t xml:space="preserve"> </w:t>
      </w:r>
      <w:r>
        <w:rPr>
          <w:rFonts w:ascii="Arial" w:hAnsi="Arial"/>
          <w:sz w:val="22"/>
        </w:rPr>
        <w:t xml:space="preserve">— percorrida no sentido de</w:t>
      </w:r>
      <w:r>
        <w:rPr>
          <w:rFonts w:ascii="Arial" w:hAnsi="Arial"/>
          <w:sz w:val="22"/>
        </w:rPr>
        <w:t xml:space="preserve"> </w:t>
      </w:r>
      <w:r>
        <w:rPr>
          <w:rFonts w:ascii="Arial" w:hAnsi="Arial"/>
          <w:sz w:val="22"/>
        </w:rPr>
        <w:t xml:space="preserve">atribuída a um fator observável, e não no sentido de explicada sem discriminação, já que</w:t>
      </w:r>
      <w:r>
        <w:rPr>
          <w:rFonts w:ascii="Arial" w:hAnsi="Arial"/>
          <w:sz w:val="22"/>
        </w:rPr>
        <w:t xml:space="preserve"> </w:t>
      </w:r>
      <w:r>
        <w:rPr>
          <w:rFonts w:ascii="Arial" w:hAnsi="Arial"/>
          <w:sz w:val="22"/>
        </w:rPr>
        <w:t xml:space="preserve">o bairro em que se consegue morar é ele próprio produto de exclusão. Esse é o teste da</w:t>
      </w:r>
      <w:r>
        <w:rPr>
          <w:rFonts w:ascii="Arial" w:hAnsi="Arial"/>
          <w:sz w:val="22"/>
        </w:rPr>
        <w:t xml:space="preserve"> </w:t>
      </w:r>
      <w:r>
        <w:rPr>
          <w:rFonts w:ascii="Arial" w:hAnsi="Arial"/>
          <w:sz w:val="22"/>
        </w:rPr>
        <w:t xml:space="preserve">Hipótese H1, e ele passa: negros e brancos com o mesmo capital humano não moram nos</w:t>
      </w:r>
      <w:r>
        <w:rPr>
          <w:rFonts w:ascii="Arial" w:hAnsi="Arial"/>
          <w:sz w:val="22"/>
        </w:rPr>
        <w:t xml:space="preserve"> </w:t>
      </w:r>
      <w:r>
        <w:rPr>
          <w:rFonts w:ascii="Arial" w:hAnsi="Arial"/>
          <w:sz w:val="22"/>
        </w:rPr>
        <w:t xml:space="preserve">mesmos bairros, e os bairros pagam diferente. Os controles individuais explicam, além</w:t>
      </w:r>
      <w:r>
        <w:rPr>
          <w:rFonts w:ascii="Arial" w:hAnsi="Arial"/>
          <w:sz w:val="22"/>
        </w:rPr>
        <w:t xml:space="preserve"> </w:t>
      </w:r>
      <w:r>
        <w:rPr>
          <w:rFonts w:ascii="Arial" w:hAnsi="Arial"/>
          <w:sz w:val="22"/>
        </w:rPr>
        <w:t xml:space="preserve">disso, 66,5% da variância entre bairros do M0 — parte do que parecia</w:t>
      </w:r>
      <w:r>
        <w:rPr>
          <w:rFonts w:ascii="Arial" w:hAnsi="Arial"/>
          <w:sz w:val="22"/>
        </w:rPr>
        <w:t xml:space="preserve"> </w:t>
      </w:r>
      <w:r>
        <w:rPr>
          <w:rFonts w:ascii="Arial" w:hAnsi="Arial"/>
          <w:sz w:val="22"/>
        </w:rPr>
        <w:t xml:space="preserve">“bairro”</w:t>
      </w:r>
      <w:r>
        <w:rPr>
          <w:rFonts w:ascii="Arial" w:hAnsi="Arial"/>
          <w:sz w:val="22"/>
        </w:rPr>
        <w:t xml:space="preserve"> </w:t>
      </w:r>
      <w:r>
        <w:rPr>
          <w:rFonts w:ascii="Arial" w:hAnsi="Arial"/>
          <w:sz w:val="22"/>
        </w:rPr>
        <w:t xml:space="preserve">é composição de quem mora nele.</w:t>
      </w:r>
    </w:p>
    <w:p>
      <w:pPr>
        <w:pStyle w:val="BodyText"/>
        <w:spacing w:line="360" w:lineRule="auto" w:after="0"/>
        <w:ind w:firstLine="709"/>
        <w:jc w:val="both"/>
      </w:pPr>
      <w:r>
        <w:rPr>
          <w:rFonts w:ascii="Arial" w:hAnsi="Arial"/>
          <w:sz w:val="22"/>
        </w:rPr>
        <w:t xml:space="preserve">Vale guardar a frase: 39</w:t>
      </w:r>
      <w:r>
        <w:rPr>
          <w:rFonts w:ascii="Arial" w:hAnsi="Arial"/>
          <w:sz w:val="22"/>
        </w:rPr>
        <w:t xml:space="preserve">,</w:t>
      </w:r>
      <w:r>
        <w:rPr>
          <w:rFonts w:ascii="Arial" w:hAnsi="Arial"/>
          <w:sz w:val="22"/>
        </w:rPr>
        <w:t xml:space="preserve">5% do gap racial não separam duas pessoas,</w:t>
      </w:r>
      <w:r>
        <w:rPr>
          <w:rFonts w:ascii="Arial" w:hAnsi="Arial"/>
          <w:sz w:val="22"/>
        </w:rPr>
        <w:t xml:space="preserve"> </w:t>
      </w:r>
      <w:r>
        <w:rPr>
          <w:rFonts w:ascii="Arial" w:hAnsi="Arial"/>
          <w:sz w:val="22"/>
        </w:rPr>
        <w:t xml:space="preserve">separam dois endereços. Resta saber o que, num endereço, produz essa diferença.</w:t>
      </w:r>
    </w:p>
    <w:p>
      <w:pPr>
        <w:pStyle w:val="BodyText"/>
        <w:spacing w:line="360" w:lineRule="auto" w:after="0"/>
        <w:ind w:firstLine="709"/>
        <w:jc w:val="both"/>
      </w:pPr>
      <w:r>
        <w:rPr>
          <w:rFonts w:ascii="Arial" w:hAnsi="Arial"/>
          <w:b/>
          <w:bCs/>
          <w:sz w:val="22"/>
        </w:rPr>
        <w:t xml:space="preserve">Morar onde moram os negros custa outra vez.</w:t>
      </w:r>
      <w:r>
        <w:rPr>
          <w:rFonts w:ascii="Arial" w:hAnsi="Arial"/>
          <w:sz w:val="22"/>
        </w:rPr>
        <w:t xml:space="preserve"> </w:t>
      </w:r>
      <w:r>
        <w:rPr>
          <w:rFonts w:ascii="Arial" w:hAnsi="Arial"/>
          <w:sz w:val="22"/>
        </w:rPr>
        <w:t xml:space="preserve">O M2 pergunta o que, num bairro, faz a renda ser mais alta ou mais baixa, e responde com</w:t>
      </w:r>
      <w:r>
        <w:rPr>
          <w:rFonts w:ascii="Arial" w:hAnsi="Arial"/>
          <w:sz w:val="22"/>
        </w:rPr>
        <w:t xml:space="preserve"> </w:t>
      </w:r>
      <w:r>
        <w:rPr>
          <w:rFonts w:ascii="Arial" w:hAnsi="Arial"/>
          <w:sz w:val="22"/>
        </w:rPr>
        <w:t xml:space="preserve">três covariáveis de nível 2 que juntas explicam 55,2% da variância</w:t>
      </w:r>
      <w:r>
        <w:rPr>
          <w:rFonts w:ascii="Arial" w:hAnsi="Arial"/>
          <w:sz w:val="22"/>
        </w:rPr>
        <w:t xml:space="preserve"> </w:t>
      </w:r>
      <w:r>
        <w:rPr>
          <w:rFonts w:ascii="Arial" w:hAnsi="Arial"/>
          <w:sz w:val="22"/>
        </w:rPr>
        <w:t xml:space="preserve">entre bairros que restava no M1</w:t>
      </w:r>
      <w:r>
        <w:rPr>
          <w:rStyle w:val="FootnoteReference"/>
          <w:rFonts w:ascii="Arial" w:hAnsi="Arial"/>
          <w:sz w:val="22"/>
          <w:vertAlign w:val="superscript"/>
        </w:rPr>
        <w:footnoteReference w:id="38"/>
      </w:r>
      <w:r>
        <w:rPr>
          <w:rFonts w:ascii="Arial" w:hAnsi="Arial"/>
          <w:sz w:val="22"/>
        </w:rPr>
        <w:t xml:space="preserve">. A mais eloquente é a</w:t>
      </w:r>
      <w:r>
        <w:rPr>
          <w:rFonts w:ascii="Arial" w:hAnsi="Arial"/>
          <w:sz w:val="22"/>
        </w:rPr>
        <w:t xml:space="preserve"> </w:t>
      </w:r>
      <w:r>
        <w:rPr>
          <w:rFonts w:ascii="Arial" w:hAnsi="Arial"/>
          <w:sz w:val="22"/>
        </w:rPr>
        <w:t xml:space="preserve">composição racial:</w:t>
      </w:r>
      <w:r>
        <w:rPr>
          <w:rFonts w:ascii="Arial" w:hAnsi="Arial"/>
          <w:sz w:val="22"/>
        </w:rPr>
        <w:t xml:space="preserve"> </w:t>
      </w:r>
      <m:oMath>
        <m:sSub>
          <m:e>
            <m:acc>
              <m:accPr>
                <m:chr m:val="̂"/>
              </m:accPr>
              <m:e>
                <m:r>
                  <m:t>γ</m:t>
                </m:r>
              </m:e>
            </m:acc>
          </m:e>
          <m:sub>
            <m:r>
              <m:t>01</m:t>
            </m:r>
          </m:sub>
        </m:sSub>
        <m:r>
          <m:rPr>
            <m:sty m:val="p"/>
          </m:rPr>
          <m:t>=</m:t>
        </m:r>
        <m:r>
          <m:rPr>
            <m:sty m:val="p"/>
          </m:rPr>
          <m:t>−</m:t>
        </m:r>
        <m:r>
          <m:t>0</m:t>
        </m:r>
        <m:r>
          <m:rPr>
            <m:sty m:val="p"/>
          </m:rPr>
          <m:t>,</m:t>
        </m:r>
        <m:r>
          <m:t>1272</m:t>
        </m:r>
      </m:oMath>
      <w:r>
        <w:rPr>
          <w:rFonts w:ascii="Arial" w:hAnsi="Arial"/>
          <w:sz w:val="22"/>
        </w:rPr>
        <w:t xml:space="preserve"> </w:t>
      </w:r>
      <w:r>
        <w:rPr>
          <w:rFonts w:ascii="Arial" w:hAnsi="Arial"/>
          <w:sz w:val="22"/>
        </w:rPr>
        <w:t xml:space="preserve">significa que um desvio-padrão a mais</w:t>
      </w:r>
      <w:r>
        <w:rPr>
          <w:rFonts w:ascii="Arial" w:hAnsi="Arial"/>
          <w:sz w:val="22"/>
        </w:rPr>
        <w:t xml:space="preserve"> </w:t>
      </w:r>
      <w:r>
        <w:rPr>
          <w:rFonts w:ascii="Arial" w:hAnsi="Arial"/>
          <w:sz w:val="22"/>
        </w:rPr>
        <w:t xml:space="preserve">na proporção de moradores negros da UPA reduz o rendimento de</w:t>
      </w:r>
      <w:r>
        <w:rPr>
          <w:rFonts w:ascii="Arial" w:hAnsi="Arial"/>
          <w:sz w:val="22"/>
        </w:rPr>
        <w:t xml:space="preserve"> </w:t>
      </w:r>
      <w:r>
        <w:rPr>
          <w:rFonts w:ascii="Arial" w:hAnsi="Arial"/>
          <w:sz w:val="22"/>
        </w:rPr>
        <w:t xml:space="preserve">todos</w:t>
      </w:r>
      <w:r>
        <w:rPr>
          <w:rFonts w:ascii="Arial" w:hAnsi="Arial"/>
          <w:sz w:val="22"/>
        </w:rPr>
        <w:t xml:space="preserve"> </w:t>
      </w:r>
      <w:r>
        <w:rPr>
          <w:rFonts w:ascii="Arial" w:hAnsi="Arial"/>
          <w:sz w:val="22"/>
        </w:rPr>
        <w:t xml:space="preserve">os moradores,</w:t>
      </w:r>
      <w:r>
        <w:rPr>
          <w:rFonts w:ascii="Arial" w:hAnsi="Arial"/>
          <w:sz w:val="22"/>
        </w:rPr>
        <w:t xml:space="preserve"> </w:t>
      </w:r>
      <w:r>
        <w:rPr>
          <w:rFonts w:ascii="Arial" w:hAnsi="Arial"/>
          <w:sz w:val="22"/>
        </w:rPr>
        <w:t xml:space="preserve">negros e brancos, em 0,13 log-pontos — cerca de 2</w:t>
      </w:r>
      <w:r>
        <w:rPr>
          <w:rFonts w:ascii="Arial" w:hAnsi="Arial"/>
          <w:sz w:val="22"/>
        </w:rPr>
        <w:t xml:space="preserve">,</w:t>
      </w:r>
      <w:r>
        <w:rPr>
          <w:rFonts w:ascii="Arial" w:hAnsi="Arial"/>
          <w:sz w:val="22"/>
        </w:rPr>
        <w:t xml:space="preserve">0 vezes a</w:t>
      </w:r>
      <w:r>
        <w:rPr>
          <w:rFonts w:ascii="Arial" w:hAnsi="Arial"/>
          <w:sz w:val="22"/>
        </w:rPr>
        <w:t xml:space="preserve"> </w:t>
      </w:r>
      <w:r>
        <w:rPr>
          <w:rFonts w:ascii="Arial" w:hAnsi="Arial"/>
          <w:sz w:val="22"/>
        </w:rPr>
        <w:t xml:space="preserve">penalidade que um trabalhador negro carrega individualmente no mesmo modelo. É a evidência</w:t>
      </w:r>
      <w:r>
        <w:rPr>
          <w:rFonts w:ascii="Arial" w:hAnsi="Arial"/>
          <w:sz w:val="22"/>
        </w:rPr>
        <w:t xml:space="preserve"> </w:t>
      </w:r>
      <w:r>
        <w:rPr>
          <w:rFonts w:ascii="Arial" w:hAnsi="Arial"/>
          <w:sz w:val="22"/>
        </w:rPr>
        <w:t xml:space="preserve">mais direta da</w:t>
      </w:r>
      <w:r>
        <w:rPr>
          <w:rFonts w:ascii="Arial" w:hAnsi="Arial"/>
          <w:sz w:val="22"/>
        </w:rPr>
        <w:t xml:space="preserve"> </w:t>
      </w:r>
      <w:r>
        <w:rPr>
          <w:rFonts w:ascii="Arial" w:hAnsi="Arial"/>
          <w:sz w:val="22"/>
        </w:rPr>
        <w:t xml:space="preserve">dupla desvantagem</w:t>
      </w:r>
      <w:r>
        <w:rPr>
          <w:rFonts w:ascii="Arial" w:hAnsi="Arial"/>
          <w:sz w:val="22"/>
        </w:rPr>
        <w:t xml:space="preserve">: ser negro custa, e morar onde moram os negros</w:t>
      </w:r>
      <w:r>
        <w:rPr>
          <w:rFonts w:ascii="Arial" w:hAnsi="Arial"/>
          <w:sz w:val="22"/>
        </w:rPr>
        <w:t xml:space="preserve"> </w:t>
      </w:r>
      <w:r>
        <w:rPr>
          <w:rFonts w:ascii="Arial" w:hAnsi="Arial"/>
          <w:sz w:val="22"/>
        </w:rPr>
        <w:t xml:space="preserve">custa outra vez, inclusive para quem não é negro. Já o coeficiente individual mal se move</w:t>
      </w:r>
      <w:r>
        <w:rPr>
          <w:rFonts w:ascii="Arial" w:hAnsi="Arial"/>
          <w:sz w:val="22"/>
        </w:rPr>
        <w:t xml:space="preserve"> </w:t>
      </w:r>
      <w:r>
        <w:rPr>
          <w:rFonts w:ascii="Arial" w:hAnsi="Arial"/>
          <w:sz w:val="22"/>
        </w:rPr>
        <w:t xml:space="preserve">(de</w:t>
      </w:r>
      <w:r>
        <w:rPr>
          <w:rFonts w:ascii="Arial" w:hAnsi="Arial"/>
          <w:sz w:val="22"/>
        </w:rPr>
        <w:t xml:space="preserve"> </w:t>
      </w:r>
      <m:oMath>
        <m:r>
          <m:rPr>
            <m:sty m:val="p"/>
          </m:rPr>
          <m:t>−</m:t>
        </m:r>
        <m:r>
          <m:t>0</m:t>
        </m:r>
        <m:r>
          <m:rPr>
            <m:sty m:val="p"/>
          </m:rPr>
          <m:t>,</m:t>
        </m:r>
        <m:r>
          <m:t>0669</m:t>
        </m:r>
      </m:oMath>
      <w:r>
        <w:rPr>
          <w:rFonts w:ascii="Arial" w:hAnsi="Arial"/>
          <w:sz w:val="22"/>
        </w:rPr>
        <w:t xml:space="preserve"> </w:t>
      </w:r>
      <w:r>
        <w:rPr>
          <w:rFonts w:ascii="Arial" w:hAnsi="Arial"/>
          <w:sz w:val="22"/>
        </w:rPr>
        <w:t xml:space="preserve">para</w:t>
      </w:r>
      <w:r>
        <w:rPr>
          <w:rFonts w:ascii="Arial" w:hAnsi="Arial"/>
          <w:sz w:val="22"/>
        </w:rPr>
        <w:t xml:space="preserve"> </w:t>
      </w:r>
      <m:oMath>
        <m:r>
          <m:rPr>
            <m:sty m:val="p"/>
          </m:rPr>
          <m:t>−</m:t>
        </m:r>
        <m:r>
          <m:t>0</m:t>
        </m:r>
        <m:r>
          <m:rPr>
            <m:sty m:val="p"/>
          </m:rPr>
          <m:t>,</m:t>
        </m:r>
        <m:r>
          <m:t>0637</m:t>
        </m:r>
      </m:oMath>
      <w:r>
        <w:rPr>
          <w:rFonts w:ascii="Arial" w:hAnsi="Arial"/>
          <w:sz w:val="22"/>
        </w:rPr>
        <w:t xml:space="preserve">): acrescentar a composição do bairro quase não altera a</w:t>
      </w:r>
      <w:r>
        <w:rPr>
          <w:rFonts w:ascii="Arial" w:hAnsi="Arial"/>
          <w:sz w:val="22"/>
        </w:rPr>
        <w:t xml:space="preserve"> </w:t>
      </w:r>
      <w:r>
        <w:rPr>
          <w:rFonts w:ascii="Arial" w:hAnsi="Arial"/>
          <w:sz w:val="22"/>
        </w:rPr>
        <w:t xml:space="preserve">penalidade racial média — as duas desvantagens se somam, em vez de uma explicar a outra.</w:t>
      </w:r>
    </w:p>
    <w:p>
      <w:pPr>
        <w:pStyle w:val="BodyText"/>
        <w:spacing w:line="360" w:lineRule="auto" w:after="0"/>
        <w:ind w:firstLine="709"/>
        <w:jc w:val="both"/>
      </w:pPr>
      <w:r>
        <w:rPr>
          <w:rFonts w:ascii="Arial" w:hAnsi="Arial"/>
          <w:sz w:val="22"/>
        </w:rPr>
        <w:t xml:space="preserve">Em uma frase: o bairro cobra duas vezes — da pessoa negra, pela cor; e de todos</w:t>
      </w:r>
      <w:r>
        <w:rPr>
          <w:rFonts w:ascii="Arial" w:hAnsi="Arial"/>
          <w:sz w:val="22"/>
        </w:rPr>
        <w:t xml:space="preserve"> </w:t>
      </w:r>
      <w:r>
        <w:rPr>
          <w:rFonts w:ascii="Arial" w:hAnsi="Arial"/>
          <w:sz w:val="22"/>
        </w:rPr>
        <w:t xml:space="preserve">os que moram ali, pela composição racial do lugar.</w:t>
      </w:r>
    </w:p>
    <w:p>
      <w:pPr>
        <w:pStyle w:val="BodyText"/>
        <w:spacing w:line="360" w:lineRule="auto" w:after="0"/>
        <w:ind w:firstLine="709"/>
        <w:jc w:val="both"/>
      </w:pPr>
      <w:r>
        <w:rPr>
          <w:rFonts w:ascii="Arial" w:hAnsi="Arial"/>
          <w:b/>
          <w:bCs/>
          <w:sz w:val="22"/>
        </w:rPr>
        <w:t xml:space="preserve">Acrescentar o estado não move a régua.</w:t>
      </w:r>
      <w:r>
        <w:rPr>
          <w:rFonts w:ascii="Arial" w:hAnsi="Arial"/>
          <w:sz w:val="22"/>
        </w:rPr>
        <w:t xml:space="preserve"> </w:t>
      </w:r>
      <w:r>
        <w:rPr>
          <w:rFonts w:ascii="Arial" w:hAnsi="Arial"/>
          <w:sz w:val="22"/>
        </w:rPr>
        <w:t xml:space="preserve">Com os efeitos fixos de UF, a penalidade é de</w:t>
      </w:r>
      <w:r>
        <w:rPr>
          <w:rFonts w:ascii="Arial" w:hAnsi="Arial"/>
          <w:sz w:val="22"/>
        </w:rPr>
        <w:t xml:space="preserve"> </w:t>
      </w:r>
      <w:r>
        <w:rPr>
          <w:rFonts w:ascii="Arial" w:hAnsi="Arial"/>
          <w:b/>
          <w:bCs/>
          <w:sz w:val="22"/>
        </w:rPr>
        <w:t xml:space="preserve">6,1%</w:t>
      </w:r>
      <w:r>
        <w:rPr>
          <w:rFonts w:ascii="Arial" w:hAnsi="Arial"/>
          <w:sz w:val="22"/>
        </w:rPr>
        <w:t xml:space="preserve"> </w:t>
      </w:r>
      <w:r>
        <w:rPr>
          <w:rFonts w:ascii="Arial" w:hAnsi="Arial"/>
          <w:sz w:val="22"/>
        </w:rPr>
        <w:t xml:space="preserve">(</w:t>
      </w:r>
      <m:oMath>
        <m:sSubSup>
          <m:e>
            <m:acc>
              <m:accPr>
                <m:chr m:val="̂"/>
              </m:accPr>
              <m:e>
                <m:r>
                  <m:t>β</m:t>
                </m:r>
              </m:e>
            </m:acc>
          </m:e>
          <m:sub>
            <m:r>
              <m:rPr>
                <m:nor/>
                <m:sty m:val="p"/>
              </m:rPr>
              <m:t>negro</m:t>
            </m:r>
          </m:sub>
          <m:sup>
            <m:r>
              <m:t>M</m:t>
            </m:r>
            <m:r>
              <m:t>3</m:t>
            </m:r>
          </m:sup>
        </m:sSubSup>
        <m:r>
          <m:rPr>
            <m:sty m:val="p"/>
          </m:rPr>
          <m:t>=</m:t>
        </m:r>
        <m:r>
          <m:rPr>
            <m:sty m:val="p"/>
          </m:rPr>
          <m:t>−</m:t>
        </m:r>
        <m:r>
          <m:t>0</m:t>
        </m:r>
        <m:r>
          <m:rPr>
            <m:sty m:val="p"/>
          </m:rPr>
          <m:t>,</m:t>
        </m:r>
        <m:r>
          <m:t>0629</m:t>
        </m:r>
      </m:oMath>
      <w:r>
        <w:rPr>
          <w:rFonts w:ascii="Arial" w:hAnsi="Arial"/>
          <w:sz w:val="22"/>
        </w:rPr>
        <w:t xml:space="preserve">). Na régua do gap</w:t>
      </w:r>
      <w:r>
        <w:rPr>
          <w:rFonts w:ascii="Arial" w:hAnsi="Arial"/>
          <w:sz w:val="22"/>
        </w:rPr>
        <w:t xml:space="preserve"> </w:t>
      </w:r>
      <w:r>
        <w:rPr>
          <w:rFonts w:ascii="Arial" w:hAnsi="Arial"/>
          <w:sz w:val="22"/>
        </w:rPr>
        <w:t xml:space="preserve">agregado, 43,0% — praticamente os mesmos 39,5% do M1. O</w:t>
      </w:r>
      <w:r>
        <w:rPr>
          <w:rFonts w:ascii="Arial" w:hAnsi="Arial"/>
          <w:sz w:val="22"/>
        </w:rPr>
        <w:t xml:space="preserve"> </w:t>
      </w:r>
      <w:r>
        <w:rPr>
          <w:rFonts w:ascii="Arial" w:hAnsi="Arial"/>
          <w:sz w:val="22"/>
        </w:rPr>
        <w:t xml:space="preserve">dado relevante aqui é o que</w:t>
      </w:r>
      <w:r>
        <w:rPr>
          <w:rFonts w:ascii="Arial" w:hAnsi="Arial"/>
          <w:sz w:val="22"/>
        </w:rPr>
        <w:t xml:space="preserve"> </w:t>
      </w:r>
      <w:r>
        <w:rPr>
          <w:rFonts w:ascii="Arial" w:hAnsi="Arial"/>
          <w:sz w:val="22"/>
        </w:rPr>
        <w:t xml:space="preserve">não</w:t>
      </w:r>
      <w:r>
        <w:rPr>
          <w:rFonts w:ascii="Arial" w:hAnsi="Arial"/>
          <w:sz w:val="22"/>
        </w:rPr>
        <w:t xml:space="preserve"> </w:t>
      </w:r>
      <w:r>
        <w:rPr>
          <w:rFonts w:ascii="Arial" w:hAnsi="Arial"/>
          <w:sz w:val="22"/>
        </w:rPr>
        <w:t xml:space="preserve">aconteceu: depois que a comparação já é entre</w:t>
      </w:r>
      <w:r>
        <w:rPr>
          <w:rFonts w:ascii="Arial" w:hAnsi="Arial"/>
          <w:sz w:val="22"/>
        </w:rPr>
        <w:t xml:space="preserve"> </w:t>
      </w:r>
      <w:r>
        <w:rPr>
          <w:rFonts w:ascii="Arial" w:hAnsi="Arial"/>
          <w:sz w:val="22"/>
        </w:rPr>
        <w:t xml:space="preserve">vizinhos, o contexto do bairro (M2) e a unidade da federação (M3) retiram pouco</w:t>
      </w:r>
      <w:r>
        <w:rPr>
          <w:rFonts w:ascii="Arial" w:hAnsi="Arial"/>
          <w:sz w:val="22"/>
        </w:rPr>
        <w:t xml:space="preserve"> </w:t>
      </w:r>
      <w:r>
        <w:rPr>
          <w:rFonts w:ascii="Arial" w:hAnsi="Arial"/>
          <w:sz w:val="22"/>
        </w:rPr>
        <w:t xml:space="preserve">mais do diferencial. É esse patamar que este trabalho chama de</w:t>
      </w:r>
      <w:r>
        <w:rPr>
          <w:rFonts w:ascii="Arial" w:hAnsi="Arial"/>
          <w:sz w:val="22"/>
        </w:rPr>
        <w:t xml:space="preserve"> </w:t>
      </w:r>
      <w:r>
        <w:rPr>
          <w:rFonts w:ascii="Arial" w:hAnsi="Arial"/>
          <w:b/>
          <w:bCs/>
          <w:sz w:val="22"/>
        </w:rPr>
        <w:t xml:space="preserve">gap líquido</w:t>
      </w:r>
      <w:r>
        <w:rPr>
          <w:rFonts w:ascii="Arial" w:hAnsi="Arial"/>
          <w:sz w:val="22"/>
        </w:rPr>
        <w:t xml:space="preserve">: o</w:t>
      </w:r>
      <w:r>
        <w:rPr>
          <w:rFonts w:ascii="Arial" w:hAnsi="Arial"/>
          <w:sz w:val="22"/>
        </w:rPr>
        <w:t xml:space="preserve"> </w:t>
      </w:r>
      <w:r>
        <w:rPr>
          <w:rFonts w:ascii="Arial" w:hAnsi="Arial"/>
          <w:sz w:val="22"/>
        </w:rPr>
        <w:t xml:space="preserve">que capital humano, contexto de bairro e estado não explicam — um limite superior da</w:t>
      </w:r>
      <w:r>
        <w:rPr>
          <w:rFonts w:ascii="Arial" w:hAnsi="Arial"/>
          <w:sz w:val="22"/>
        </w:rPr>
        <w:t xml:space="preserve"> </w:t>
      </w:r>
      <w:r>
        <w:rPr>
          <w:rFonts w:ascii="Arial" w:hAnsi="Arial"/>
          <w:sz w:val="22"/>
        </w:rPr>
        <w:t xml:space="preserve">penalidade direta sob seleção em observáveis (o M4 é o inferior), e não uma medida de</w:t>
      </w:r>
      <w:r>
        <w:rPr>
          <w:rFonts w:ascii="Arial" w:hAnsi="Arial"/>
          <w:sz w:val="22"/>
        </w:rPr>
        <w:t xml:space="preserve"> </w:t>
      </w:r>
      <w:r>
        <w:rPr>
          <w:rFonts w:ascii="Arial" w:hAnsi="Arial"/>
          <w:sz w:val="22"/>
        </w:rPr>
        <w:t xml:space="preserve">discriminação.</w:t>
      </w:r>
      <w:r>
        <w:rPr>
          <w:rStyle w:val="FootnoteReference"/>
          <w:rFonts w:ascii="Arial" w:hAnsi="Arial"/>
          <w:sz w:val="22"/>
          <w:vertAlign w:val="superscript"/>
        </w:rPr>
        <w:footnoteReference w:id="39"/>
      </w:r>
    </w:p>
    <w:p>
      <w:pPr>
        <w:pStyle w:val="BodyText"/>
        <w:spacing w:line="360" w:lineRule="auto" w:after="0"/>
        <w:ind w:firstLine="709"/>
        <w:jc w:val="both"/>
      </w:pPr>
      <w:r>
        <w:rPr>
          <w:rFonts w:ascii="Arial" w:hAnsi="Arial"/>
          <w:b/>
          <w:bCs/>
          <w:sz w:val="22"/>
        </w:rPr>
        <w:t xml:space="preserve">Bairro ou estado? A separação em três camadas.</w:t>
      </w:r>
      <w:r>
        <w:rPr>
          <w:rFonts w:ascii="Arial" w:hAnsi="Arial"/>
          <w:sz w:val="22"/>
        </w:rPr>
        <w:t xml:space="preserve"> </w:t>
      </w:r>
      <w:r>
        <w:rPr>
          <w:rFonts w:ascii="Arial" w:hAnsi="Arial"/>
          <w:sz w:val="22"/>
        </w:rPr>
        <w:t xml:space="preserve">Uma objeção natural: se bairros pobres se concentram em estados pobres, o que este</w:t>
      </w:r>
      <w:r>
        <w:rPr>
          <w:rFonts w:ascii="Arial" w:hAnsi="Arial"/>
          <w:sz w:val="22"/>
        </w:rPr>
        <w:t xml:space="preserve"> </w:t>
      </w:r>
      <w:r>
        <w:rPr>
          <w:rFonts w:ascii="Arial" w:hAnsi="Arial"/>
          <w:sz w:val="22"/>
        </w:rPr>
        <w:t xml:space="preserve">trabalho chama de efeito do bairro pode ser efeito da região. O modelo de dois</w:t>
      </w:r>
      <w:r>
        <w:rPr>
          <w:rFonts w:ascii="Arial" w:hAnsi="Arial"/>
          <w:sz w:val="22"/>
        </w:rPr>
        <w:t xml:space="preserve"> </w:t>
      </w:r>
      <w:r>
        <w:rPr>
          <w:rFonts w:ascii="Arial" w:hAnsi="Arial"/>
          <w:sz w:val="22"/>
        </w:rPr>
        <w:t xml:space="preserve">níveis não separa as duas coisas — ele trata a UF como efeito fixo, e por isso</w:t>
      </w:r>
      <w:r>
        <w:rPr>
          <w:rFonts w:ascii="Arial" w:hAnsi="Arial"/>
          <w:sz w:val="22"/>
        </w:rPr>
        <w:t xml:space="preserve"> </w:t>
      </w:r>
      <w:r>
        <w:rPr>
          <w:rFonts w:ascii="Arial" w:hAnsi="Arial"/>
          <w:sz w:val="22"/>
        </w:rPr>
        <w:t xml:space="preserve">credita ao bairro tudo o que é territorial. Para medir a separação, o modelo nulo</w:t>
      </w:r>
      <w:r>
        <w:rPr>
          <w:rFonts w:ascii="Arial" w:hAnsi="Arial"/>
          <w:sz w:val="22"/>
        </w:rPr>
        <w:t xml:space="preserve"> </w:t>
      </w:r>
      <w:r>
        <w:rPr>
          <w:rFonts w:ascii="Arial" w:hAnsi="Arial"/>
          <w:sz w:val="22"/>
        </w:rPr>
        <w:t xml:space="preserve">foi reestimado com</w:t>
      </w:r>
      <w:r>
        <w:rPr>
          <w:rFonts w:ascii="Arial" w:hAnsi="Arial"/>
          <w:sz w:val="22"/>
        </w:rPr>
        <w:t xml:space="preserve"> </w:t>
      </w:r>
      <w:r>
        <w:rPr>
          <w:rFonts w:ascii="Arial" w:hAnsi="Arial"/>
          <w:b/>
          <w:bCs/>
          <w:sz w:val="22"/>
        </w:rPr>
        <w:t xml:space="preserve">três</w:t>
      </w:r>
      <w:r>
        <w:rPr>
          <w:rFonts w:ascii="Arial" w:hAnsi="Arial"/>
          <w:sz w:val="22"/>
        </w:rPr>
        <w:t xml:space="preserve"> </w:t>
      </w:r>
      <w:r>
        <w:rPr>
          <w:rFonts w:ascii="Arial" w:hAnsi="Arial"/>
          <w:sz w:val="22"/>
        </w:rPr>
        <w:t xml:space="preserve">níveis: pessoa dentro de bairro dentro de estado,</w:t>
      </w:r>
      <w:r>
        <w:rPr>
          <w:rFonts w:ascii="Arial" w:hAnsi="Arial"/>
          <w:sz w:val="22"/>
        </w:rPr>
        <w:t xml:space="preserve"> </w:t>
      </w:r>
      <w:r>
        <w:rPr>
          <w:rFonts w:ascii="Arial" w:hAnsi="Arial"/>
          <w:sz w:val="22"/>
        </w:rPr>
        <w:t xml:space="preserve">com intercepto aleatório nos dois.</w:t>
      </w:r>
    </w:p>
    <w:p>
      <w:pPr>
        <w:pStyle w:val="BodyText"/>
        <w:spacing w:line="360" w:lineRule="auto" w:after="0"/>
        <w:ind w:firstLine="709"/>
        <w:jc w:val="both"/>
      </w:pPr>
      <w:r>
        <w:rPr>
          <w:rFonts w:ascii="Arial" w:hAnsi="Arial"/>
          <w:sz w:val="22"/>
        </w:rPr>
        <w:t xml:space="preserve">O resultado divide o território em duas partes desiguais. Dos</w:t>
      </w:r>
      <w:r>
        <w:rPr>
          <w:rFonts w:ascii="Arial" w:hAnsi="Arial"/>
          <w:sz w:val="22"/>
        </w:rPr>
        <w:t xml:space="preserve"> </w:t>
      </w:r>
      <w:r>
        <w:rPr>
          <w:rFonts w:ascii="Arial" w:hAnsi="Arial"/>
          <w:sz w:val="22"/>
        </w:rPr>
        <w:t xml:space="preserve">35,3% que o modelo de dois níveis atribui ao bairro,</w:t>
      </w:r>
      <w:r>
        <w:rPr>
          <w:rFonts w:ascii="Arial" w:hAnsi="Arial"/>
          <w:sz w:val="22"/>
        </w:rPr>
        <w:t xml:space="preserve"> </w:t>
      </w:r>
      <w:r>
        <w:rPr>
          <w:rFonts w:ascii="Arial" w:hAnsi="Arial"/>
          <w:b/>
          <w:bCs/>
          <w:sz w:val="22"/>
        </w:rPr>
        <w:t xml:space="preserve">23,4%</w:t>
      </w:r>
      <w:r>
        <w:rPr>
          <w:rFonts w:ascii="Arial" w:hAnsi="Arial"/>
          <w:sz w:val="22"/>
        </w:rPr>
        <w:t xml:space="preserve"> </w:t>
      </w:r>
      <w:r>
        <w:rPr>
          <w:rFonts w:ascii="Arial" w:hAnsi="Arial"/>
          <w:sz w:val="22"/>
        </w:rPr>
        <w:t xml:space="preserve">permanecem entre bairros do</w:t>
      </w:r>
      <w:r>
        <w:rPr>
          <w:rFonts w:ascii="Arial" w:hAnsi="Arial"/>
          <w:sz w:val="22"/>
        </w:rPr>
        <w:t xml:space="preserve"> </w:t>
      </w:r>
      <w:r>
        <w:rPr>
          <w:rFonts w:ascii="Arial" w:hAnsi="Arial"/>
          <w:sz w:val="22"/>
        </w:rPr>
        <w:t xml:space="preserve">mesmo</w:t>
      </w:r>
      <w:r>
        <w:rPr>
          <w:rFonts w:ascii="Arial" w:hAnsi="Arial"/>
          <w:sz w:val="22"/>
        </w:rPr>
        <w:t xml:space="preserve"> </w:t>
      </w:r>
      <w:r>
        <w:rPr>
          <w:rFonts w:ascii="Arial" w:hAnsi="Arial"/>
          <w:sz w:val="22"/>
        </w:rPr>
        <w:t xml:space="preserve">estado e</w:t>
      </w:r>
      <w:r>
        <w:rPr>
          <w:rFonts w:ascii="Arial" w:hAnsi="Arial"/>
          <w:sz w:val="22"/>
        </w:rPr>
        <w:t xml:space="preserve"> </w:t>
      </w:r>
      <w:r>
        <w:rPr>
          <w:rFonts w:ascii="Arial" w:hAnsi="Arial"/>
          <w:b/>
          <w:bCs/>
          <w:sz w:val="22"/>
        </w:rPr>
        <w:t xml:space="preserve">11,4%</w:t>
      </w:r>
      <w:r>
        <w:rPr>
          <w:rFonts w:ascii="Arial" w:hAnsi="Arial"/>
          <w:sz w:val="22"/>
        </w:rPr>
        <w:t xml:space="preserve"> </w:t>
      </w:r>
      <w:r>
        <w:rPr>
          <w:rFonts w:ascii="Arial" w:hAnsi="Arial"/>
          <w:sz w:val="22"/>
        </w:rPr>
        <w:t xml:space="preserve">são diferenças entre estados. Depois dos controles</w:t>
      </w:r>
      <w:r>
        <w:rPr>
          <w:rFonts w:ascii="Arial" w:hAnsi="Arial"/>
          <w:sz w:val="22"/>
        </w:rPr>
        <w:t xml:space="preserve"> </w:t>
      </w:r>
      <w:r>
        <w:rPr>
          <w:rFonts w:ascii="Arial" w:hAnsi="Arial"/>
          <w:sz w:val="22"/>
        </w:rPr>
        <w:t xml:space="preserve">individuais e do contexto do bairro, o bairro cai para 7,2% e o estado</w:t>
      </w:r>
      <w:r>
        <w:rPr>
          <w:rFonts w:ascii="Arial" w:hAnsi="Arial"/>
          <w:sz w:val="22"/>
        </w:rPr>
        <w:t xml:space="preserve"> </w:t>
      </w:r>
      <w:r>
        <w:rPr>
          <w:rFonts w:ascii="Arial" w:hAnsi="Arial"/>
          <w:sz w:val="22"/>
        </w:rPr>
        <w:t xml:space="preserve">para 5,6%: a camada do bairro encolhe mais (de 2,1 para 1,3 vez o estado), mas continua sendo a maior.</w:t>
      </w:r>
      <w:r>
        <w:rPr>
          <w:rStyle w:val="FootnoteReference"/>
          <w:rFonts w:ascii="Arial" w:hAnsi="Arial"/>
          <w:sz w:val="22"/>
          <w:vertAlign w:val="superscript"/>
        </w:rPr>
        <w:footnoteReference w:id="40"/>
      </w:r>
    </w:p>
    <w:p>
      <w:pPr>
        <w:pStyle w:val="BodyText"/>
        <w:spacing w:line="360" w:lineRule="auto" w:after="0"/>
        <w:ind w:firstLine="709"/>
        <w:jc w:val="both"/>
      </w:pPr>
      <w:r>
        <w:rPr>
          <w:rFonts w:ascii="Arial" w:hAnsi="Arial"/>
          <w:b/>
          <w:bCs/>
          <w:sz w:val="22"/>
        </w:rPr>
        <w:t xml:space="preserve">Dentro da mesma ocupação o gap encolhe — o que não é o mesmo que explicá-lo.</w:t>
      </w:r>
      <w:r>
        <w:rPr>
          <w:rFonts w:ascii="Arial" w:hAnsi="Arial"/>
          <w:sz w:val="22"/>
        </w:rPr>
        <w:t xml:space="preserve"> </w:t>
      </w:r>
      <w:r>
        <w:rPr>
          <w:rFonts w:ascii="Arial" w:hAnsi="Arial"/>
          <w:sz w:val="22"/>
        </w:rPr>
        <w:t xml:space="preserve">O M4 acrescenta vínculo e grupo ocupacional, e a penalidade cai para</w:t>
      </w:r>
      <w:r>
        <w:rPr>
          <w:rFonts w:ascii="Arial" w:hAnsi="Arial"/>
          <w:sz w:val="22"/>
        </w:rPr>
        <w:t xml:space="preserve"> </w:t>
      </w:r>
      <w:r>
        <w:rPr>
          <w:rFonts w:ascii="Arial" w:hAnsi="Arial"/>
          <w:b/>
          <w:bCs/>
          <w:sz w:val="22"/>
        </w:rPr>
        <w:t xml:space="preserve">5,6%</w:t>
      </w:r>
      <w:r>
        <w:rPr>
          <w:rFonts w:ascii="Arial" w:hAnsi="Arial"/>
          <w:sz w:val="22"/>
        </w:rPr>
        <w:t xml:space="preserve"> </w:t>
      </w:r>
      <w:r>
        <w:rPr>
          <w:rFonts w:ascii="Arial" w:hAnsi="Arial"/>
          <w:sz w:val="22"/>
        </w:rPr>
        <w:t xml:space="preserve">(</w:t>
      </w:r>
      <m:oMath>
        <m:sSubSup>
          <m:e>
            <m:acc>
              <m:accPr>
                <m:chr m:val="̂"/>
              </m:accPr>
              <m:e>
                <m:r>
                  <m:t>β</m:t>
                </m:r>
              </m:e>
            </m:acc>
          </m:e>
          <m:sub>
            <m:r>
              <m:rPr>
                <m:nor/>
                <m:sty m:val="p"/>
              </m:rPr>
              <m:t>negro</m:t>
            </m:r>
          </m:sub>
          <m:sup>
            <m:r>
              <m:t>M</m:t>
            </m:r>
            <m:r>
              <m:t>4</m:t>
            </m:r>
          </m:sup>
        </m:sSubSup>
        <m:r>
          <m:rPr>
            <m:sty m:val="p"/>
          </m:rPr>
          <m:t>=</m:t>
        </m:r>
        <m:r>
          <m:rPr>
            <m:sty m:val="p"/>
          </m:rPr>
          <m:t>−</m:t>
        </m:r>
        <m:r>
          <m:t>0</m:t>
        </m:r>
        <m:r>
          <m:rPr>
            <m:sty m:val="p"/>
          </m:rPr>
          <m:t>,</m:t>
        </m:r>
        <m:r>
          <m:t>0579</m:t>
        </m:r>
      </m:oMath>
      <w:r>
        <w:rPr>
          <w:rFonts w:ascii="Arial" w:hAnsi="Arial"/>
          <w:sz w:val="22"/>
        </w:rPr>
        <w:t xml:space="preserve">). A régua vai a</w:t>
      </w:r>
      <w:r>
        <w:rPr>
          <w:rFonts w:ascii="Arial" w:hAnsi="Arial"/>
          <w:sz w:val="22"/>
        </w:rPr>
        <w:t xml:space="preserve"> </w:t>
      </w:r>
      <w:r>
        <w:rPr>
          <w:rFonts w:ascii="Arial" w:hAnsi="Arial"/>
          <w:b/>
          <w:bCs/>
          <w:sz w:val="22"/>
        </w:rPr>
        <w:t xml:space="preserve">47,6% do gap agregado</w:t>
      </w:r>
      <w:r>
        <w:rPr>
          <w:rFonts w:ascii="Arial" w:hAnsi="Arial"/>
          <w:sz w:val="22"/>
        </w:rPr>
        <w:t xml:space="preserve">. A tentação é ler esse número como a parte do</w:t>
      </w:r>
      <w:r>
        <w:rPr>
          <w:rFonts w:ascii="Arial" w:hAnsi="Arial"/>
          <w:sz w:val="22"/>
        </w:rPr>
        <w:t xml:space="preserve"> </w:t>
      </w:r>
      <w:r>
        <w:rPr>
          <w:rFonts w:ascii="Arial" w:hAnsi="Arial"/>
          <w:sz w:val="22"/>
        </w:rPr>
        <w:t xml:space="preserve">gap que está</w:t>
      </w:r>
      <w:r>
        <w:rPr>
          <w:rFonts w:ascii="Arial" w:hAnsi="Arial"/>
          <w:sz w:val="22"/>
        </w:rPr>
        <w:t xml:space="preserve"> </w:t>
      </w:r>
      <w:r>
        <w:rPr>
          <w:rFonts w:ascii="Arial" w:hAnsi="Arial"/>
          <w:sz w:val="22"/>
        </w:rPr>
        <w:t xml:space="preserve">“explicada”</w:t>
      </w:r>
      <w:r>
        <w:rPr>
          <w:rFonts w:ascii="Arial" w:hAnsi="Arial"/>
          <w:sz w:val="22"/>
        </w:rPr>
        <w:t xml:space="preserve">, e é precisamente essa leitura que o desenho do estudo</w:t>
      </w:r>
      <w:r>
        <w:rPr>
          <w:rFonts w:ascii="Arial" w:hAnsi="Arial"/>
          <w:sz w:val="22"/>
        </w:rPr>
        <w:t xml:space="preserve"> </w:t>
      </w:r>
      <w:r>
        <w:rPr>
          <w:rFonts w:ascii="Arial" w:hAnsi="Arial"/>
          <w:sz w:val="22"/>
        </w:rPr>
        <w:t xml:space="preserve">não autoriza: a ocupação não é uma característica que a pessoa traz consigo, é um</w:t>
      </w:r>
      <w:r>
        <w:rPr>
          <w:rFonts w:ascii="Arial" w:hAnsi="Arial"/>
          <w:sz w:val="22"/>
        </w:rPr>
        <w:t xml:space="preserve"> </w:t>
      </w:r>
      <w:r>
        <w:rPr>
          <w:rFonts w:ascii="Arial" w:hAnsi="Arial"/>
          <w:sz w:val="22"/>
        </w:rPr>
        <w:t xml:space="preserve">resultado ao qual ela precisou obter acesso — e o acesso é justamente onde a</w:t>
      </w:r>
      <w:r>
        <w:rPr>
          <w:rFonts w:ascii="Arial" w:hAnsi="Arial"/>
          <w:sz w:val="22"/>
        </w:rPr>
        <w:t xml:space="preserve"> </w:t>
      </w:r>
      <w:r>
        <w:rPr>
          <w:rFonts w:ascii="Arial" w:hAnsi="Arial"/>
          <w:sz w:val="22"/>
        </w:rPr>
        <w:t xml:space="preserve">Subseção</w:t>
      </w:r>
      <w:r>
        <w:rPr>
          <w:rFonts w:ascii="Arial" w:hAnsi="Arial"/>
          <w:sz w:val="22"/>
        </w:rPr>
        <w:t xml:space="preserve"> </w:t>
      </w:r>
      <w:r>
        <w:rPr>
          <w:rFonts w:ascii="Arial" w:hAnsi="Arial"/>
          <w:sz w:val="22"/>
        </w:rPr>
        <w:t xml:space="preserve">“GLMM logístico: o teto de vidro no acesso”</w:t>
      </w:r>
      <w:r>
        <w:rPr>
          <w:rFonts w:ascii="Arial" w:hAnsi="Arial"/>
          <w:sz w:val="22"/>
        </w:rPr>
        <w:t xml:space="preserve"> </w:t>
      </w:r>
      <w:r>
        <w:rPr>
          <w:rFonts w:ascii="Arial" w:hAnsi="Arial"/>
          <w:sz w:val="22"/>
        </w:rPr>
        <w:t xml:space="preserve">encontra uma barreira própria, que a decomposição</w:t>
      </w:r>
      <w:r>
        <w:rPr>
          <w:rFonts w:ascii="Arial" w:hAnsi="Arial"/>
          <w:sz w:val="22"/>
        </w:rPr>
        <w:t xml:space="preserve"> </w:t>
      </w:r>
      <w:r>
        <w:rPr>
          <w:rFonts w:ascii="Arial" w:hAnsi="Arial"/>
          <w:sz w:val="22"/>
        </w:rPr>
        <w:t xml:space="preserve">salarial só capta em parte. Controlar por</w:t>
      </w:r>
      <w:r>
        <w:rPr>
          <w:rFonts w:ascii="Arial" w:hAnsi="Arial"/>
          <w:sz w:val="22"/>
        </w:rPr>
        <w:t xml:space="preserve"> </w:t>
      </w:r>
      <w:r>
        <w:rPr>
          <w:rFonts w:ascii="Arial" w:hAnsi="Arial"/>
          <w:sz w:val="22"/>
        </w:rPr>
        <w:t xml:space="preserve">ocupação é, portanto, descontar do gap uma parte do próprio gap. Por isso o M4 é um</w:t>
      </w:r>
      <w:r>
        <w:rPr>
          <w:rFonts w:ascii="Arial" w:hAnsi="Arial"/>
          <w:sz w:val="22"/>
        </w:rPr>
        <w:t xml:space="preserve"> </w:t>
      </w:r>
      <w:r>
        <w:rPr>
          <w:rFonts w:ascii="Arial" w:hAnsi="Arial"/>
          <w:sz w:val="22"/>
        </w:rPr>
        <w:t xml:space="preserve">limite inferior descritivo, e não o número a citar como a penalidade racial brasileira.</w:t>
      </w:r>
    </w:p>
    <w:p>
      <w:pPr>
        <w:pStyle w:val="BodyText"/>
        <w:spacing w:line="360" w:lineRule="auto" w:after="0"/>
        <w:ind w:firstLine="709"/>
        <w:jc w:val="both"/>
      </w:pPr>
      <w:r>
        <w:rPr>
          <w:rFonts w:ascii="Arial" w:hAnsi="Arial"/>
          <w:b/>
          <w:bCs/>
          <w:sz w:val="22"/>
        </w:rPr>
        <w:t xml:space="preserve">O mesmo controle pode ser legítimo num modelo e viciado noutro.</w:t>
      </w:r>
      <w:r>
        <w:rPr>
          <w:rFonts w:ascii="Arial" w:hAnsi="Arial"/>
          <w:sz w:val="22"/>
        </w:rPr>
        <w:t xml:space="preserve"> </w:t>
      </w:r>
      <w:r>
        <w:rPr>
          <w:rFonts w:ascii="Arial" w:hAnsi="Arial"/>
          <w:sz w:val="22"/>
        </w:rPr>
        <w:t xml:space="preserve">A regra não é</w:t>
      </w:r>
      <w:r>
        <w:rPr>
          <w:rFonts w:ascii="Arial" w:hAnsi="Arial"/>
          <w:sz w:val="22"/>
        </w:rPr>
        <w:t xml:space="preserve"> </w:t>
      </w:r>
      <w:r>
        <w:rPr>
          <w:rFonts w:ascii="Arial" w:hAnsi="Arial"/>
          <w:sz w:val="22"/>
        </w:rPr>
        <w:t xml:space="preserve">“controlar por tudo”</w:t>
      </w:r>
      <w:r>
        <w:rPr>
          <w:rFonts w:ascii="Arial" w:hAnsi="Arial"/>
          <w:sz w:val="22"/>
        </w:rPr>
        <w:t xml:space="preserve"> </w:t>
      </w:r>
      <w:r>
        <w:rPr>
          <w:rFonts w:ascii="Arial" w:hAnsi="Arial"/>
          <w:sz w:val="22"/>
        </w:rPr>
        <w:t xml:space="preserve">nem</w:t>
      </w:r>
      <w:r>
        <w:rPr>
          <w:rFonts w:ascii="Arial" w:hAnsi="Arial"/>
          <w:sz w:val="22"/>
        </w:rPr>
        <w:t xml:space="preserve"> </w:t>
      </w:r>
      <w:r>
        <w:rPr>
          <w:rFonts w:ascii="Arial" w:hAnsi="Arial"/>
          <w:sz w:val="22"/>
        </w:rPr>
        <w:t xml:space="preserve">“nunca controlar por resultado”</w:t>
      </w:r>
      <w:r>
        <w:rPr>
          <w:rFonts w:ascii="Arial" w:hAnsi="Arial"/>
          <w:sz w:val="22"/>
        </w:rPr>
        <w:t xml:space="preserve">: depende do</w:t>
      </w:r>
      <w:r>
        <w:rPr>
          <w:rFonts w:ascii="Arial" w:hAnsi="Arial"/>
          <w:sz w:val="22"/>
        </w:rPr>
        <w:t xml:space="preserve"> </w:t>
      </w:r>
      <w:r>
        <w:rPr>
          <w:rFonts w:ascii="Arial" w:hAnsi="Arial"/>
          <w:sz w:val="22"/>
        </w:rPr>
        <w:t xml:space="preserve">que se está explicando. A jornada trabalhada ilustra bem. No modelo de rendimento ela</w:t>
      </w:r>
      <w:r>
        <w:rPr>
          <w:rFonts w:ascii="Arial" w:hAnsi="Arial"/>
          <w:sz w:val="22"/>
        </w:rPr>
        <w:t xml:space="preserve"> </w:t>
      </w:r>
      <w:r>
        <w:rPr>
          <w:rFonts w:ascii="Arial" w:hAnsi="Arial"/>
          <w:sz w:val="22"/>
        </w:rPr>
        <w:t xml:space="preserve">é</w:t>
      </w:r>
      <w:r>
        <w:rPr>
          <w:rFonts w:ascii="Arial" w:hAnsi="Arial"/>
          <w:sz w:val="22"/>
        </w:rPr>
        <w:t xml:space="preserve"> </w:t>
      </w:r>
      <w:r>
        <w:rPr>
          <w:rFonts w:ascii="Arial" w:hAnsi="Arial"/>
          <w:sz w:val="22"/>
        </w:rPr>
        <w:t xml:space="preserve">necessária</w:t>
      </w:r>
      <w:r>
        <w:rPr>
          <w:rFonts w:ascii="Arial" w:hAnsi="Arial"/>
          <w:sz w:val="22"/>
        </w:rPr>
        <w:t xml:space="preserve">, porque o desfecho é o rendimento</w:t>
      </w:r>
      <w:r>
        <w:rPr>
          <w:rFonts w:ascii="Arial" w:hAnsi="Arial"/>
          <w:sz w:val="22"/>
        </w:rPr>
        <w:t xml:space="preserve"> </w:t>
      </w:r>
      <w:r>
        <w:rPr>
          <w:rFonts w:ascii="Arial" w:hAnsi="Arial"/>
          <w:b/>
          <w:bCs/>
          <w:sz w:val="22"/>
        </w:rPr>
        <w:t xml:space="preserve">mensal</w:t>
      </w:r>
      <w:r>
        <w:rPr>
          <w:rFonts w:ascii="Arial" w:hAnsi="Arial"/>
          <w:sz w:val="22"/>
        </w:rPr>
        <w:t xml:space="preserve">: sem ela,</w:t>
      </w:r>
      <w:r>
        <w:rPr>
          <w:rFonts w:ascii="Arial" w:hAnsi="Arial"/>
          <w:sz w:val="22"/>
        </w:rPr>
        <w:t xml:space="preserve"> </w:t>
      </w:r>
      <w:r>
        <w:rPr>
          <w:rFonts w:ascii="Arial" w:hAnsi="Arial"/>
          <w:sz w:val="22"/>
        </w:rPr>
        <w:t xml:space="preserve">comparar-se-ia quem trabalha meio período com quem trabalha jornada integral e a</w:t>
      </w:r>
      <w:r>
        <w:rPr>
          <w:rFonts w:ascii="Arial" w:hAnsi="Arial"/>
          <w:sz w:val="22"/>
        </w:rPr>
        <w:t xml:space="preserve"> </w:t>
      </w:r>
      <w:r>
        <w:rPr>
          <w:rFonts w:ascii="Arial" w:hAnsi="Arial"/>
          <w:sz w:val="22"/>
        </w:rPr>
        <w:t xml:space="preserve">diferença seria creditada à raça. No modelo de acesso o desfecho é</w:t>
      </w:r>
      <w:r>
        <w:rPr>
          <w:rFonts w:ascii="Arial" w:hAnsi="Arial"/>
          <w:sz w:val="22"/>
        </w:rPr>
        <w:t xml:space="preserve"> </w:t>
      </w:r>
      <w:r>
        <w:rPr>
          <w:rFonts w:ascii="Arial" w:hAnsi="Arial"/>
          <w:sz w:val="22"/>
        </w:rPr>
        <w:t xml:space="preserve">ocupar</w:t>
      </w:r>
      <w:r>
        <w:rPr>
          <w:rFonts w:ascii="Arial" w:hAnsi="Arial"/>
          <w:sz w:val="22"/>
        </w:rPr>
        <w:t xml:space="preserve"> </w:t>
      </w:r>
      <w:r>
        <w:rPr>
          <w:rFonts w:ascii="Arial" w:hAnsi="Arial"/>
          <w:sz w:val="22"/>
        </w:rPr>
        <w:t xml:space="preserve">o</w:t>
      </w:r>
      <w:r>
        <w:rPr>
          <w:rFonts w:ascii="Arial" w:hAnsi="Arial"/>
          <w:sz w:val="22"/>
        </w:rPr>
        <w:t xml:space="preserve"> </w:t>
      </w:r>
      <w:r>
        <w:rPr>
          <w:rFonts w:ascii="Arial" w:hAnsi="Arial"/>
          <w:sz w:val="22"/>
        </w:rPr>
        <w:t xml:space="preserve">cargo, e a jornada não causa esse acesso — ela é determinada junto com a ocupação,</w:t>
      </w:r>
      <w:r>
        <w:rPr>
          <w:rFonts w:ascii="Arial" w:hAnsi="Arial"/>
          <w:sz w:val="22"/>
        </w:rPr>
        <w:t xml:space="preserve"> </w:t>
      </w:r>
      <w:r>
        <w:rPr>
          <w:rFonts w:ascii="Arial" w:hAnsi="Arial"/>
          <w:sz w:val="22"/>
        </w:rPr>
        <w:t xml:space="preserve">de modo que condicionar nela desconta parte do próprio fenômeno. Por isso a jornada</w:t>
      </w:r>
      <w:r>
        <w:rPr>
          <w:rFonts w:ascii="Arial" w:hAnsi="Arial"/>
          <w:sz w:val="22"/>
        </w:rPr>
        <w:t xml:space="preserve"> </w:t>
      </w:r>
      <w:r>
        <w:rPr>
          <w:rFonts w:ascii="Arial" w:hAnsi="Arial"/>
          <w:sz w:val="22"/>
        </w:rPr>
        <w:t xml:space="preserve">entra no bloco individual do modelo de rendimento e, no de acesso, só no degrau</w:t>
      </w:r>
      <w:r>
        <w:rPr>
          <w:rFonts w:ascii="Arial" w:hAnsi="Arial"/>
          <w:sz w:val="22"/>
        </w:rPr>
        <w:t xml:space="preserve"> </w:t>
      </w:r>
      <w:r>
        <w:rPr>
          <w:rFonts w:ascii="Arial" w:hAnsi="Arial"/>
          <w:sz w:val="22"/>
        </w:rPr>
        <w:t xml:space="preserve">rotulado como limite inferior, ao lado do vínculo.</w:t>
      </w:r>
    </w:p>
    <w:p>
      <w:pPr>
        <w:pStyle w:val="BodyText"/>
        <w:spacing w:line="360" w:lineRule="auto" w:after="0"/>
        <w:ind w:firstLine="709"/>
        <w:jc w:val="both"/>
      </w:pPr>
      <w:r>
        <w:rPr>
          <w:rFonts w:ascii="Arial" w:hAnsi="Arial"/>
          <w:sz w:val="22"/>
        </w:rPr>
        <w:t xml:space="preserve">O critério que organiza os dois modelos é, então, o</w:t>
      </w:r>
      <w:r>
        <w:rPr>
          <w:rFonts w:ascii="Arial" w:hAnsi="Arial"/>
          <w:sz w:val="22"/>
        </w:rPr>
        <w:t xml:space="preserve"> </w:t>
      </w:r>
      <w:r>
        <w:rPr>
          <w:rFonts w:ascii="Arial" w:hAnsi="Arial"/>
          <w:sz w:val="22"/>
        </w:rPr>
        <w:t xml:space="preserve">estatuto causal</w:t>
      </w:r>
      <w:r>
        <w:rPr>
          <w:rFonts w:ascii="Arial" w:hAnsi="Arial"/>
          <w:sz w:val="22"/>
        </w:rPr>
        <w:t xml:space="preserve"> </w:t>
      </w:r>
      <w:r>
        <w:rPr>
          <w:rFonts w:ascii="Arial" w:hAnsi="Arial"/>
          <w:sz w:val="22"/>
        </w:rPr>
        <w:t xml:space="preserve">de cada</w:t>
      </w:r>
      <w:r>
        <w:rPr>
          <w:rFonts w:ascii="Arial" w:hAnsi="Arial"/>
          <w:sz w:val="22"/>
        </w:rPr>
        <w:t xml:space="preserve"> </w:t>
      </w:r>
      <w:r>
        <w:rPr>
          <w:rFonts w:ascii="Arial" w:hAnsi="Arial"/>
          <w:sz w:val="22"/>
        </w:rPr>
        <w:t xml:space="preserve">variável em relação ao desfecho daquele modelo, e não a semelhança das listas:</w:t>
      </w:r>
    </w:p>
    <w:bookmarkStart w:id="41" w:name="tab:simetria"/>
    <w:p>
      <w:pPr>
        <w:pStyle w:val="TableCaption"/>
        <w:keepNext/>
        <w:keepLines/>
        <w:spacing w:line="240" w:lineRule="auto" w:before="240" w:after="40"/>
        <w:ind w:firstLine="0"/>
        <w:jc w:val="both"/>
      </w:pPr>
      <w:r>
        <w:rPr>
          <w:rFonts w:ascii="Arial" w:hAnsi="Arial"/>
          <w:sz w:val="22"/>
        </w:rPr>
        <w:t xml:space="preserve">Tabela 3. Simetria dos controles entre os dois modelos. Os blocos predeterminados são</w:t>
      </w:r>
      <w:r>
        <w:rPr>
          <w:rFonts w:ascii="Arial" w:hAnsi="Arial"/>
          <w:sz w:val="22"/>
        </w:rPr>
        <w:t xml:space="preserve"> </w:t>
      </w:r>
      <w:r>
        <w:rPr>
          <w:rFonts w:ascii="Arial" w:hAnsi="Arial"/>
          <w:sz w:val="22"/>
        </w:rPr>
        <w:t xml:space="preserve">idênticos; o que difere é o tratamento das variáveis que são elas próprias desfecho</w:t>
      </w:r>
      <w:r>
        <w:rPr>
          <w:rFonts w:ascii="Arial" w:hAnsi="Arial"/>
          <w:sz w:val="22"/>
        </w:rPr>
        <w:t xml:space="preserve"> </w:t>
      </w:r>
      <w:r>
        <w:rPr>
          <w:rFonts w:ascii="Arial" w:hAnsi="Arial"/>
          <w:sz w:val="22"/>
        </w:rPr>
        <w:t xml:space="preserve">do processo estudado.</w:t>
      </w:r>
    </w:p>
    <w:tbl>
      <w:tblPr>
        <w:tblStyle w:val="Table"/>
        <w:tblW w:type="auto" w:w="0"/>
        <w:tblLayout w:type="fixed"/>
        <w:tblLook w:firstRow="1" w:lastRow="0" w:firstColumn="0" w:lastColumn="0" w:noHBand="0" w:noVBand="0" w:val="0020"/>
        <w:tblCaption w:val="Tabela 3. Simetria dos controles entre os dois modelos. Os blocos predeterminados são idênticos; o que difere é o tratamento das variáveis que são elas próprias desfecho do processo estudado."/>
        <w:tblBorders>
          <w:top w:val="nil"/>
          <w:left w:val="nil"/>
          <w:bottom w:val="nil"/>
          <w:right w:val="nil"/>
          <w:insideH w:val="nil"/>
          <w:insideV w:val="nil"/>
        </w:tblBorders>
      </w:tblPr>
      <w:tblGrid>
        <w:gridCol w:w="2169"/>
        <w:gridCol w:w="3564"/>
        <w:gridCol w:w="3337"/>
      </w:tblGrid>
      <w:tr>
        <w:trPr>
          <w:tblHeader w:val="on"/>
          <w:cantSplit/>
        </w:trPr>
        <w:tc>
          <w:tcPr>
            <w:tcW w:type="dxa" w:w="2169"/>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2"/>
              </w:rPr>
              <w:t xml:space="preserve">Bloco</w:t>
            </w:r>
          </w:p>
        </w:tc>
        <w:tc>
          <w:tcPr>
            <w:tcW w:type="dxa" w:w="3564"/>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2"/>
              </w:rPr>
              <w:t xml:space="preserve">Modelo de rendimento (HLM)</w:t>
            </w:r>
          </w:p>
        </w:tc>
        <w:tc>
          <w:tcPr>
            <w:tcW w:type="dxa" w:w="3337"/>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2"/>
              </w:rPr>
              <w:t xml:space="preserve">Modelo de acesso (GLMM)</w:t>
            </w:r>
          </w:p>
        </w:tc>
      </w:tr>
      <w:tr>
        <w:trPr>
          <w:cantSplit/>
        </w:trPr>
        <w:tc>
          <w:tcPr>
            <w:tcW w:type="dxa" w:w="2169"/>
          </w:tcPr>
          <w:p>
            <w:pPr>
              <w:pStyle w:val="Compact"/>
              <w:keepNext/>
              <w:spacing w:line="240" w:lineRule="auto" w:after="0"/>
              <w:ind w:firstLine="0"/>
              <w:jc w:val="left"/>
            </w:pPr>
            <w:r>
              <w:rPr>
                <w:rFonts w:ascii="Arial" w:hAnsi="Arial"/>
                <w:b w:val="0"/>
                <w:sz w:val="22"/>
              </w:rPr>
              <w:t xml:space="preserve">Predeterminados</w:t>
            </w:r>
          </w:p>
        </w:tc>
        <w:tc>
          <w:tcPr>
            <w:tcW w:type="dxa" w:w="3564"/>
          </w:tcPr>
          <w:p>
            <w:pPr>
              <w:pStyle w:val="Compact"/>
              <w:keepNext/>
              <w:spacing w:line="240" w:lineRule="auto" w:after="0"/>
              <w:ind w:firstLine="0"/>
              <w:jc w:val="left"/>
            </w:pPr>
            <w:r>
              <w:rPr>
                <w:rFonts w:ascii="Arial" w:hAnsi="Arial"/>
                <w:b w:val="0"/>
                <w:sz w:val="22"/>
              </w:rPr>
              <w:t xml:space="preserve">sexo, idade, idade</w:t>
            </w:r>
            <w:r>
              <w:rPr>
                <w:rFonts w:ascii="Arial" w:hAnsi="Arial"/>
                <w:b w:val="0"/>
                <w:sz w:val="22"/>
                <w:vertAlign w:val="superscript"/>
              </w:rPr>
              <w:t xml:space="preserve">2</w:t>
            </w:r>
            <w:r>
              <w:rPr>
                <w:rFonts w:ascii="Arial" w:hAnsi="Arial"/>
                <w:b w:val="0"/>
                <w:sz w:val="22"/>
              </w:rPr>
              <w:t xml:space="preserve">, escolaridade (4 degraus</w:t>
            </w:r>
            <w:r>
              <w:rPr>
                <w:rFonts w:ascii="Arial" w:hAnsi="Arial"/>
                <w:b w:val="0"/>
                <w:sz w:val="22"/>
              </w:rPr>
              <w:t xml:space="preserve"> </w:t>
            </w:r>
            <w:r>
              <w:rPr>
                <w:rFonts w:ascii="Arial" w:hAnsi="Arial"/>
                <w:b w:val="0"/>
                <w:sz w:val="22"/>
              </w:rPr>
              <w:t xml:space="preserve">cumulativos), área urbana, ano, estado</w:t>
            </w:r>
          </w:p>
        </w:tc>
        <w:tc>
          <w:tcPr>
            <w:tcW w:type="dxa" w:w="3337"/>
          </w:tcPr>
          <w:p>
            <w:pPr>
              <w:pStyle w:val="Compact"/>
              <w:keepNext/>
              <w:spacing w:line="240" w:lineRule="auto" w:after="0"/>
              <w:ind w:firstLine="0"/>
              <w:jc w:val="left"/>
            </w:pPr>
            <w:r>
              <w:rPr>
                <w:rFonts w:ascii="Arial" w:hAnsi="Arial"/>
                <w:b w:val="0"/>
                <w:sz w:val="22"/>
              </w:rPr>
              <w:t xml:space="preserve">os mesmos</w:t>
            </w:r>
          </w:p>
        </w:tc>
      </w:tr>
      <w:tr>
        <w:trPr>
          <w:cantSplit/>
        </w:trPr>
        <w:tc>
          <w:tcPr>
            <w:tcW w:type="dxa" w:w="2169"/>
          </w:tcPr>
          <w:p>
            <w:pPr>
              <w:pStyle w:val="Compact"/>
              <w:keepNext/>
              <w:spacing w:line="240" w:lineRule="auto" w:after="0"/>
              <w:ind w:firstLine="0"/>
              <w:jc w:val="left"/>
            </w:pPr>
            <w:r>
              <w:rPr>
                <w:rFonts w:ascii="Arial" w:hAnsi="Arial"/>
                <w:b w:val="0"/>
                <w:sz w:val="22"/>
              </w:rPr>
              <w:t xml:space="preserve">Contexto do bairro</w:t>
            </w:r>
          </w:p>
        </w:tc>
        <w:tc>
          <w:tcPr>
            <w:tcW w:type="dxa" w:w="3564"/>
          </w:tcPr>
          <w:p>
            <w:pPr>
              <w:pStyle w:val="Compact"/>
              <w:keepNext/>
              <w:spacing w:line="240" w:lineRule="auto" w:after="0"/>
              <w:ind w:firstLine="0"/>
              <w:jc w:val="left"/>
            </w:pPr>
            <w:r>
              <w:rPr>
                <w:rFonts w:ascii="Arial" w:hAnsi="Arial"/>
                <w:b w:val="0"/>
                <w:sz w:val="22"/>
              </w:rPr>
              <w:t xml:space="preserve">% negro, desemprego e escolaridade média da UPA</w:t>
            </w:r>
          </w:p>
        </w:tc>
        <w:tc>
          <w:tcPr>
            <w:tcW w:type="dxa" w:w="3337"/>
          </w:tcPr>
          <w:p>
            <w:pPr>
              <w:pStyle w:val="Compact"/>
              <w:keepNext/>
              <w:spacing w:line="240" w:lineRule="auto" w:after="0"/>
              <w:ind w:firstLine="0"/>
              <w:jc w:val="left"/>
            </w:pPr>
            <w:r>
              <w:rPr>
                <w:rFonts w:ascii="Arial" w:hAnsi="Arial"/>
                <w:b w:val="0"/>
                <w:sz w:val="22"/>
              </w:rPr>
              <w:t xml:space="preserve">os mesmos</w:t>
            </w:r>
          </w:p>
        </w:tc>
      </w:tr>
      <w:tr>
        <w:trPr>
          <w:cantSplit/>
        </w:trPr>
        <w:tc>
          <w:tcPr>
            <w:tcW w:type="dxa" w:w="2169"/>
          </w:tcPr>
          <w:p>
            <w:pPr>
              <w:pStyle w:val="Compact"/>
              <w:keepNext/>
              <w:spacing w:line="240" w:lineRule="auto" w:after="0"/>
              <w:ind w:firstLine="0"/>
              <w:jc w:val="left"/>
            </w:pPr>
            <w:r>
              <w:rPr>
                <w:rFonts w:ascii="Arial" w:hAnsi="Arial"/>
                <w:b w:val="0"/>
                <w:sz w:val="22"/>
              </w:rPr>
              <w:t xml:space="preserve">Jornada</w:t>
            </w:r>
          </w:p>
        </w:tc>
        <w:tc>
          <w:tcPr>
            <w:tcW w:type="dxa" w:w="3564"/>
          </w:tcPr>
          <w:p>
            <w:pPr>
              <w:pStyle w:val="Compact"/>
              <w:keepNext/>
              <w:spacing w:line="240" w:lineRule="auto" w:after="0"/>
              <w:ind w:firstLine="0"/>
              <w:jc w:val="left"/>
            </w:pPr>
            <w:r>
              <w:rPr>
                <w:rFonts w:ascii="Arial" w:hAnsi="Arial"/>
                <w:b w:val="0"/>
                <w:sz w:val="22"/>
              </w:rPr>
              <w:t xml:space="preserve">controle necessário: o desfecho é rendimento mensal</w:t>
            </w:r>
          </w:p>
        </w:tc>
        <w:tc>
          <w:tcPr>
            <w:tcW w:type="dxa" w:w="3337"/>
          </w:tcPr>
          <w:p>
            <w:pPr>
              <w:pStyle w:val="Compact"/>
              <w:keepNext/>
              <w:spacing w:line="240" w:lineRule="auto" w:after="0"/>
              <w:ind w:firstLine="0"/>
              <w:jc w:val="left"/>
            </w:pPr>
            <w:r>
              <w:rPr>
                <w:rFonts w:ascii="Arial" w:hAnsi="Arial"/>
                <w:b w:val="0"/>
                <w:sz w:val="22"/>
              </w:rPr>
              <w:t xml:space="preserve">desfecho do processo:</w:t>
            </w:r>
            <w:r>
              <w:rPr>
                <w:rFonts w:ascii="Arial" w:hAnsi="Arial"/>
                <w:b w:val="0"/>
                <w:sz w:val="22"/>
              </w:rPr>
              <w:t xml:space="preserve"> </w:t>
            </w:r>
            <w:r>
              <w:rPr>
                <w:rFonts w:ascii="Arial" w:hAnsi="Arial"/>
                <w:b w:val="0"/>
                <w:sz w:val="22"/>
              </w:rPr>
              <w:t xml:space="preserve">entra só no degrau de limite inferior</w:t>
            </w:r>
          </w:p>
        </w:tc>
      </w:tr>
      <w:tr>
        <w:trPr>
          <w:cantSplit/>
        </w:trPr>
        <w:tc>
          <w:tcPr>
            <w:tcW w:type="dxa" w:w="2169"/>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Vínculo e ocupação</w:t>
            </w:r>
          </w:p>
        </w:tc>
        <w:tc>
          <w:tcPr>
            <w:tcW w:type="dxa" w:w="3564"/>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limite inferior (M4)</w:t>
            </w:r>
          </w:p>
        </w:tc>
        <w:tc>
          <w:tcPr>
            <w:tcW w:type="dxa" w:w="3337"/>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limite inferior (A3); a ocupação não entra,</w:t>
            </w:r>
            <w:r>
              <w:rPr>
                <w:rFonts w:ascii="Arial" w:hAnsi="Arial"/>
                <w:b w:val="0"/>
                <w:sz w:val="22"/>
              </w:rPr>
              <w:t xml:space="preserve"> </w:t>
            </w:r>
            <w:r>
              <w:rPr>
                <w:rFonts w:ascii="Arial" w:hAnsi="Arial"/>
                <w:b w:val="0"/>
                <w:sz w:val="22"/>
              </w:rPr>
              <w:t xml:space="preserve">pois é o próprio desfecho</w:t>
            </w:r>
          </w:p>
        </w:tc>
      </w:tr>
    </w:tbl>
    <w:bookmarkEnd w:id="41"/>
    <w:p>
      <w:pPr>
        <w:pStyle w:val="BodyText"/>
        <w:spacing w:line="240" w:lineRule="auto" w:before="40" w:after="240"/>
        <w:ind w:firstLine="0"/>
        <w:jc w:val="both"/>
      </w:pPr>
      <w:r>
        <w:rPr>
          <w:rFonts w:ascii="Arial" w:hAnsi="Arial"/>
          <w:sz w:val="22"/>
        </w:rPr>
        <w:t xml:space="preserve">Fonte: Resultados originais da pesquisa.</w:t>
      </w:r>
    </w:p>
    <w:p>
      <w:pPr>
        <w:pStyle w:val="BodyText"/>
        <w:spacing w:line="360" w:lineRule="auto" w:after="0"/>
        <w:ind w:firstLine="709"/>
        <w:jc w:val="both"/>
      </w:pPr>
      <w:r>
        <w:rPr>
          <w:rFonts w:ascii="Arial" w:hAnsi="Arial"/>
          <w:sz w:val="22"/>
        </w:rPr>
        <w:t xml:space="preserve">Dito de outro modo: 5,6% é onde a régua termina, não onde o gap</w:t>
      </w:r>
      <w:r>
        <w:rPr>
          <w:rFonts w:ascii="Arial" w:hAnsi="Arial"/>
          <w:sz w:val="22"/>
        </w:rPr>
        <w:t xml:space="preserve"> </w:t>
      </w:r>
      <w:r>
        <w:rPr>
          <w:rFonts w:ascii="Arial" w:hAnsi="Arial"/>
          <w:sz w:val="22"/>
        </w:rPr>
        <w:t xml:space="preserve">verdadeiro está. O número deste trabalho é o gap líquido de 6,1% do M3; o</w:t>
      </w:r>
      <w:r>
        <w:rPr>
          <w:rFonts w:ascii="Arial" w:hAnsi="Arial"/>
          <w:sz w:val="22"/>
        </w:rPr>
        <w:t xml:space="preserve"> </w:t>
      </w:r>
      <w:r>
        <w:rPr>
          <w:rFonts w:ascii="Arial" w:hAnsi="Arial"/>
          <w:sz w:val="22"/>
        </w:rPr>
        <w:t xml:space="preserve">5,6% mede o que sobra depois de descontar um canal que é ele próprio</w:t>
      </w:r>
      <w:r>
        <w:rPr>
          <w:rFonts w:ascii="Arial" w:hAnsi="Arial"/>
          <w:sz w:val="22"/>
        </w:rPr>
        <w:t xml:space="preserve"> </w:t>
      </w:r>
      <w:r>
        <w:rPr>
          <w:rFonts w:ascii="Arial" w:hAnsi="Arial"/>
          <w:sz w:val="22"/>
        </w:rPr>
        <w:t xml:space="preserve">discriminatório.</w:t>
      </w:r>
    </w:p>
    <w:p>
      <w:pPr>
        <w:pStyle w:val="BodyText"/>
        <w:spacing w:line="360" w:lineRule="auto" w:after="0"/>
        <w:ind w:firstLine="709"/>
        <w:jc w:val="both"/>
      </w:pPr>
      <w:r>
        <w:rPr>
          <w:rFonts w:ascii="Arial" w:hAnsi="Arial"/>
          <w:b/>
          <w:bCs/>
          <w:sz w:val="22"/>
        </w:rPr>
        <w:t xml:space="preserve">A penalidade não é a mesma em todo bairro.</w:t>
      </w:r>
      <w:r>
        <w:rPr>
          <w:rFonts w:ascii="Arial" w:hAnsi="Arial"/>
          <w:sz w:val="22"/>
        </w:rPr>
        <w:t xml:space="preserve"> </w:t>
      </w:r>
      <w:r>
        <w:rPr>
          <w:rFonts w:ascii="Arial" w:hAnsi="Arial"/>
          <w:sz w:val="22"/>
        </w:rPr>
        <w:t xml:space="preserve">Até aqui a penalidade racial foi tratada como um número único. Deixá-la variar de bairro</w:t>
      </w:r>
      <w:r>
        <w:rPr>
          <w:rFonts w:ascii="Arial" w:hAnsi="Arial"/>
          <w:sz w:val="22"/>
        </w:rPr>
        <w:t xml:space="preserve"> </w:t>
      </w:r>
      <w:r>
        <w:rPr>
          <w:rFonts w:ascii="Arial" w:hAnsi="Arial"/>
          <w:sz w:val="22"/>
        </w:rPr>
        <w:t xml:space="preserve">para bairro melhora significativamente o ajuste (LR</w:t>
      </w:r>
      <w:r>
        <w:rPr>
          <w:rFonts w:ascii="Arial" w:hAnsi="Arial"/>
          <w:sz w:val="22"/>
        </w:rPr>
        <w:t xml:space="preserve"> </w:t>
      </w:r>
      <m:oMath>
        <m:r>
          <m:rPr>
            <m:sty m:val="p"/>
          </m:rPr>
          <m:t>=</m:t>
        </m:r>
      </m:oMath>
      <w:r>
        <w:rPr>
          <w:rFonts w:ascii="Arial" w:hAnsi="Arial"/>
          <w:sz w:val="22"/>
        </w:rPr>
        <w:t xml:space="preserve"> </w:t>
      </w:r>
      <w:r>
        <w:rPr>
          <w:rFonts w:ascii="Arial" w:hAnsi="Arial"/>
          <w:sz w:val="22"/>
        </w:rPr>
        <w:t xml:space="preserve">26.267, 2 g.l.,</w:t>
      </w:r>
      <w:r>
        <w:rPr>
          <w:rFonts w:ascii="Arial" w:hAnsi="Arial"/>
          <w:sz w:val="22"/>
        </w:rPr>
        <w:t xml:space="preserve"> </w:t>
      </w:r>
      <m:oMath>
        <m:r>
          <m:t>p</m:t>
        </m:r>
        <m:r>
          <m:rPr>
            <m:sty m:val="p"/>
          </m:rPr>
          <m:t>&lt;</m:t>
        </m:r>
        <m:r>
          <m:t>0</m:t>
        </m:r>
        <m:r>
          <m:rPr>
            <m:sty m:val="p"/>
          </m:rPr>
          <m:t>,</m:t>
        </m:r>
        <m:r>
          <m:t>001</m:t>
        </m:r>
      </m:oMath>
      <w:r>
        <w:rPr>
          <w:rFonts w:ascii="Arial" w:hAnsi="Arial"/>
          <w:sz w:val="22"/>
        </w:rPr>
        <w:t xml:space="preserve">), e o desvio-padrão dessa variação é de 0,145</w:t>
      </w:r>
      <w:r>
        <w:rPr>
          <w:rFonts w:ascii="Arial" w:hAnsi="Arial"/>
          <w:sz w:val="22"/>
        </w:rPr>
        <w:t xml:space="preserve"> </w:t>
      </w:r>
      <w:r>
        <w:rPr>
          <w:rFonts w:ascii="Arial" w:hAnsi="Arial"/>
          <w:sz w:val="22"/>
        </w:rPr>
        <w:t xml:space="preserve">log-pontos</w:t>
      </w:r>
      <w:r>
        <w:rPr>
          <w:rStyle w:val="FootnoteReference"/>
          <w:rFonts w:ascii="Arial" w:hAnsi="Arial"/>
          <w:sz w:val="22"/>
          <w:vertAlign w:val="superscript"/>
        </w:rPr>
        <w:footnoteReference w:id="42"/>
      </w:r>
      <w:r>
        <w:rPr>
          <w:rFonts w:ascii="Arial" w:hAnsi="Arial"/>
          <w:sz w:val="22"/>
        </w:rPr>
        <w:t xml:space="preserve">. Em bairros a um desvio-padrão de cada lado da</w:t>
      </w:r>
      <w:r>
        <w:rPr>
          <w:rFonts w:ascii="Arial" w:hAnsi="Arial"/>
          <w:sz w:val="22"/>
        </w:rPr>
        <w:t xml:space="preserve"> </w:t>
      </w:r>
      <w:r>
        <w:rPr>
          <w:rFonts w:ascii="Arial" w:hAnsi="Arial"/>
          <w:sz w:val="22"/>
        </w:rPr>
        <w:t xml:space="preserve">média, a penalidade vai de −0,211 a 0,079 log-pontos: há bairros em que o</w:t>
      </w:r>
      <w:r>
        <w:rPr>
          <w:rFonts w:ascii="Arial" w:hAnsi="Arial"/>
          <w:sz w:val="22"/>
        </w:rPr>
        <w:t xml:space="preserve"> </w:t>
      </w:r>
      <w:r>
        <w:rPr>
          <w:rFonts w:ascii="Arial" w:hAnsi="Arial"/>
          <w:sz w:val="22"/>
        </w:rPr>
        <w:t xml:space="preserve">diferencial é mais do que o dobro da média e bairros em que ele se inverte. A</w:t>
      </w:r>
      <w:r>
        <w:rPr>
          <w:rFonts w:ascii="Arial" w:hAnsi="Arial"/>
          <w:sz w:val="22"/>
        </w:rPr>
        <w:t xml:space="preserve"> </w:t>
      </w:r>
      <w:r>
        <w:rPr>
          <w:rFonts w:ascii="Arial" w:hAnsi="Arial"/>
          <w:sz w:val="22"/>
        </w:rPr>
        <w:t xml:space="preserve">discriminação salarial tem geografia — e a covariância entre intercepto e inclinação</w:t>
      </w:r>
      <w:r>
        <w:rPr>
          <w:rFonts w:ascii="Arial" w:hAnsi="Arial"/>
          <w:sz w:val="22"/>
        </w:rPr>
        <w:t xml:space="preserve"> </w:t>
      </w:r>
      <w:r>
        <w:rPr>
          <w:rFonts w:ascii="Arial" w:hAnsi="Arial"/>
          <w:sz w:val="22"/>
        </w:rPr>
        <w:t xml:space="preserve">(−0,0157) indica que a penalidade é maior nos bairros de renda-base</w:t>
      </w:r>
      <w:r>
        <w:rPr>
          <w:rFonts w:ascii="Arial" w:hAnsi="Arial"/>
          <w:sz w:val="22"/>
        </w:rPr>
        <w:t xml:space="preserve"> </w:t>
      </w:r>
      <w:r>
        <w:rPr>
          <w:rFonts w:ascii="Arial" w:hAnsi="Arial"/>
          <w:sz w:val="22"/>
        </w:rPr>
        <w:t xml:space="preserve">mais alta. A Figura 1 contrasta os efeitos fixos de estado com os</w:t>
      </w:r>
      <w:r>
        <w:rPr>
          <w:rFonts w:ascii="Arial" w:hAnsi="Arial"/>
          <w:sz w:val="22"/>
        </w:rPr>
        <w:t xml:space="preserve"> </w:t>
      </w:r>
      <w:r>
        <w:rPr>
          <w:rFonts w:ascii="Arial" w:hAnsi="Arial"/>
          <w:sz w:val="22"/>
        </w:rPr>
        <w:t xml:space="preserve">interceptos estimados para os bairros, e a Figura 2 mostra a reta de</w:t>
      </w:r>
      <w:r>
        <w:rPr>
          <w:rFonts w:ascii="Arial" w:hAnsi="Arial"/>
          <w:sz w:val="22"/>
        </w:rPr>
        <w:t xml:space="preserve"> </w:t>
      </w:r>
      <w:r>
        <w:rPr>
          <w:rFonts w:ascii="Arial" w:hAnsi="Arial"/>
          <w:sz w:val="22"/>
        </w:rPr>
        <w:t xml:space="preserve">cada bairro.</w:t>
      </w:r>
    </w:p>
    <w:bookmarkStart w:id="46" w:name="fig:hlm_blups"/>
    <w:p>
      <w:pPr>
        <w:pStyle w:val="CaptionedFigure"/>
        <w:keepNext/>
        <w:keepLines/>
      </w:pPr>
      <w:r>
        <w:rPr>
          <w:rFonts w:ascii="Arial" w:hAnsi="Arial"/>
          <w:sz w:val="22"/>
        </w:rPr>
        <w:drawing>
          <wp:inline>
            <wp:extent cx="5753100" cy="2573415"/>
            <wp:effectExtent b="0" l="0" r="0" t="0"/>
            <wp:docPr descr="" title="" id="44" name="Picture"/>
            <a:graphic>
              <a:graphicData uri="http://schemas.openxmlformats.org/drawingml/2006/picture">
                <pic:pic>
                  <pic:nvPicPr>
                    <pic:cNvPr descr="outputs/figures/hlm_efeitos_uf_blup_upa.png" id="45" name="Picture"/>
                    <pic:cNvPicPr>
                      <a:picLocks noChangeArrowheads="1" noChangeAspect="1"/>
                    </pic:cNvPicPr>
                  </pic:nvPicPr>
                  <pic:blipFill>
                    <a:blip r:embed="rId43"/>
                    <a:stretch>
                      <a:fillRect/>
                    </a:stretch>
                  </pic:blipFill>
                  <pic:spPr bwMode="auto">
                    <a:xfrm>
                      <a:off x="0" y="0"/>
                      <a:ext cx="5753100" cy="2573415"/>
                    </a:xfrm>
                    <a:prstGeom prst="rect">
                      <a:avLst/>
                    </a:prstGeom>
                    <a:noFill/>
                    <a:ln w="9525">
                      <a:noFill/>
                      <a:headEnd/>
                      <a:tailEnd/>
                    </a:ln>
                  </pic:spPr>
                </pic:pic>
              </a:graphicData>
            </a:graphic>
          </wp:inline>
        </w:drawing>
      </w:r>
    </w:p>
    <w:p>
      <w:pPr>
        <w:pStyle w:val="ImageCaption"/>
        <w:keepNext/>
        <w:keepLines/>
        <w:spacing w:line="240" w:lineRule="auto" w:before="240" w:after="40"/>
        <w:ind w:firstLine="0"/>
        <w:jc w:val="both"/>
      </w:pPr>
      <w:r>
        <w:rPr>
          <w:rFonts w:ascii="Arial" w:hAnsi="Arial"/>
          <w:sz w:val="22"/>
        </w:rPr>
        <w:t xml:space="preserve">Figura 1. A variação entre bairros supera a variação entre estados. À esquerda, os</w:t>
      </w:r>
      <w:r>
        <w:rPr>
          <w:rFonts w:ascii="Arial" w:hAnsi="Arial"/>
          <w:sz w:val="22"/>
        </w:rPr>
        <w:t xml:space="preserve"> </w:t>
      </w:r>
      <w:r>
        <w:rPr>
          <w:rFonts w:ascii="Arial" w:hAnsi="Arial"/>
          <w:sz w:val="22"/>
        </w:rPr>
        <w:t xml:space="preserve">efeitos fixos de UF do M3 com IC 95% (referência: primeira UF); à direita, a</w:t>
      </w:r>
      <w:r>
        <w:rPr>
          <w:rFonts w:ascii="Arial" w:hAnsi="Arial"/>
          <w:sz w:val="22"/>
        </w:rPr>
        <w:t xml:space="preserve"> </w:t>
      </w:r>
      <w:r>
        <w:rPr>
          <w:rFonts w:ascii="Arial" w:hAnsi="Arial"/>
          <w:sz w:val="22"/>
        </w:rPr>
        <w:t xml:space="preserve">distribuição dos interceptos aleatórios das UPAs (</w:t>
      </w:r>
      <m:oMath>
        <m:sSub>
          <m:e>
            <m:r>
              <m:t>u</m:t>
            </m:r>
          </m:e>
          <m:sub>
            <m:r>
              <m:t>0</m:t>
            </m:r>
            <m:r>
              <m:t>j</m:t>
            </m:r>
          </m:sub>
        </m:sSub>
      </m:oMath>
      <w:r>
        <w:rPr>
          <w:rFonts w:ascii="Arial" w:hAnsi="Arial"/>
          <w:sz w:val="22"/>
        </w:rPr>
        <w:t xml:space="preserve">, BLUPs do M3).</w:t>
      </w:r>
    </w:p>
    <w:bookmarkEnd w:id="46"/>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Figura 1: cada ponto à esquerda é um estado;</w:t>
      </w:r>
      <w:r>
        <w:rPr>
          <w:rFonts w:ascii="Arial" w:hAnsi="Arial"/>
          <w:sz w:val="22"/>
        </w:rPr>
        <w:t xml:space="preserve"> </w:t>
      </w:r>
      <w:r>
        <w:rPr>
          <w:rFonts w:ascii="Arial" w:hAnsi="Arial"/>
          <w:sz w:val="22"/>
        </w:rPr>
        <w:t xml:space="preserve">a largura do histograma à direita é o quanto a renda-base muda de um bairro para outro,</w:t>
      </w:r>
      <w:r>
        <w:rPr>
          <w:rFonts w:ascii="Arial" w:hAnsi="Arial"/>
          <w:sz w:val="22"/>
        </w:rPr>
        <w:t xml:space="preserve"> </w:t>
      </w:r>
      <w:r>
        <w:rPr>
          <w:rFonts w:ascii="Arial" w:hAnsi="Arial"/>
          <w:sz w:val="22"/>
        </w:rPr>
        <w:t xml:space="preserve">já descontados capital humano, contexto e estado.</w:t>
      </w:r>
    </w:p>
    <w:bookmarkStart w:id="50" w:name="fig:hlm_rs"/>
    <w:p>
      <w:pPr>
        <w:pStyle w:val="CaptionedFigure"/>
        <w:keepNext/>
        <w:keepLines/>
      </w:pPr>
      <w:r>
        <w:rPr>
          <w:rFonts w:ascii="Arial" w:hAnsi="Arial"/>
          <w:sz w:val="22"/>
        </w:rPr>
        <w:drawing>
          <wp:inline>
            <wp:extent cx="5753100" cy="2510443"/>
            <wp:effectExtent b="0" l="0" r="0" t="0"/>
            <wp:docPr descr="" title="" id="48" name="Picture"/>
            <a:graphic>
              <a:graphicData uri="http://schemas.openxmlformats.org/drawingml/2006/picture">
                <pic:pic>
                  <pic:nvPicPr>
                    <pic:cNvPr descr="outputs/figures/hlm_rs_retas_upa.png" id="49" name="Picture"/>
                    <pic:cNvPicPr>
                      <a:picLocks noChangeArrowheads="1" noChangeAspect="1"/>
                    </pic:cNvPicPr>
                  </pic:nvPicPr>
                  <pic:blipFill>
                    <a:blip r:embed="rId47"/>
                    <a:stretch>
                      <a:fillRect/>
                    </a:stretch>
                  </pic:blipFill>
                  <pic:spPr bwMode="auto">
                    <a:xfrm>
                      <a:off x="0" y="0"/>
                      <a:ext cx="5753100" cy="2510443"/>
                    </a:xfrm>
                    <a:prstGeom prst="rect">
                      <a:avLst/>
                    </a:prstGeom>
                    <a:noFill/>
                    <a:ln w="9525">
                      <a:noFill/>
                      <a:headEnd/>
                      <a:tailEnd/>
                    </a:ln>
                  </pic:spPr>
                </pic:pic>
              </a:graphicData>
            </a:graphic>
          </wp:inline>
        </w:drawing>
      </w:r>
    </w:p>
    <w:p>
      <w:pPr>
        <w:pStyle w:val="ImageCaption"/>
        <w:keepNext/>
        <w:keepLines/>
        <w:spacing w:line="240" w:lineRule="auto" w:before="240" w:after="40"/>
        <w:ind w:firstLine="0"/>
        <w:jc w:val="both"/>
      </w:pPr>
      <w:r>
        <w:rPr>
          <w:rFonts w:ascii="Arial" w:hAnsi="Arial"/>
          <w:sz w:val="22"/>
        </w:rPr>
        <w:t xml:space="preserve">Figura 2. Nos bairros de renda mais alta, a penalidade racial é maior. M3 com</w:t>
      </w:r>
      <w:r>
        <w:rPr>
          <w:rFonts w:ascii="Arial" w:hAnsi="Arial"/>
          <w:sz w:val="22"/>
        </w:rPr>
        <w:t xml:space="preserve"> </w:t>
      </w:r>
      <w:r>
        <w:rPr>
          <w:rFonts w:ascii="Arial" w:hAnsi="Arial"/>
          <w:sz w:val="22"/>
        </w:rPr>
        <w:t xml:space="preserve">intercepto e inclinação de</w:t>
      </w:r>
      <w:r>
        <w:rPr>
          <w:rFonts w:ascii="Arial" w:hAnsi="Arial"/>
          <w:sz w:val="22"/>
        </w:rPr>
        <w:t xml:space="preserve"> </w:t>
      </w:r>
      <w:r>
        <w:rPr>
          <w:rStyle w:val="VerbatimChar"/>
          <w:rFonts w:ascii="Arial" w:hAnsi="Arial"/>
          <w:sz w:val="22"/>
        </w:rPr>
        <w:t xml:space="preserve">negro</w:t>
      </w:r>
      <w:r>
        <w:rPr>
          <w:rFonts w:ascii="Arial" w:hAnsi="Arial"/>
          <w:sz w:val="22"/>
        </w:rPr>
        <w:t xml:space="preserve"> </w:t>
      </w:r>
      <w:r>
        <w:rPr>
          <w:rFonts w:ascii="Arial" w:hAnsi="Arial"/>
          <w:sz w:val="22"/>
        </w:rPr>
        <w:t xml:space="preserve">aleatórios por UPA: à esquerda, a reta ajustada</w:t>
      </w:r>
      <w:r>
        <w:rPr>
          <w:rFonts w:ascii="Arial" w:hAnsi="Arial"/>
          <w:sz w:val="22"/>
        </w:rPr>
        <w:t xml:space="preserve"> </w:t>
      </w:r>
      <w:r>
        <w:rPr>
          <w:rFonts w:ascii="Arial" w:hAnsi="Arial"/>
          <w:sz w:val="22"/>
        </w:rPr>
        <w:t xml:space="preserve">de cada bairro (amostra de 250 UPAs com brancos e negros) e, em azul, a média; à direita,</w:t>
      </w:r>
      <w:r>
        <w:rPr>
          <w:rFonts w:ascii="Arial" w:hAnsi="Arial"/>
          <w:sz w:val="22"/>
        </w:rPr>
        <w:t xml:space="preserve"> </w:t>
      </w:r>
      <w:r>
        <w:rPr>
          <w:rFonts w:ascii="Arial" w:hAnsi="Arial"/>
          <w:sz w:val="22"/>
        </w:rPr>
        <w:t xml:space="preserve">os BLUPs</w:t>
      </w:r>
      <w:r>
        <w:rPr>
          <w:rFonts w:ascii="Arial" w:hAnsi="Arial"/>
          <w:sz w:val="22"/>
        </w:rPr>
        <w:t xml:space="preserve"> </w:t>
      </w:r>
      <m:oMath>
        <m:sSub>
          <m:e>
            <m:r>
              <m:t>u</m:t>
            </m:r>
          </m:e>
          <m:sub>
            <m:r>
              <m:t>0</m:t>
            </m:r>
            <m:r>
              <m:t>j</m:t>
            </m:r>
          </m:sub>
        </m:sSub>
      </m:oMath>
      <w:r>
        <w:rPr>
          <w:rFonts w:ascii="Arial" w:hAnsi="Arial"/>
          <w:sz w:val="22"/>
        </w:rPr>
        <w:t xml:space="preserve"> </w:t>
      </w:r>
      <w:r>
        <w:rPr>
          <w:rFonts w:ascii="Arial" w:hAnsi="Arial"/>
          <w:sz w:val="22"/>
        </w:rPr>
        <w:t xml:space="preserve">e</w:t>
      </w:r>
      <w:r>
        <w:rPr>
          <w:rFonts w:ascii="Arial" w:hAnsi="Arial"/>
          <w:sz w:val="22"/>
        </w:rPr>
        <w:t xml:space="preserve"> </w:t>
      </w:r>
      <m:oMath>
        <m:sSub>
          <m:e>
            <m:r>
              <m:t>u</m:t>
            </m:r>
          </m:e>
          <m:sub>
            <m:r>
              <m:t>1</m:t>
            </m:r>
            <m:r>
              <m:t>j</m:t>
            </m:r>
          </m:sub>
        </m:sSub>
      </m:oMath>
      <w:r>
        <w:rPr>
          <w:rFonts w:ascii="Arial" w:hAnsi="Arial"/>
          <w:sz w:val="22"/>
        </w:rPr>
        <w:t xml:space="preserve"> </w:t>
      </w:r>
      <w:r>
        <w:rPr>
          <w:rFonts w:ascii="Arial" w:hAnsi="Arial"/>
          <w:sz w:val="22"/>
        </w:rPr>
        <w:t xml:space="preserve">das 40.728 UPAs, com correlação estimada de</w:t>
      </w:r>
      <w:r>
        <w:rPr>
          <w:rFonts w:ascii="Arial" w:hAnsi="Arial"/>
          <w:sz w:val="22"/>
        </w:rPr>
        <w:t xml:space="preserve"> </w:t>
      </w:r>
      <w:r>
        <w:rPr>
          <w:rFonts w:ascii="Arial" w:hAnsi="Arial"/>
          <w:sz w:val="22"/>
        </w:rPr>
        <w:t xml:space="preserve">−0</w:t>
      </w:r>
      <w:r>
        <w:rPr>
          <w:rFonts w:ascii="Arial" w:hAnsi="Arial"/>
          <w:sz w:val="22"/>
        </w:rPr>
        <w:t xml:space="preserve">,</w:t>
      </w:r>
      <w:r>
        <w:rPr>
          <w:rFonts w:ascii="Arial" w:hAnsi="Arial"/>
          <w:sz w:val="22"/>
        </w:rPr>
        <w:t xml:space="preserve">53.</w:t>
      </w:r>
    </w:p>
    <w:bookmarkEnd w:id="50"/>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Figura 2: à esquerda, a altura de cada reta é a</w:t>
      </w:r>
      <w:r>
        <w:rPr>
          <w:rFonts w:ascii="Arial" w:hAnsi="Arial"/>
          <w:sz w:val="22"/>
        </w:rPr>
        <w:t xml:space="preserve"> </w:t>
      </w:r>
      <w:r>
        <w:rPr>
          <w:rFonts w:ascii="Arial" w:hAnsi="Arial"/>
          <w:sz w:val="22"/>
        </w:rPr>
        <w:t xml:space="preserve">renda-base do bairro e a inclinação é a penalidade racial dentro dele — retas que descem</w:t>
      </w:r>
      <w:r>
        <w:rPr>
          <w:rFonts w:ascii="Arial" w:hAnsi="Arial"/>
          <w:sz w:val="22"/>
        </w:rPr>
        <w:t xml:space="preserve"> </w:t>
      </w:r>
      <w:r>
        <w:rPr>
          <w:rFonts w:ascii="Arial" w:hAnsi="Arial"/>
          <w:sz w:val="22"/>
        </w:rPr>
        <w:t xml:space="preserve">mais são bairros que penalizam mais. À direita, cada ponto é um bairro, e a reta azul resume a</w:t>
      </w:r>
      <w:r>
        <w:rPr>
          <w:rFonts w:ascii="Arial" w:hAnsi="Arial"/>
          <w:sz w:val="22"/>
        </w:rPr>
        <w:t xml:space="preserve"> </w:t>
      </w:r>
      <w:r>
        <w:rPr>
          <w:rFonts w:ascii="Arial" w:hAnsi="Arial"/>
          <w:sz w:val="22"/>
        </w:rPr>
        <w:t xml:space="preserve">relação: se ela desce, bairros de renda-base maior têm inclinação mais negativa, isto é,</w:t>
      </w:r>
      <w:r>
        <w:rPr>
          <w:rFonts w:ascii="Arial" w:hAnsi="Arial"/>
          <w:sz w:val="22"/>
        </w:rPr>
        <w:t xml:space="preserve"> </w:t>
      </w:r>
      <w:r>
        <w:rPr>
          <w:rFonts w:ascii="Arial" w:hAnsi="Arial"/>
          <w:sz w:val="22"/>
        </w:rPr>
        <w:t xml:space="preserve">penalizam mais.</w:t>
      </w:r>
    </w:p>
    <w:p>
      <w:pPr>
        <w:pStyle w:val="BodyText"/>
        <w:spacing w:line="360" w:lineRule="auto" w:after="0"/>
        <w:ind w:firstLine="709"/>
        <w:jc w:val="both"/>
      </w:pPr>
      <w:r>
        <w:rPr>
          <w:rFonts w:ascii="Arial" w:hAnsi="Arial"/>
          <w:b/>
          <w:bCs/>
          <w:sz w:val="22"/>
        </w:rPr>
        <w:t xml:space="preserve">A penalidade ao longo da escada educacional.</w:t>
      </w:r>
      <w:r>
        <w:rPr>
          <w:rFonts w:ascii="Arial" w:hAnsi="Arial"/>
          <w:sz w:val="22"/>
        </w:rPr>
        <w:t xml:space="preserve"> </w:t>
      </w:r>
      <w:r>
        <w:rPr>
          <w:rFonts w:ascii="Arial" w:hAnsi="Arial"/>
          <w:sz w:val="22"/>
        </w:rPr>
        <w:t xml:space="preserve">O M3 impõe uma única penalidade racial a todos os níveis de escolaridade. Reestimado com o</w:t>
      </w:r>
      <w:r>
        <w:rPr>
          <w:rFonts w:ascii="Arial" w:hAnsi="Arial"/>
          <w:sz w:val="22"/>
        </w:rPr>
        <w:t xml:space="preserve"> </w:t>
      </w:r>
      <w:r>
        <w:rPr>
          <w:rFonts w:ascii="Arial" w:hAnsi="Arial"/>
          <w:sz w:val="22"/>
        </w:rPr>
        <w:t xml:space="preserve">coeficiente de raça livre em cada nível — mesma especificação, mesma população —, ele mostra</w:t>
      </w:r>
      <w:r>
        <w:rPr>
          <w:rFonts w:ascii="Arial" w:hAnsi="Arial"/>
          <w:sz w:val="22"/>
        </w:rPr>
        <w:t xml:space="preserve"> </w:t>
      </w:r>
      <w:r>
        <w:rPr>
          <w:rFonts w:ascii="Arial" w:hAnsi="Arial"/>
          <w:sz w:val="22"/>
        </w:rPr>
        <w:t xml:space="preserve">que a penalidade condicional diminui da base para o topo da escada: 9</w:t>
      </w:r>
      <w:r>
        <w:rPr>
          <w:rFonts w:ascii="Arial" w:hAnsi="Arial"/>
          <w:sz w:val="22"/>
        </w:rPr>
        <w:t xml:space="preserve">,</w:t>
      </w:r>
      <w:r>
        <w:rPr>
          <w:rFonts w:ascii="Arial" w:hAnsi="Arial"/>
          <w:sz w:val="22"/>
        </w:rPr>
        <w:t xml:space="preserve">6% entre quem está sem fundamental completo e 1</w:t>
      </w:r>
      <w:r>
        <w:rPr>
          <w:rFonts w:ascii="Arial" w:hAnsi="Arial"/>
          <w:sz w:val="22"/>
        </w:rPr>
        <w:t xml:space="preserve">,</w:t>
      </w:r>
      <w:r>
        <w:rPr>
          <w:rFonts w:ascii="Arial" w:hAnsi="Arial"/>
          <w:sz w:val="22"/>
        </w:rPr>
        <w:t xml:space="preserve">1% entre quem está com pós-graduação. O teste de razão de verossimilhança contra o M3, que impõe uma penalidade única, rejeita a igualdade entre os níveis (LR</w:t>
      </w:r>
      <w:r>
        <w:rPr>
          <w:rFonts w:ascii="Arial" w:hAnsi="Arial"/>
          <w:sz w:val="22"/>
        </w:rPr>
        <w:t xml:space="preserve"> </w:t>
      </w:r>
      <m:oMath>
        <m:r>
          <m:rPr>
            <m:sty m:val="p"/>
          </m:rPr>
          <m:t>=</m:t>
        </m:r>
        <m:r>
          <m:t>3319</m:t>
        </m:r>
      </m:oMath>
      <w:r>
        <w:rPr>
          <w:rFonts w:ascii="Arial" w:hAnsi="Arial"/>
          <w:sz w:val="22"/>
        </w:rPr>
        <w:t xml:space="preserve">, 4 g.l.,</w:t>
      </w:r>
      <w:r>
        <w:rPr>
          <w:rFonts w:ascii="Arial" w:hAnsi="Arial"/>
          <w:sz w:val="22"/>
        </w:rPr>
        <w:t xml:space="preserve"> </w:t>
      </w:r>
      <m:oMath>
        <m:r>
          <m:t>p</m:t>
        </m:r>
        <m:r>
          <m:rPr>
            <m:sty m:val="p"/>
          </m:rPr>
          <m:t>&lt;</m:t>
        </m:r>
        <m:r>
          <m:t>0</m:t>
        </m:r>
        <m:r>
          <m:rPr>
            <m:sty m:val="p"/>
          </m:rPr>
          <m:t>,</m:t>
        </m:r>
        <m:r>
          <m:t>001</m:t>
        </m:r>
      </m:oMath>
      <w:r>
        <w:rPr>
          <w:rFonts w:ascii="Arial" w:hAnsi="Arial"/>
          <w:sz w:val="22"/>
        </w:rPr>
        <w:t xml:space="preserve">). Sem controles, o gap mediano é de 14</w:t>
      </w:r>
      <w:r>
        <w:rPr>
          <w:rFonts w:ascii="Arial" w:hAnsi="Arial"/>
          <w:sz w:val="22"/>
        </w:rPr>
        <w:t xml:space="preserve">,</w:t>
      </w:r>
      <w:r>
        <w:rPr>
          <w:rFonts w:ascii="Arial" w:hAnsi="Arial"/>
          <w:sz w:val="22"/>
        </w:rPr>
        <w:t xml:space="preserve">1% sem fundamental completo e de 26</w:t>
      </w:r>
      <w:r>
        <w:rPr>
          <w:rFonts w:ascii="Arial" w:hAnsi="Arial"/>
          <w:sz w:val="22"/>
        </w:rPr>
        <w:t xml:space="preserve">,</w:t>
      </w:r>
      <w:r>
        <w:rPr>
          <w:rFonts w:ascii="Arial" w:hAnsi="Arial"/>
          <w:sz w:val="22"/>
        </w:rPr>
        <w:t xml:space="preserve">1% com pós-graduação; a diferença entre o bruto e o condicional, em cada nível, é o que idade, sexo, jornada, bairro e estado explicam ali. A composição também difere: os negros são 67% de quem está sem fundamental completo e 37% de quem está com pós-graduação. Como no restante do trabalho, são diferenças condicionais entre pessoas comparáveis, não o efeito de estudar mais.</w:t>
      </w:r>
    </w:p>
    <w:bookmarkStart w:id="54" w:name="fig:hlm_negro_educ"/>
    <w:p>
      <w:pPr>
        <w:pStyle w:val="CaptionedFigure"/>
        <w:keepNext/>
        <w:keepLines/>
      </w:pPr>
      <w:r>
        <w:rPr>
          <w:rFonts w:ascii="Arial" w:hAnsi="Arial"/>
          <w:sz w:val="22"/>
        </w:rPr>
        <w:drawing>
          <wp:inline>
            <wp:extent cx="5177790" cy="3634073"/>
            <wp:effectExtent b="0" l="0" r="0" t="0"/>
            <wp:docPr descr="" title="" id="52" name="Picture"/>
            <a:graphic>
              <a:graphicData uri="http://schemas.openxmlformats.org/drawingml/2006/picture">
                <pic:pic>
                  <pic:nvPicPr>
                    <pic:cNvPr descr="outputs/figures/hlm_negro_por_educ_retas.png" id="53" name="Picture"/>
                    <pic:cNvPicPr>
                      <a:picLocks noChangeArrowheads="1" noChangeAspect="1"/>
                    </pic:cNvPicPr>
                  </pic:nvPicPr>
                  <pic:blipFill>
                    <a:blip r:embed="rId51"/>
                    <a:stretch>
                      <a:fillRect/>
                    </a:stretch>
                  </pic:blipFill>
                  <pic:spPr bwMode="auto">
                    <a:xfrm>
                      <a:off x="0" y="0"/>
                      <a:ext cx="5177790" cy="3634073"/>
                    </a:xfrm>
                    <a:prstGeom prst="rect">
                      <a:avLst/>
                    </a:prstGeom>
                    <a:noFill/>
                    <a:ln w="9525">
                      <a:noFill/>
                      <a:headEnd/>
                      <a:tailEnd/>
                    </a:ln>
                  </pic:spPr>
                </pic:pic>
              </a:graphicData>
            </a:graphic>
          </wp:inline>
        </w:drawing>
      </w:r>
    </w:p>
    <w:p>
      <w:pPr>
        <w:pStyle w:val="ImageCaption"/>
        <w:keepNext/>
        <w:keepLines/>
        <w:spacing w:line="240" w:lineRule="auto" w:before="240" w:after="40"/>
        <w:ind w:firstLine="0"/>
        <w:jc w:val="both"/>
      </w:pPr>
      <w:r>
        <w:rPr>
          <w:rFonts w:ascii="Arial" w:hAnsi="Arial"/>
          <w:sz w:val="22"/>
        </w:rPr>
        <w:t xml:space="preserve">Figura 3. Retorno de cada nível de escolaridade e penalidade racial dentro dele: M3 do</w:t>
      </w:r>
      <w:r>
        <w:rPr>
          <w:rFonts w:ascii="Arial" w:hAnsi="Arial"/>
          <w:sz w:val="22"/>
        </w:rPr>
        <w:t xml:space="preserve"> </w:t>
      </w:r>
      <w:r>
        <w:rPr>
          <w:rFonts w:ascii="Arial" w:hAnsi="Arial"/>
          <w:sz w:val="22"/>
        </w:rPr>
        <w:t xml:space="preserve">núcleo com o coeficiente de raça estimado em cada nível.</w:t>
      </w:r>
    </w:p>
    <w:bookmarkEnd w:id="54"/>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Figura 3: cada reta é um nível de</w:t>
      </w:r>
      <w:r>
        <w:rPr>
          <w:rFonts w:ascii="Arial" w:hAnsi="Arial"/>
          <w:sz w:val="22"/>
        </w:rPr>
        <w:t xml:space="preserve"> </w:t>
      </w:r>
      <w:r>
        <w:rPr>
          <w:rFonts w:ascii="Arial" w:hAnsi="Arial"/>
          <w:sz w:val="22"/>
        </w:rPr>
        <w:t xml:space="preserve">escolaridade e vai do trabalhador branco (à esquerda) ao negro (à direita). A altura da reta</w:t>
      </w:r>
      <w:r>
        <w:rPr>
          <w:rFonts w:ascii="Arial" w:hAnsi="Arial"/>
          <w:sz w:val="22"/>
        </w:rPr>
        <w:t xml:space="preserve"> </w:t>
      </w:r>
      <w:r>
        <w:rPr>
          <w:rFonts w:ascii="Arial" w:hAnsi="Arial"/>
          <w:sz w:val="22"/>
        </w:rPr>
        <w:t xml:space="preserve">é o rendimento do nível em relação ao branco sem fundamental completo; a inclinação é a</w:t>
      </w:r>
      <w:r>
        <w:rPr>
          <w:rFonts w:ascii="Arial" w:hAnsi="Arial"/>
          <w:sz w:val="22"/>
        </w:rPr>
        <w:t xml:space="preserve"> </w:t>
      </w:r>
      <w:r>
        <w:rPr>
          <w:rFonts w:ascii="Arial" w:hAnsi="Arial"/>
          <w:sz w:val="22"/>
        </w:rPr>
        <w:t xml:space="preserve">penalidade racial dentro do nível, escrita à direita.</w:t>
      </w:r>
    </w:p>
    <w:p>
      <w:pPr>
        <w:pStyle w:val="BodyText"/>
        <w:spacing w:line="360" w:lineRule="auto" w:after="0"/>
        <w:ind w:firstLine="709"/>
        <w:jc w:val="both"/>
      </w:pPr>
      <w:r>
        <w:rPr>
          <w:rFonts w:ascii="Arial" w:hAnsi="Arial"/>
          <w:b/>
          <w:bCs/>
          <w:sz w:val="22"/>
        </w:rPr>
        <w:t xml:space="preserve">O gap verdadeiro está entre dois limites, e nenhum confundidor plausível o anula.</w:t>
      </w:r>
      <w:r>
        <w:rPr>
          <w:rFonts w:ascii="Arial" w:hAnsi="Arial"/>
          <w:sz w:val="22"/>
        </w:rPr>
        <w:t xml:space="preserve"> </w:t>
      </w:r>
      <w:r>
        <w:rPr>
          <w:rFonts w:ascii="Arial" w:hAnsi="Arial"/>
          <w:sz w:val="22"/>
        </w:rPr>
        <w:t xml:space="preserve">O coeficiente racial é uma associação condicional: pela fórmula do viés de variável</w:t>
      </w:r>
      <w:r>
        <w:rPr>
          <w:rFonts w:ascii="Arial" w:hAnsi="Arial"/>
          <w:sz w:val="22"/>
        </w:rPr>
        <w:t xml:space="preserve"> </w:t>
      </w:r>
      <w:r>
        <w:rPr>
          <w:rFonts w:ascii="Arial" w:hAnsi="Arial"/>
          <w:sz w:val="22"/>
        </w:rPr>
        <w:t xml:space="preserve">omitida</w:t>
      </w:r>
      <w:r>
        <w:rPr>
          <w:rFonts w:ascii="Arial" w:hAnsi="Arial"/>
          <w:sz w:val="22"/>
        </w:rPr>
        <w:t xml:space="preserve"> </w:t>
      </w:r>
      <w:r>
        <w:rPr>
          <w:rFonts w:ascii="Arial" w:hAnsi="Arial"/>
          <w:sz w:val="22"/>
        </w:rPr>
        <w:t xml:space="preserve">(Angrist; Pischke, 2009)</w:t>
      </w:r>
      <w:r>
        <w:rPr>
          <w:rFonts w:ascii="Arial" w:hAnsi="Arial"/>
          <w:sz w:val="22"/>
        </w:rPr>
        <w:t xml:space="preserve">, o coeficiente</w:t>
      </w:r>
      <w:r>
        <w:rPr>
          <w:rFonts w:ascii="Arial" w:hAnsi="Arial"/>
          <w:sz w:val="22"/>
        </w:rPr>
        <w:t xml:space="preserve"> </w:t>
      </w:r>
      <w:r>
        <w:rPr>
          <w:rFonts w:ascii="Arial" w:hAnsi="Arial"/>
          <w:sz w:val="22"/>
        </w:rPr>
        <w:t xml:space="preserve">“curto”</w:t>
      </w:r>
      <w:r>
        <w:rPr>
          <w:rFonts w:ascii="Arial" w:hAnsi="Arial"/>
          <w:sz w:val="22"/>
        </w:rPr>
        <w:t xml:space="preserve"> </w:t>
      </w:r>
      <w:r>
        <w:rPr>
          <w:rFonts w:ascii="Arial" w:hAnsi="Arial"/>
          <w:sz w:val="22"/>
        </w:rPr>
        <w:t xml:space="preserve">iguala o</w:t>
      </w:r>
      <w:r>
        <w:rPr>
          <w:rFonts w:ascii="Arial" w:hAnsi="Arial"/>
          <w:sz w:val="22"/>
        </w:rPr>
        <w:t xml:space="preserve"> </w:t>
      </w:r>
      <w:r>
        <w:rPr>
          <w:rFonts w:ascii="Arial" w:hAnsi="Arial"/>
          <w:sz w:val="22"/>
        </w:rPr>
        <w:t xml:space="preserve">“longo”</w:t>
      </w:r>
      <w:r>
        <w:rPr>
          <w:rFonts w:ascii="Arial" w:hAnsi="Arial"/>
          <w:sz w:val="22"/>
        </w:rPr>
        <w:t xml:space="preserve"> </w:t>
      </w:r>
      <w:r>
        <w:rPr>
          <w:rFonts w:ascii="Arial" w:hAnsi="Arial"/>
          <w:sz w:val="22"/>
        </w:rPr>
        <w:t xml:space="preserve">mais o efeito do</w:t>
      </w:r>
      <w:r>
        <w:rPr>
          <w:rFonts w:ascii="Arial" w:hAnsi="Arial"/>
          <w:sz w:val="22"/>
        </w:rPr>
        <w:t xml:space="preserve"> </w:t>
      </w:r>
      <w:r>
        <w:rPr>
          <w:rFonts w:ascii="Arial" w:hAnsi="Arial"/>
          <w:sz w:val="22"/>
        </w:rPr>
        <w:t xml:space="preserve">omitido vezes sua relação com a raça. Qualidade da escola, habilidade não observada e</w:t>
      </w:r>
      <w:r>
        <w:rPr>
          <w:rFonts w:ascii="Arial" w:hAnsi="Arial"/>
          <w:sz w:val="22"/>
        </w:rPr>
        <w:t xml:space="preserve"> </w:t>
      </w:r>
      <w:r>
        <w:rPr>
          <w:rFonts w:ascii="Arial" w:hAnsi="Arial"/>
          <w:sz w:val="22"/>
        </w:rPr>
        <w:t xml:space="preserve">redes de contato correlacionam-se negativamente com ser negro e positivamente com a</w:t>
      </w:r>
      <w:r>
        <w:rPr>
          <w:rFonts w:ascii="Arial" w:hAnsi="Arial"/>
          <w:sz w:val="22"/>
        </w:rPr>
        <w:t xml:space="preserve"> </w:t>
      </w:r>
      <w:r>
        <w:rPr>
          <w:rFonts w:ascii="Arial" w:hAnsi="Arial"/>
          <w:sz w:val="22"/>
        </w:rPr>
        <w:t xml:space="preserve">renda: omiti-las</w:t>
      </w:r>
      <w:r>
        <w:rPr>
          <w:rFonts w:ascii="Arial" w:hAnsi="Arial"/>
          <w:sz w:val="22"/>
        </w:rPr>
        <w:t xml:space="preserve"> </w:t>
      </w:r>
      <w:r>
        <w:rPr>
          <w:rFonts w:ascii="Arial" w:hAnsi="Arial"/>
          <w:sz w:val="22"/>
        </w:rPr>
        <w:t xml:space="preserve">superestima</w:t>
      </w:r>
      <w:r>
        <w:rPr>
          <w:rFonts w:ascii="Arial" w:hAnsi="Arial"/>
          <w:sz w:val="22"/>
        </w:rPr>
        <w:t xml:space="preserve"> </w:t>
      </w:r>
      <w:r>
        <w:rPr>
          <w:rFonts w:ascii="Arial" w:hAnsi="Arial"/>
          <w:sz w:val="22"/>
        </w:rPr>
        <w:t xml:space="preserve">a penalidade — o que faz do M3 um limite superior</w:t>
      </w:r>
      <w:r>
        <w:rPr>
          <w:rFonts w:ascii="Arial" w:hAnsi="Arial"/>
          <w:sz w:val="22"/>
        </w:rPr>
        <w:t xml:space="preserve"> </w:t>
      </w:r>
      <w:r>
        <w:rPr>
          <w:rFonts w:ascii="Arial" w:hAnsi="Arial"/>
          <w:sz w:val="22"/>
        </w:rPr>
        <w:t xml:space="preserve">para o efeito de tratamento diferencial condicional a essas características. Na direção</w:t>
      </w:r>
      <w:r>
        <w:rPr>
          <w:rFonts w:ascii="Arial" w:hAnsi="Arial"/>
          <w:sz w:val="22"/>
        </w:rPr>
        <w:t xml:space="preserve"> </w:t>
      </w:r>
      <w:r>
        <w:rPr>
          <w:rFonts w:ascii="Arial" w:hAnsi="Arial"/>
          <w:sz w:val="22"/>
        </w:rPr>
        <w:t xml:space="preserve">oposta, os controles que são desfechos (ocupação no M4)</w:t>
      </w:r>
      <w:r>
        <w:rPr>
          <w:rFonts w:ascii="Arial" w:hAnsi="Arial"/>
          <w:sz w:val="22"/>
        </w:rPr>
        <w:t xml:space="preserve"> </w:t>
      </w:r>
      <w:r>
        <w:rPr>
          <w:rFonts w:ascii="Arial" w:hAnsi="Arial"/>
          <w:sz w:val="22"/>
        </w:rPr>
        <w:t xml:space="preserve">subestimam</w:t>
      </w:r>
      <w:r>
        <w:rPr>
          <w:rFonts w:ascii="Arial" w:hAnsi="Arial"/>
          <w:sz w:val="22"/>
        </w:rPr>
        <w:t xml:space="preserve">. O gap líquido</w:t>
      </w:r>
      <w:r>
        <w:rPr>
          <w:rFonts w:ascii="Arial" w:hAnsi="Arial"/>
          <w:sz w:val="22"/>
        </w:rPr>
        <w:t xml:space="preserve"> </w:t>
      </w:r>
      <w:r>
        <w:rPr>
          <w:rFonts w:ascii="Arial" w:hAnsi="Arial"/>
          <w:sz w:val="22"/>
        </w:rPr>
        <w:t xml:space="preserve">deve ser lido entre esses dois limites. Para anular</w:t>
      </w:r>
      <w:r>
        <w:rPr>
          <w:rFonts w:ascii="Arial" w:hAnsi="Arial"/>
          <w:sz w:val="22"/>
        </w:rPr>
        <w:t xml:space="preserve"> </w:t>
      </w:r>
      <m:oMath>
        <m:sSubSup>
          <m:e>
            <m:acc>
              <m:accPr>
                <m:chr m:val="̂"/>
              </m:accPr>
              <m:e>
                <m:r>
                  <m:t>β</m:t>
                </m:r>
              </m:e>
            </m:acc>
          </m:e>
          <m:sub>
            <m:r>
              <m:rPr>
                <m:nor/>
                <m:sty m:val="p"/>
              </m:rPr>
              <m:t>negro</m:t>
            </m:r>
          </m:sub>
          <m:sup>
            <m:r>
              <m:t>M</m:t>
            </m:r>
            <m:r>
              <m:t>3</m:t>
            </m:r>
          </m:sup>
        </m:sSubSup>
      </m:oMath>
      <w:r>
        <w:rPr>
          <w:rFonts w:ascii="Arial" w:hAnsi="Arial"/>
          <w:sz w:val="22"/>
        </w:rPr>
        <w:t xml:space="preserve"> </w:t>
      </w:r>
      <w:r>
        <w:rPr>
          <w:rFonts w:ascii="Arial" w:hAnsi="Arial"/>
          <w:sz w:val="22"/>
        </w:rPr>
        <w:t xml:space="preserve">seria</w:t>
      </w:r>
      <w:r>
        <w:rPr>
          <w:rFonts w:ascii="Arial" w:hAnsi="Arial"/>
          <w:sz w:val="22"/>
        </w:rPr>
        <w:t xml:space="preserve"> </w:t>
      </w:r>
      <w:r>
        <w:rPr>
          <w:rFonts w:ascii="Arial" w:hAnsi="Arial"/>
          <w:sz w:val="22"/>
        </w:rPr>
        <w:t xml:space="preserve">preciso um viés de 98,4% do coeficiente (Konfound,</w:t>
      </w:r>
      <w:r>
        <w:rPr>
          <w:rFonts w:ascii="Arial" w:hAnsi="Arial"/>
          <w:sz w:val="22"/>
        </w:rPr>
        <w:t xml:space="preserve"> </w:t>
      </w:r>
      <w:r>
        <w:rPr>
          <w:rFonts w:ascii="Arial" w:hAnsi="Arial"/>
          <w:sz w:val="22"/>
        </w:rPr>
        <w:t xml:space="preserve">Frank et al. (2013)</w:t>
      </w:r>
      <w:r>
        <w:rPr>
          <w:rFonts w:ascii="Arial" w:hAnsi="Arial"/>
          <w:sz w:val="22"/>
        </w:rPr>
        <w:t xml:space="preserve">), e o</w:t>
      </w:r>
      <w:r>
        <w:rPr>
          <w:rFonts w:ascii="Arial" w:hAnsi="Arial"/>
          <w:sz w:val="22"/>
        </w:rPr>
        <w:t xml:space="preserve"> </w:t>
      </w:r>
      <w:r>
        <w:rPr>
          <w:rFonts w:ascii="Arial" w:hAnsi="Arial"/>
          <w:sz w:val="22"/>
        </w:rPr>
        <w:t xml:space="preserve">E-value do modelo de acesso (Tabela 7) exige um confundidor</w:t>
      </w:r>
      <w:r>
        <w:rPr>
          <w:rFonts w:ascii="Arial" w:hAnsi="Arial"/>
          <w:sz w:val="22"/>
        </w:rPr>
        <w:t xml:space="preserve"> </w:t>
      </w:r>
      <w:r>
        <w:rPr>
          <w:rFonts w:ascii="Arial" w:hAnsi="Arial"/>
          <w:sz w:val="22"/>
        </w:rPr>
        <w:t xml:space="preserve">associado à raça e ao desfecho com razão de risco</w:t>
      </w:r>
      <w:r>
        <w:rPr>
          <w:rFonts w:ascii="Arial" w:hAnsi="Arial"/>
          <w:sz w:val="22"/>
        </w:rPr>
        <w:t xml:space="preserve"> </w:t>
      </w:r>
      <m:oMath>
        <m:r>
          <m:rPr>
            <m:sty m:val="p"/>
          </m:rPr>
          <m:t>≥</m:t>
        </m:r>
        <m:r>
          <m:t>1</m:t>
        </m:r>
        <m:r>
          <m:rPr>
            <m:sty m:val="p"/>
          </m:rPr>
          <m:t>,</m:t>
        </m:r>
        <m:r>
          <m:t>5</m:t>
        </m:r>
      </m:oMath>
      <w:r>
        <w:rPr>
          <w:rFonts w:ascii="Arial" w:hAnsi="Arial"/>
          <w:sz w:val="22"/>
        </w:rPr>
        <w:t xml:space="preserve"> </w:t>
      </w:r>
      <w:r>
        <w:rPr>
          <w:rFonts w:ascii="Arial" w:hAnsi="Arial"/>
          <w:sz w:val="22"/>
        </w:rPr>
        <w:t xml:space="preserve">— uma associação</w:t>
      </w:r>
      <w:r>
        <w:rPr>
          <w:rFonts w:ascii="Arial" w:hAnsi="Arial"/>
          <w:sz w:val="22"/>
        </w:rPr>
        <w:t xml:space="preserve"> </w:t>
      </w:r>
      <w:r>
        <w:rPr>
          <w:rFonts w:ascii="Arial" w:hAnsi="Arial"/>
          <w:sz w:val="22"/>
        </w:rPr>
        <w:t xml:space="preserve">modesta, que sozinha não descarta viés.</w:t>
      </w:r>
    </w:p>
    <w:bookmarkStart w:id="55" w:name="tab:hlm_resultados"/>
    <w:p>
      <w:pPr>
        <w:pStyle w:val="TableCaption"/>
        <w:keepNext/>
        <w:keepLines/>
        <w:spacing w:line="240" w:lineRule="auto" w:before="240" w:after="40"/>
        <w:ind w:firstLine="0"/>
        <w:jc w:val="both"/>
      </w:pPr>
      <w:r>
        <w:rPr>
          <w:rFonts w:ascii="Arial" w:hAnsi="Arial"/>
          <w:sz w:val="22"/>
        </w:rPr>
        <w:t xml:space="preserve">Tabela 4. HLM de dois níveis (indivíduo em UPA) com efeitos fixos de UF — estratégia</w:t>
      </w:r>
      <w:r>
        <w:rPr>
          <w:rFonts w:ascii="Arial" w:hAnsi="Arial"/>
          <w:sz w:val="22"/>
        </w:rPr>
        <w:t xml:space="preserve"> </w:t>
      </w:r>
      <w:r>
        <w:rPr>
          <w:rFonts w:ascii="Arial" w:hAnsi="Arial"/>
          <w:sz w:val="22"/>
        </w:rPr>
        <w:t xml:space="preserve">step-up</w:t>
      </w:r>
      <w:r>
        <w:rPr>
          <w:rFonts w:ascii="Arial" w:hAnsi="Arial"/>
          <w:sz w:val="22"/>
        </w:rPr>
        <w:t xml:space="preserve">, PNAD Contínua 2016–2025, população completa (</w:t>
      </w:r>
      <m:oMath>
        <m:r>
          <m:t>N</m:t>
        </m:r>
        <m:r>
          <m:rPr>
            <m:sty m:val="p"/>
          </m:rPr>
          <m:t>=</m:t>
        </m:r>
        <m:r>
          <m:t>7.694</m:t>
        </m:r>
        <m:r>
          <m:t>.080</m:t>
        </m:r>
      </m:oMath>
      <w:r>
        <w:rPr>
          <w:rFonts w:ascii="Arial" w:hAnsi="Arial"/>
          <w:sz w:val="22"/>
        </w:rPr>
        <w:t xml:space="preserve">; 40.728 UPAs; 27 UFs). Coeficientes com erro-padrão do modelo entre parênteses (a correlação intra-UPA já está no efeito aleatório). Estimação por máxima verossimilhança (ML), para os testes LR entre degraus; REML coincide. Com</w:t>
      </w:r>
      <w:r>
        <w:rPr>
          <w:rFonts w:ascii="Arial" w:hAnsi="Arial"/>
          <w:sz w:val="22"/>
        </w:rPr>
        <w:t xml:space="preserve"> </w:t>
      </w:r>
      <m:oMath>
        <m:r>
          <m:t>N</m:t>
        </m:r>
      </m:oMath>
      <w:r>
        <w:rPr>
          <w:rFonts w:ascii="Arial" w:hAnsi="Arial"/>
          <w:sz w:val="22"/>
        </w:rPr>
        <w:t xml:space="preserve"> </w:t>
      </w:r>
      <w:r>
        <w:rPr>
          <w:rFonts w:ascii="Arial" w:hAnsi="Arial"/>
          <w:sz w:val="22"/>
        </w:rPr>
        <w:t xml:space="preserve">desta ordem quase todo coeficiente é significante; a inferência relevante está nos intervalos de confiança, não nos asteriscos</w:t>
      </w:r>
      <w:r>
        <w:rPr>
          <w:rFonts w:ascii="Arial" w:hAnsi="Arial"/>
          <w:sz w:val="22"/>
        </w:rPr>
        <w:t xml:space="preserve"> </w:t>
      </w:r>
      <w:r>
        <w:rPr>
          <w:rFonts w:ascii="Arial" w:hAnsi="Arial"/>
          <w:sz w:val="22"/>
        </w:rPr>
        <w:t xml:space="preserve">(Angrist; Pischke, 2009, cap. 8)</w:t>
      </w:r>
      <w:r>
        <w:rPr>
          <w:rFonts w:ascii="Arial" w:hAnsi="Arial"/>
          <w:sz w:val="22"/>
        </w:rPr>
        <w:t xml:space="preserve">.</w:t>
      </w:r>
    </w:p>
    <w:tbl>
      <w:tblPr>
        <w:tblStyle w:val="Table"/>
        <w:tblW w:type="auto" w:w="0"/>
        <w:tblLayout w:type="fixed"/>
        <w:tblLook w:firstRow="1" w:lastRow="0" w:firstColumn="0" w:lastColumn="0" w:noHBand="0" w:noVBand="0" w:val="0020"/>
        <w:tblCaption w:val="Tabela 4. HLM de dois níveis (indivíduo em UPA) com efeitos fixos de UF — estratégia step-up, PNAD Contínua 2016–2025, população completa (N = 7.694.080; 40.728 UPAs; 27 UFs). Coeficientes com erro-padrão do modelo entre parênteses (a correlação intra-UPA já está no efeito aleatório). Estimação por máxima verossimilhança (ML), para os testes LR entre degraus; REML coincide. Com N desta ordem quase todo coeficiente é significante; a inferência relevante está nos intervalos de confiança, não nos asteriscos (Angrist; Pischke, 2009, cap. 8)."/>
        <w:tblBorders>
          <w:top w:val="nil"/>
          <w:left w:val="nil"/>
          <w:bottom w:val="nil"/>
          <w:right w:val="nil"/>
          <w:insideH w:val="nil"/>
          <w:insideV w:val="nil"/>
        </w:tblBorders>
      </w:tblPr>
      <w:tblGrid>
        <w:gridCol w:w="1895"/>
        <w:gridCol w:w="1415"/>
        <w:gridCol w:w="1437"/>
        <w:gridCol w:w="1437"/>
        <w:gridCol w:w="1437"/>
        <w:gridCol w:w="1450"/>
      </w:tblGrid>
      <w:tr>
        <w:trPr>
          <w:tblHeader w:val="on"/>
          <w:cantSplit/>
        </w:trPr>
        <w:tc>
          <w:tcPr>
            <w:tcW w:type="dxa" w:w="1895"/>
            <w:tcBorders>
              <w:top w:val="single" w:sz="8" w:color="000000"/>
              <w:left w:val="nil"/>
              <w:bottom w:val="single" w:sz="6" w:color="000000"/>
              <w:right w:val="nil"/>
            </w:tcBorders>
          </w:tcPr>
          <w:p>
            <w:pPr>
              <w:pStyle w:val="Compact"/>
              <w:spacing w:line="240" w:lineRule="auto" w:after="0"/>
              <w:ind w:firstLine="0"/>
              <w:jc w:val="center"/>
            </w:pPr>
            <w:r>
              <w:rPr>
                <w:rFonts w:ascii="Arial" w:hAnsi="Arial"/>
                <w:b w:val="0"/>
                <w:bCs/>
                <w:sz w:val="20"/>
              </w:rPr>
              <w:t xml:space="preserve">Variável</w:t>
            </w:r>
          </w:p>
        </w:tc>
        <w:tc>
          <w:tcPr>
            <w:tcW w:type="dxa" w:w="1415"/>
            <w:tcBorders>
              <w:top w:val="single" w:sz="8" w:color="000000"/>
              <w:left w:val="nil"/>
              <w:bottom w:val="single" w:sz="6" w:color="000000"/>
              <w:right w:val="nil"/>
            </w:tcBorders>
          </w:tcPr>
          <w:p>
            <w:pPr>
              <w:pStyle w:val="Compact"/>
              <w:spacing w:line="240" w:lineRule="auto" w:after="0"/>
              <w:ind w:firstLine="0"/>
              <w:jc w:val="center"/>
            </w:pPr>
            <w:r>
              <w:rPr>
                <w:rFonts w:ascii="Arial" w:hAnsi="Arial"/>
                <w:b w:val="0"/>
                <w:bCs/>
                <w:sz w:val="20"/>
              </w:rPr>
              <w:t xml:space="preserve">M0</w:t>
            </w:r>
          </w:p>
        </w:tc>
        <w:tc>
          <w:tcPr>
            <w:tcW w:type="dxa" w:w="1437"/>
            <w:tcBorders>
              <w:top w:val="single" w:sz="8" w:color="000000"/>
              <w:left w:val="nil"/>
              <w:bottom w:val="single" w:sz="6" w:color="000000"/>
              <w:right w:val="nil"/>
            </w:tcBorders>
          </w:tcPr>
          <w:p>
            <w:pPr>
              <w:pStyle w:val="Compact"/>
              <w:spacing w:line="240" w:lineRule="auto" w:after="0"/>
              <w:ind w:firstLine="0"/>
              <w:jc w:val="center"/>
            </w:pPr>
            <w:r>
              <w:rPr>
                <w:rFonts w:ascii="Arial" w:hAnsi="Arial"/>
                <w:b w:val="0"/>
                <w:bCs/>
                <w:sz w:val="20"/>
              </w:rPr>
              <w:t xml:space="preserve">M1</w:t>
            </w:r>
          </w:p>
        </w:tc>
        <w:tc>
          <w:tcPr>
            <w:tcW w:type="dxa" w:w="1437"/>
            <w:tcBorders>
              <w:top w:val="single" w:sz="8" w:color="000000"/>
              <w:left w:val="nil"/>
              <w:bottom w:val="single" w:sz="6" w:color="000000"/>
              <w:right w:val="nil"/>
            </w:tcBorders>
          </w:tcPr>
          <w:p>
            <w:pPr>
              <w:pStyle w:val="Compact"/>
              <w:spacing w:line="240" w:lineRule="auto" w:after="0"/>
              <w:ind w:firstLine="0"/>
              <w:jc w:val="center"/>
            </w:pPr>
            <w:r>
              <w:rPr>
                <w:rFonts w:ascii="Arial" w:hAnsi="Arial"/>
                <w:b w:val="0"/>
                <w:bCs/>
                <w:sz w:val="20"/>
              </w:rPr>
              <w:t xml:space="preserve">M2</w:t>
            </w:r>
          </w:p>
        </w:tc>
        <w:tc>
          <w:tcPr>
            <w:tcW w:type="dxa" w:w="1437"/>
            <w:tcBorders>
              <w:top w:val="single" w:sz="8" w:color="000000"/>
              <w:left w:val="nil"/>
              <w:bottom w:val="single" w:sz="6" w:color="000000"/>
              <w:right w:val="nil"/>
            </w:tcBorders>
          </w:tcPr>
          <w:p>
            <w:pPr>
              <w:pStyle w:val="Compact"/>
              <w:spacing w:line="240" w:lineRule="auto" w:after="0"/>
              <w:ind w:firstLine="0"/>
              <w:jc w:val="center"/>
            </w:pPr>
            <w:r>
              <w:rPr>
                <w:rFonts w:ascii="Arial" w:hAnsi="Arial"/>
                <w:b w:val="0"/>
                <w:bCs/>
                <w:sz w:val="20"/>
              </w:rPr>
              <w:t xml:space="preserve">M3</w:t>
            </w:r>
          </w:p>
        </w:tc>
        <w:tc>
          <w:tcPr>
            <w:tcW w:type="dxa" w:w="1450"/>
            <w:tcBorders>
              <w:top w:val="single" w:sz="8" w:color="000000"/>
              <w:left w:val="nil"/>
              <w:bottom w:val="single" w:sz="6" w:color="000000"/>
              <w:right w:val="nil"/>
            </w:tcBorders>
          </w:tcPr>
          <w:p>
            <w:pPr>
              <w:pStyle w:val="Compact"/>
              <w:spacing w:line="240" w:lineRule="auto" w:after="0"/>
              <w:ind w:firstLine="0"/>
              <w:jc w:val="center"/>
            </w:pPr>
            <w:r>
              <w:rPr>
                <w:rFonts w:ascii="Arial" w:hAnsi="Arial"/>
                <w:b w:val="0"/>
                <w:bCs/>
                <w:sz w:val="20"/>
              </w:rPr>
              <w:t xml:space="preserve">M4</w:t>
            </w:r>
          </w:p>
        </w:tc>
      </w:tr>
      <w:tr>
        <w:trPr>
          <w:cantSplit/>
        </w:trPr>
        <w:tc>
          <w:tcPr>
            <w:tcW w:type="dxa" w:w="1895"/>
          </w:tcPr>
          <w:p>
            <w:pPr>
              <w:pStyle w:val="Compact"/>
              <w:spacing w:line="240" w:lineRule="auto" w:after="0"/>
              <w:ind w:firstLine="0"/>
              <w:jc w:val="left"/>
            </w:pPr>
            <w:r>
              <w:rPr>
                <w:rFonts w:ascii="Arial" w:hAnsi="Arial"/>
                <w:b w:val="0"/>
                <w:sz w:val="20"/>
              </w:rPr>
              <w:t xml:space="preserve">Intercepto</w:t>
            </w:r>
          </w:p>
        </w:tc>
        <w:tc>
          <w:tcPr>
            <w:tcW w:type="dxa" w:w="1415"/>
          </w:tcPr>
          <w:p>
            <w:pPr>
              <w:pStyle w:val="Compact"/>
              <w:spacing w:line="240" w:lineRule="auto" w:after="0"/>
              <w:ind w:firstLine="0"/>
              <w:jc w:val="right"/>
            </w:pPr>
            <w:r>
              <w:rPr>
                <w:rFonts w:ascii="Arial" w:hAnsi="Arial"/>
                <w:b w:val="0"/>
                <w:sz w:val="20"/>
              </w:rPr>
              <w:t xml:space="preserve">7,5778 (0,0028)</w:t>
            </w:r>
          </w:p>
        </w:tc>
        <w:tc>
          <w:tcPr>
            <w:tcW w:type="dxa" w:w="1437"/>
          </w:tcPr>
          <w:p>
            <w:pPr>
              <w:pStyle w:val="Compact"/>
              <w:spacing w:line="240" w:lineRule="auto" w:after="0"/>
              <w:ind w:firstLine="0"/>
              <w:jc w:val="right"/>
            </w:pPr>
            <w:r>
              <w:rPr>
                <w:rFonts w:ascii="Arial" w:hAnsi="Arial"/>
                <w:b w:val="0"/>
                <w:sz w:val="20"/>
              </w:rPr>
              <w:t xml:space="preserve">4,8436 (0,0039)</w:t>
            </w:r>
          </w:p>
        </w:tc>
        <w:tc>
          <w:tcPr>
            <w:tcW w:type="dxa" w:w="1437"/>
          </w:tcPr>
          <w:p>
            <w:pPr>
              <w:pStyle w:val="Compact"/>
              <w:spacing w:line="240" w:lineRule="auto" w:after="0"/>
              <w:ind w:firstLine="0"/>
              <w:jc w:val="right"/>
            </w:pPr>
            <w:r>
              <w:rPr>
                <w:rFonts w:ascii="Arial" w:hAnsi="Arial"/>
                <w:b w:val="0"/>
                <w:sz w:val="20"/>
              </w:rPr>
              <w:t xml:space="preserve">5,0132 (0,0034)</w:t>
            </w:r>
          </w:p>
        </w:tc>
        <w:tc>
          <w:tcPr>
            <w:tcW w:type="dxa" w:w="1437"/>
          </w:tcPr>
          <w:p>
            <w:pPr>
              <w:pStyle w:val="Compact"/>
              <w:spacing w:line="240" w:lineRule="auto" w:after="0"/>
              <w:ind w:firstLine="0"/>
              <w:jc w:val="right"/>
            </w:pPr>
            <w:r>
              <w:rPr>
                <w:rFonts w:ascii="Arial" w:hAnsi="Arial"/>
                <w:b w:val="0"/>
                <w:sz w:val="20"/>
              </w:rPr>
              <w:t xml:space="preserve">5,2269 (0,0078)</w:t>
            </w:r>
          </w:p>
        </w:tc>
        <w:tc>
          <w:tcPr>
            <w:tcW w:type="dxa" w:w="1450"/>
          </w:tcPr>
          <w:p>
            <w:pPr>
              <w:pStyle w:val="Compact"/>
              <w:spacing w:line="240" w:lineRule="auto" w:after="0"/>
              <w:ind w:firstLine="0"/>
              <w:jc w:val="right"/>
            </w:pPr>
            <w:r>
              <w:rPr>
                <w:rFonts w:ascii="Arial" w:hAnsi="Arial"/>
                <w:b w:val="0"/>
                <w:sz w:val="20"/>
              </w:rPr>
              <w:t xml:space="preserve">5,4140 (0,0074)</w:t>
            </w:r>
          </w:p>
        </w:tc>
      </w:tr>
      <w:tr>
        <w:trPr>
          <w:cantSplit/>
        </w:trPr>
        <w:tc>
          <w:tcPr>
            <w:tcW w:type="dxa" w:w="1895"/>
          </w:tcPr>
          <w:p>
            <w:pPr>
              <w:pStyle w:val="Compact"/>
              <w:spacing w:line="240" w:lineRule="auto" w:after="0"/>
              <w:ind w:firstLine="0"/>
              <w:jc w:val="left"/>
            </w:pPr>
            <w:r>
              <w:rPr>
                <w:rFonts w:ascii="Arial" w:hAnsi="Arial"/>
                <w:b w:val="0"/>
                <w:bCs/>
                <w:sz w:val="20"/>
              </w:rPr>
              <w:t xml:space="preserve">Raça (negro)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−0,0669 (0,0005)</w:t>
            </w:r>
          </w:p>
        </w:tc>
        <w:tc>
          <w:tcPr>
            <w:tcW w:type="dxa" w:w="1437"/>
          </w:tcPr>
          <w:p>
            <w:pPr>
              <w:pStyle w:val="Compact"/>
              <w:spacing w:line="240" w:lineRule="auto" w:after="0"/>
              <w:ind w:firstLine="0"/>
              <w:jc w:val="right"/>
            </w:pPr>
            <w:r>
              <w:rPr>
                <w:rFonts w:ascii="Arial" w:hAnsi="Arial"/>
                <w:b w:val="0"/>
                <w:sz w:val="20"/>
              </w:rPr>
              <w:t xml:space="preserve">−0,0637 (0,0005)</w:t>
            </w:r>
          </w:p>
        </w:tc>
        <w:tc>
          <w:tcPr>
            <w:tcW w:type="dxa" w:w="1437"/>
          </w:tcPr>
          <w:p>
            <w:pPr>
              <w:pStyle w:val="Compact"/>
              <w:spacing w:line="240" w:lineRule="auto" w:after="0"/>
              <w:ind w:firstLine="0"/>
              <w:jc w:val="right"/>
            </w:pPr>
            <w:r>
              <w:rPr>
                <w:rFonts w:ascii="Arial" w:hAnsi="Arial"/>
                <w:b w:val="0"/>
                <w:sz w:val="20"/>
              </w:rPr>
              <w:t xml:space="preserve">−0,0629 (0,0005)</w:t>
            </w:r>
          </w:p>
        </w:tc>
        <w:tc>
          <w:tcPr>
            <w:tcW w:type="dxa" w:w="1450"/>
          </w:tcPr>
          <w:p>
            <w:pPr>
              <w:pStyle w:val="Compact"/>
              <w:spacing w:line="240" w:lineRule="auto" w:after="0"/>
              <w:ind w:firstLine="0"/>
              <w:jc w:val="right"/>
            </w:pPr>
            <w:r>
              <w:rPr>
                <w:rFonts w:ascii="Arial" w:hAnsi="Arial"/>
                <w:b w:val="0"/>
                <w:sz w:val="20"/>
              </w:rPr>
              <w:t xml:space="preserve">−0,0579 (0,0005)</w:t>
            </w:r>
          </w:p>
        </w:tc>
      </w:tr>
      <w:tr>
        <w:trPr>
          <w:cantSplit/>
        </w:trPr>
        <w:tc>
          <w:tcPr>
            <w:tcW w:type="dxa" w:w="1895"/>
          </w:tcPr>
          <w:p>
            <w:pPr>
              <w:pStyle w:val="Compact"/>
              <w:spacing w:line="240" w:lineRule="auto" w:after="0"/>
              <w:ind w:firstLine="0"/>
              <w:jc w:val="left"/>
            </w:pPr>
            <w:r>
              <w:rPr>
                <w:rFonts w:ascii="Arial" w:hAnsi="Arial"/>
                <w:b w:val="0"/>
                <w:sz w:val="20"/>
              </w:rPr>
              <w:t xml:space="preserve">Sexo feminino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−0,2594 (0,0005)</w:t>
            </w:r>
          </w:p>
        </w:tc>
        <w:tc>
          <w:tcPr>
            <w:tcW w:type="dxa" w:w="1437"/>
          </w:tcPr>
          <w:p>
            <w:pPr>
              <w:pStyle w:val="Compact"/>
              <w:spacing w:line="240" w:lineRule="auto" w:after="0"/>
              <w:ind w:firstLine="0"/>
              <w:jc w:val="right"/>
            </w:pPr>
            <w:r>
              <w:rPr>
                <w:rFonts w:ascii="Arial" w:hAnsi="Arial"/>
                <w:b w:val="0"/>
                <w:sz w:val="20"/>
              </w:rPr>
              <w:t xml:space="preserve">−0,2590 (0,0005)</w:t>
            </w:r>
          </w:p>
        </w:tc>
        <w:tc>
          <w:tcPr>
            <w:tcW w:type="dxa" w:w="1437"/>
          </w:tcPr>
          <w:p>
            <w:pPr>
              <w:pStyle w:val="Compact"/>
              <w:spacing w:line="240" w:lineRule="auto" w:after="0"/>
              <w:ind w:firstLine="0"/>
              <w:jc w:val="right"/>
            </w:pPr>
            <w:r>
              <w:rPr>
                <w:rFonts w:ascii="Arial" w:hAnsi="Arial"/>
                <w:b w:val="0"/>
                <w:sz w:val="20"/>
              </w:rPr>
              <w:t xml:space="preserve">−0,2592 (0,0005)</w:t>
            </w:r>
          </w:p>
        </w:tc>
        <w:tc>
          <w:tcPr>
            <w:tcW w:type="dxa" w:w="1450"/>
          </w:tcPr>
          <w:p>
            <w:pPr>
              <w:pStyle w:val="Compact"/>
              <w:spacing w:line="240" w:lineRule="auto" w:after="0"/>
              <w:ind w:firstLine="0"/>
              <w:jc w:val="right"/>
            </w:pPr>
            <w:r>
              <w:rPr>
                <w:rFonts w:ascii="Arial" w:hAnsi="Arial"/>
                <w:b w:val="0"/>
                <w:sz w:val="20"/>
              </w:rPr>
              <w:t xml:space="preserve">−0,2394 (0,0005)</w:t>
            </w:r>
          </w:p>
        </w:tc>
      </w:tr>
      <w:tr>
        <w:trPr>
          <w:cantSplit/>
        </w:trPr>
        <w:tc>
          <w:tcPr>
            <w:tcW w:type="dxa" w:w="1895"/>
          </w:tcPr>
          <w:p>
            <w:pPr>
              <w:pStyle w:val="Compact"/>
              <w:spacing w:line="240" w:lineRule="auto" w:after="0"/>
              <w:ind w:firstLine="0"/>
              <w:jc w:val="left"/>
            </w:pPr>
            <w:r>
              <w:rPr>
                <w:rFonts w:ascii="Arial" w:hAnsi="Arial"/>
                <w:b w:val="0"/>
                <w:sz w:val="20"/>
              </w:rPr>
              <w:t xml:space="preserve">Idade (centrada)</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0,0079 (&lt;0,0001)</w:t>
            </w:r>
          </w:p>
        </w:tc>
        <w:tc>
          <w:tcPr>
            <w:tcW w:type="dxa" w:w="1437"/>
          </w:tcPr>
          <w:p>
            <w:pPr>
              <w:pStyle w:val="Compact"/>
              <w:spacing w:line="240" w:lineRule="auto" w:after="0"/>
              <w:ind w:firstLine="0"/>
              <w:jc w:val="right"/>
            </w:pPr>
            <w:r>
              <w:rPr>
                <w:rFonts w:ascii="Arial" w:hAnsi="Arial"/>
                <w:b w:val="0"/>
                <w:sz w:val="20"/>
              </w:rPr>
              <w:t xml:space="preserve">0,0078 (&lt;0,0001)</w:t>
            </w:r>
          </w:p>
        </w:tc>
        <w:tc>
          <w:tcPr>
            <w:tcW w:type="dxa" w:w="1437"/>
          </w:tcPr>
          <w:p>
            <w:pPr>
              <w:pStyle w:val="Compact"/>
              <w:spacing w:line="240" w:lineRule="auto" w:after="0"/>
              <w:ind w:firstLine="0"/>
              <w:jc w:val="right"/>
            </w:pPr>
            <w:r>
              <w:rPr>
                <w:rFonts w:ascii="Arial" w:hAnsi="Arial"/>
                <w:b w:val="0"/>
                <w:sz w:val="20"/>
              </w:rPr>
              <w:t xml:space="preserve">0,0078 (&lt;0,0001)</w:t>
            </w:r>
          </w:p>
        </w:tc>
        <w:tc>
          <w:tcPr>
            <w:tcW w:type="dxa" w:w="1450"/>
          </w:tcPr>
          <w:p>
            <w:pPr>
              <w:pStyle w:val="Compact"/>
              <w:spacing w:line="240" w:lineRule="auto" w:after="0"/>
              <w:ind w:firstLine="0"/>
              <w:jc w:val="right"/>
            </w:pPr>
            <w:r>
              <w:rPr>
                <w:rFonts w:ascii="Arial" w:hAnsi="Arial"/>
                <w:b w:val="0"/>
                <w:sz w:val="20"/>
              </w:rPr>
              <w:t xml:space="preserve">0,0088 (&lt;0,0001)</w:t>
            </w:r>
          </w:p>
        </w:tc>
      </w:tr>
      <w:tr>
        <w:trPr>
          <w:cantSplit/>
        </w:trPr>
        <w:tc>
          <w:tcPr>
            <w:tcW w:type="dxa" w:w="1895"/>
          </w:tcPr>
          <w:p>
            <w:pPr>
              <w:pStyle w:val="Compact"/>
              <w:spacing w:line="240" w:lineRule="auto" w:after="0"/>
              <w:ind w:firstLine="0"/>
              <w:jc w:val="left"/>
            </w:pPr>
            <w:r>
              <w:rPr>
                <w:rFonts w:ascii="Arial" w:hAnsi="Arial"/>
                <w:b w:val="0"/>
                <w:sz w:val="20"/>
              </w:rPr>
              <w:t xml:space="preserve">Idade</w:t>
            </w:r>
            <w:r>
              <w:rPr>
                <w:rFonts w:ascii="Arial" w:hAnsi="Arial"/>
                <w:b w:val="0"/>
                <w:sz w:val="20"/>
                <w:vertAlign w:val="superscript"/>
              </w:rPr>
              <w:t xml:space="preserve">2</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−0,0004 (&lt;0,0001)</w:t>
            </w:r>
          </w:p>
        </w:tc>
        <w:tc>
          <w:tcPr>
            <w:tcW w:type="dxa" w:w="1437"/>
          </w:tcPr>
          <w:p>
            <w:pPr>
              <w:pStyle w:val="Compact"/>
              <w:spacing w:line="240" w:lineRule="auto" w:after="0"/>
              <w:ind w:firstLine="0"/>
              <w:jc w:val="right"/>
            </w:pPr>
            <w:r>
              <w:rPr>
                <w:rFonts w:ascii="Arial" w:hAnsi="Arial"/>
                <w:b w:val="0"/>
                <w:sz w:val="20"/>
              </w:rPr>
              <w:t xml:space="preserve">−0,0004 (&lt;0,0001)</w:t>
            </w:r>
          </w:p>
        </w:tc>
        <w:tc>
          <w:tcPr>
            <w:tcW w:type="dxa" w:w="1437"/>
          </w:tcPr>
          <w:p>
            <w:pPr>
              <w:pStyle w:val="Compact"/>
              <w:spacing w:line="240" w:lineRule="auto" w:after="0"/>
              <w:ind w:firstLine="0"/>
              <w:jc w:val="right"/>
            </w:pPr>
            <w:r>
              <w:rPr>
                <w:rFonts w:ascii="Arial" w:hAnsi="Arial"/>
                <w:b w:val="0"/>
                <w:sz w:val="20"/>
              </w:rPr>
              <w:t xml:space="preserve">−0,0004 (&lt;0,0001)</w:t>
            </w:r>
          </w:p>
        </w:tc>
        <w:tc>
          <w:tcPr>
            <w:tcW w:type="dxa" w:w="1450"/>
          </w:tcPr>
          <w:p>
            <w:pPr>
              <w:pStyle w:val="Compact"/>
              <w:spacing w:line="240" w:lineRule="auto" w:after="0"/>
              <w:ind w:firstLine="0"/>
              <w:jc w:val="right"/>
            </w:pPr>
            <w:r>
              <w:rPr>
                <w:rFonts w:ascii="Arial" w:hAnsi="Arial"/>
                <w:b w:val="0"/>
                <w:sz w:val="20"/>
              </w:rPr>
              <w:t xml:space="preserve">−0,0004 (&lt;0,0001)</w:t>
            </w:r>
          </w:p>
        </w:tc>
      </w:tr>
      <w:tr>
        <w:trPr>
          <w:cantSplit/>
        </w:trPr>
        <w:tc>
          <w:tcPr>
            <w:tcW w:type="dxa" w:w="1895"/>
          </w:tcPr>
          <w:p>
            <w:pPr>
              <w:pStyle w:val="Compact"/>
              <w:spacing w:line="240" w:lineRule="auto" w:after="0"/>
              <w:ind w:firstLine="0"/>
              <w:jc w:val="left"/>
            </w:pPr>
          </w:p>
        </w:tc>
        <w:tc>
          <w:tcPr>
            <w:tcW w:type="dxa" w:w="1415"/>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50"/>
          </w:tcPr>
          <w:p>
            <w:pPr>
              <w:pStyle w:val="Compact"/>
              <w:spacing w:line="240" w:lineRule="auto" w:after="0"/>
              <w:ind w:firstLine="0"/>
              <w:jc w:val="left"/>
            </w:pPr>
          </w:p>
        </w:tc>
      </w:tr>
      <w:tr>
        <w:trPr>
          <w:cantSplit/>
        </w:trPr>
        <w:tc>
          <w:tcPr>
            <w:tcW w:type="dxa" w:w="1895"/>
          </w:tcPr>
          <w:p>
            <w:pPr>
              <w:pStyle w:val="Compact"/>
              <w:spacing w:line="240" w:lineRule="auto" w:after="0"/>
              <w:ind w:firstLine="0"/>
              <w:jc w:val="left"/>
            </w:pPr>
            <w:r>
              <w:rPr>
                <w:rFonts w:ascii="Arial" w:hAnsi="Arial"/>
                <w:b w:val="0"/>
                <w:sz w:val="20"/>
              </w:rPr>
              <w:t xml:space="preserve">Educ.: fundamental completo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0,1884 (0,0007)</w:t>
            </w:r>
          </w:p>
        </w:tc>
        <w:tc>
          <w:tcPr>
            <w:tcW w:type="dxa" w:w="1437"/>
          </w:tcPr>
          <w:p>
            <w:pPr>
              <w:pStyle w:val="Compact"/>
              <w:spacing w:line="240" w:lineRule="auto" w:after="0"/>
              <w:ind w:firstLine="0"/>
              <w:jc w:val="right"/>
            </w:pPr>
            <w:r>
              <w:rPr>
                <w:rFonts w:ascii="Arial" w:hAnsi="Arial"/>
                <w:b w:val="0"/>
                <w:sz w:val="20"/>
              </w:rPr>
              <w:t xml:space="preserve">0,1880 (0,0007)</w:t>
            </w:r>
          </w:p>
        </w:tc>
        <w:tc>
          <w:tcPr>
            <w:tcW w:type="dxa" w:w="1437"/>
          </w:tcPr>
          <w:p>
            <w:pPr>
              <w:pStyle w:val="Compact"/>
              <w:spacing w:line="240" w:lineRule="auto" w:after="0"/>
              <w:ind w:firstLine="0"/>
              <w:jc w:val="right"/>
            </w:pPr>
            <w:r>
              <w:rPr>
                <w:rFonts w:ascii="Arial" w:hAnsi="Arial"/>
                <w:b w:val="0"/>
                <w:sz w:val="20"/>
              </w:rPr>
              <w:t xml:space="preserve">0,1877 (0,0007)</w:t>
            </w:r>
          </w:p>
        </w:tc>
        <w:tc>
          <w:tcPr>
            <w:tcW w:type="dxa" w:w="1450"/>
          </w:tcPr>
          <w:p>
            <w:pPr>
              <w:pStyle w:val="Compact"/>
              <w:spacing w:line="240" w:lineRule="auto" w:after="0"/>
              <w:ind w:firstLine="0"/>
              <w:jc w:val="right"/>
            </w:pPr>
            <w:r>
              <w:rPr>
                <w:rFonts w:ascii="Arial" w:hAnsi="Arial"/>
                <w:b w:val="0"/>
                <w:sz w:val="20"/>
              </w:rPr>
              <w:t xml:space="preserve">0,1464 (0,0007)</w:t>
            </w:r>
          </w:p>
        </w:tc>
      </w:tr>
      <w:tr>
        <w:trPr>
          <w:cantSplit/>
        </w:trPr>
        <w:tc>
          <w:tcPr>
            <w:tcW w:type="dxa" w:w="1895"/>
          </w:tcPr>
          <w:p>
            <w:pPr>
              <w:pStyle w:val="Compact"/>
              <w:spacing w:line="240" w:lineRule="auto" w:after="0"/>
              <w:ind w:firstLine="0"/>
              <w:jc w:val="left"/>
            </w:pPr>
            <w:r>
              <w:rPr>
                <w:rFonts w:ascii="Arial" w:hAnsi="Arial"/>
                <w:b w:val="0"/>
                <w:sz w:val="20"/>
              </w:rPr>
              <w:t xml:space="preserve">Educ.: médio completo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0,1965 (0,0007)</w:t>
            </w:r>
          </w:p>
        </w:tc>
        <w:tc>
          <w:tcPr>
            <w:tcW w:type="dxa" w:w="1437"/>
          </w:tcPr>
          <w:p>
            <w:pPr>
              <w:pStyle w:val="Compact"/>
              <w:spacing w:line="240" w:lineRule="auto" w:after="0"/>
              <w:ind w:firstLine="0"/>
              <w:jc w:val="right"/>
            </w:pPr>
            <w:r>
              <w:rPr>
                <w:rFonts w:ascii="Arial" w:hAnsi="Arial"/>
                <w:b w:val="0"/>
                <w:sz w:val="20"/>
              </w:rPr>
              <w:t xml:space="preserve">0,1956 (0,0007)</w:t>
            </w:r>
          </w:p>
        </w:tc>
        <w:tc>
          <w:tcPr>
            <w:tcW w:type="dxa" w:w="1437"/>
          </w:tcPr>
          <w:p>
            <w:pPr>
              <w:pStyle w:val="Compact"/>
              <w:spacing w:line="240" w:lineRule="auto" w:after="0"/>
              <w:ind w:firstLine="0"/>
              <w:jc w:val="right"/>
            </w:pPr>
            <w:r>
              <w:rPr>
                <w:rFonts w:ascii="Arial" w:hAnsi="Arial"/>
                <w:b w:val="0"/>
                <w:sz w:val="20"/>
              </w:rPr>
              <w:t xml:space="preserve">0,1958 (0,0007)</w:t>
            </w:r>
          </w:p>
        </w:tc>
        <w:tc>
          <w:tcPr>
            <w:tcW w:type="dxa" w:w="1450"/>
          </w:tcPr>
          <w:p>
            <w:pPr>
              <w:pStyle w:val="Compact"/>
              <w:spacing w:line="240" w:lineRule="auto" w:after="0"/>
              <w:ind w:firstLine="0"/>
              <w:jc w:val="right"/>
            </w:pPr>
            <w:r>
              <w:rPr>
                <w:rFonts w:ascii="Arial" w:hAnsi="Arial"/>
                <w:b w:val="0"/>
                <w:sz w:val="20"/>
              </w:rPr>
              <w:t xml:space="preserve">0,1013 (0,0007)</w:t>
            </w:r>
          </w:p>
        </w:tc>
      </w:tr>
      <w:tr>
        <w:trPr>
          <w:cantSplit/>
        </w:trPr>
        <w:tc>
          <w:tcPr>
            <w:tcW w:type="dxa" w:w="1895"/>
          </w:tcPr>
          <w:p>
            <w:pPr>
              <w:pStyle w:val="Compact"/>
              <w:spacing w:line="240" w:lineRule="auto" w:after="0"/>
              <w:ind w:firstLine="0"/>
              <w:jc w:val="left"/>
            </w:pPr>
            <w:r>
              <w:rPr>
                <w:rFonts w:ascii="Arial" w:hAnsi="Arial"/>
                <w:b w:val="0"/>
                <w:sz w:val="20"/>
              </w:rPr>
              <w:t xml:space="preserve">Educ.: superior completo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0,5133 (0,0007)</w:t>
            </w:r>
          </w:p>
        </w:tc>
        <w:tc>
          <w:tcPr>
            <w:tcW w:type="dxa" w:w="1437"/>
          </w:tcPr>
          <w:p>
            <w:pPr>
              <w:pStyle w:val="Compact"/>
              <w:spacing w:line="240" w:lineRule="auto" w:after="0"/>
              <w:ind w:firstLine="0"/>
              <w:jc w:val="right"/>
            </w:pPr>
            <w:r>
              <w:rPr>
                <w:rFonts w:ascii="Arial" w:hAnsi="Arial"/>
                <w:b w:val="0"/>
                <w:sz w:val="20"/>
              </w:rPr>
              <w:t xml:space="preserve">0,5107 (0,0007)</w:t>
            </w:r>
          </w:p>
        </w:tc>
        <w:tc>
          <w:tcPr>
            <w:tcW w:type="dxa" w:w="1437"/>
          </w:tcPr>
          <w:p>
            <w:pPr>
              <w:pStyle w:val="Compact"/>
              <w:spacing w:line="240" w:lineRule="auto" w:after="0"/>
              <w:ind w:firstLine="0"/>
              <w:jc w:val="right"/>
            </w:pPr>
            <w:r>
              <w:rPr>
                <w:rFonts w:ascii="Arial" w:hAnsi="Arial"/>
                <w:b w:val="0"/>
                <w:sz w:val="20"/>
              </w:rPr>
              <w:t xml:space="preserve">0,5112 (0,0007)</w:t>
            </w:r>
          </w:p>
        </w:tc>
        <w:tc>
          <w:tcPr>
            <w:tcW w:type="dxa" w:w="1450"/>
          </w:tcPr>
          <w:p>
            <w:pPr>
              <w:pStyle w:val="Compact"/>
              <w:spacing w:line="240" w:lineRule="auto" w:after="0"/>
              <w:ind w:firstLine="0"/>
              <w:jc w:val="right"/>
            </w:pPr>
            <w:r>
              <w:rPr>
                <w:rFonts w:ascii="Arial" w:hAnsi="Arial"/>
                <w:b w:val="0"/>
                <w:sz w:val="20"/>
              </w:rPr>
              <w:t xml:space="preserve">0,2937 (0,0008)</w:t>
            </w:r>
          </w:p>
        </w:tc>
      </w:tr>
      <w:tr>
        <w:trPr>
          <w:cantSplit/>
        </w:trPr>
        <w:tc>
          <w:tcPr>
            <w:tcW w:type="dxa" w:w="1895"/>
          </w:tcPr>
          <w:p>
            <w:pPr>
              <w:pStyle w:val="Compact"/>
              <w:spacing w:line="240" w:lineRule="auto" w:after="0"/>
              <w:ind w:firstLine="0"/>
              <w:jc w:val="left"/>
            </w:pPr>
            <w:r>
              <w:rPr>
                <w:rFonts w:ascii="Arial" w:hAnsi="Arial"/>
                <w:b w:val="0"/>
                <w:sz w:val="20"/>
              </w:rPr>
              <w:t xml:space="preserve">Educ.: pós-graduação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0,3359 (0,0011)</w:t>
            </w:r>
          </w:p>
        </w:tc>
        <w:tc>
          <w:tcPr>
            <w:tcW w:type="dxa" w:w="1437"/>
          </w:tcPr>
          <w:p>
            <w:pPr>
              <w:pStyle w:val="Compact"/>
              <w:spacing w:line="240" w:lineRule="auto" w:after="0"/>
              <w:ind w:firstLine="0"/>
              <w:jc w:val="right"/>
            </w:pPr>
            <w:r>
              <w:rPr>
                <w:rFonts w:ascii="Arial" w:hAnsi="Arial"/>
                <w:b w:val="0"/>
                <w:sz w:val="20"/>
              </w:rPr>
              <w:t xml:space="preserve">0,3341 (0,0011)</w:t>
            </w:r>
          </w:p>
        </w:tc>
        <w:tc>
          <w:tcPr>
            <w:tcW w:type="dxa" w:w="1437"/>
          </w:tcPr>
          <w:p>
            <w:pPr>
              <w:pStyle w:val="Compact"/>
              <w:spacing w:line="240" w:lineRule="auto" w:after="0"/>
              <w:ind w:firstLine="0"/>
              <w:jc w:val="right"/>
            </w:pPr>
            <w:r>
              <w:rPr>
                <w:rFonts w:ascii="Arial" w:hAnsi="Arial"/>
                <w:b w:val="0"/>
                <w:sz w:val="20"/>
              </w:rPr>
              <w:t xml:space="preserve">0,3350 (0,0011)</w:t>
            </w:r>
          </w:p>
        </w:tc>
        <w:tc>
          <w:tcPr>
            <w:tcW w:type="dxa" w:w="1450"/>
          </w:tcPr>
          <w:p>
            <w:pPr>
              <w:pStyle w:val="Compact"/>
              <w:spacing w:line="240" w:lineRule="auto" w:after="0"/>
              <w:ind w:firstLine="0"/>
              <w:jc w:val="right"/>
            </w:pPr>
            <w:r>
              <w:rPr>
                <w:rFonts w:ascii="Arial" w:hAnsi="Arial"/>
                <w:b w:val="0"/>
                <w:sz w:val="20"/>
              </w:rPr>
              <w:t xml:space="preserve">0,2445 (0,0011)</w:t>
            </w:r>
          </w:p>
        </w:tc>
      </w:tr>
      <w:tr>
        <w:trPr>
          <w:cantSplit/>
        </w:trPr>
        <w:tc>
          <w:tcPr>
            <w:tcW w:type="dxa" w:w="1895"/>
          </w:tcPr>
          <w:p>
            <w:pPr>
              <w:pStyle w:val="Compact"/>
              <w:spacing w:line="240" w:lineRule="auto" w:after="0"/>
              <w:ind w:firstLine="0"/>
              <w:jc w:val="left"/>
            </w:pPr>
          </w:p>
        </w:tc>
        <w:tc>
          <w:tcPr>
            <w:tcW w:type="dxa" w:w="1415"/>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50"/>
          </w:tcPr>
          <w:p>
            <w:pPr>
              <w:pStyle w:val="Compact"/>
              <w:spacing w:line="240" w:lineRule="auto" w:after="0"/>
              <w:ind w:firstLine="0"/>
              <w:jc w:val="left"/>
            </w:pPr>
          </w:p>
        </w:tc>
      </w:tr>
      <w:tr>
        <w:trPr>
          <w:cantSplit/>
        </w:trPr>
        <w:tc>
          <w:tcPr>
            <w:tcW w:type="dxa" w:w="1895"/>
          </w:tcPr>
          <w:p>
            <w:pPr>
              <w:pStyle w:val="Compact"/>
              <w:spacing w:line="240" w:lineRule="auto" w:after="0"/>
              <w:ind w:firstLine="0"/>
              <w:jc w:val="left"/>
            </w:pPr>
            <w:r>
              <w:rPr>
                <w:rFonts w:ascii="Arial" w:hAnsi="Arial"/>
                <w:b w:val="0"/>
                <w:sz w:val="20"/>
              </w:rPr>
              <w:t xml:space="preserve">log(horas)</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0,6536 (0,0006)</w:t>
            </w:r>
          </w:p>
        </w:tc>
        <w:tc>
          <w:tcPr>
            <w:tcW w:type="dxa" w:w="1437"/>
          </w:tcPr>
          <w:p>
            <w:pPr>
              <w:pStyle w:val="Compact"/>
              <w:spacing w:line="240" w:lineRule="auto" w:after="0"/>
              <w:ind w:firstLine="0"/>
              <w:jc w:val="right"/>
            </w:pPr>
            <w:r>
              <w:rPr>
                <w:rFonts w:ascii="Arial" w:hAnsi="Arial"/>
                <w:b w:val="0"/>
                <w:sz w:val="20"/>
              </w:rPr>
              <w:t xml:space="preserve">0,6539 (0,0006)</w:t>
            </w:r>
          </w:p>
        </w:tc>
        <w:tc>
          <w:tcPr>
            <w:tcW w:type="dxa" w:w="1437"/>
          </w:tcPr>
          <w:p>
            <w:pPr>
              <w:pStyle w:val="Compact"/>
              <w:spacing w:line="240" w:lineRule="auto" w:after="0"/>
              <w:ind w:firstLine="0"/>
              <w:jc w:val="right"/>
            </w:pPr>
            <w:r>
              <w:rPr>
                <w:rFonts w:ascii="Arial" w:hAnsi="Arial"/>
                <w:b w:val="0"/>
                <w:sz w:val="20"/>
              </w:rPr>
              <w:t xml:space="preserve">0,6534 (0,0006)</w:t>
            </w:r>
          </w:p>
        </w:tc>
        <w:tc>
          <w:tcPr>
            <w:tcW w:type="dxa" w:w="1450"/>
          </w:tcPr>
          <w:p>
            <w:pPr>
              <w:pStyle w:val="Compact"/>
              <w:spacing w:line="240" w:lineRule="auto" w:after="0"/>
              <w:ind w:firstLine="0"/>
              <w:jc w:val="right"/>
            </w:pPr>
            <w:r>
              <w:rPr>
                <w:rFonts w:ascii="Arial" w:hAnsi="Arial"/>
                <w:b w:val="0"/>
                <w:sz w:val="20"/>
              </w:rPr>
              <w:t xml:space="preserve">0,5801 (0,0006)</w:t>
            </w:r>
          </w:p>
        </w:tc>
      </w:tr>
      <w:tr>
        <w:trPr>
          <w:cantSplit/>
        </w:trPr>
        <w:tc>
          <w:tcPr>
            <w:tcW w:type="dxa" w:w="1895"/>
          </w:tcPr>
          <w:p>
            <w:pPr>
              <w:pStyle w:val="Compact"/>
              <w:spacing w:line="240" w:lineRule="auto" w:after="0"/>
              <w:ind w:firstLine="0"/>
              <w:jc w:val="left"/>
            </w:pPr>
            <w:r>
              <w:rPr>
                <w:rFonts w:ascii="Arial" w:hAnsi="Arial"/>
                <w:b w:val="0"/>
                <w:sz w:val="20"/>
              </w:rPr>
              <w:t xml:space="preserve">Urbano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0,3419 (0,0037)</w:t>
            </w:r>
          </w:p>
        </w:tc>
        <w:tc>
          <w:tcPr>
            <w:tcW w:type="dxa" w:w="1437"/>
          </w:tcPr>
          <w:p>
            <w:pPr>
              <w:pStyle w:val="Compact"/>
              <w:spacing w:line="240" w:lineRule="auto" w:after="0"/>
              <w:ind w:firstLine="0"/>
              <w:jc w:val="right"/>
            </w:pPr>
            <w:r>
              <w:rPr>
                <w:rFonts w:ascii="Arial" w:hAnsi="Arial"/>
                <w:b w:val="0"/>
                <w:sz w:val="20"/>
              </w:rPr>
              <w:t xml:space="preserve">0,0927 (0,0032)</w:t>
            </w:r>
          </w:p>
        </w:tc>
        <w:tc>
          <w:tcPr>
            <w:tcW w:type="dxa" w:w="1437"/>
          </w:tcPr>
          <w:p>
            <w:pPr>
              <w:pStyle w:val="Compact"/>
              <w:spacing w:line="240" w:lineRule="auto" w:after="0"/>
              <w:ind w:firstLine="0"/>
              <w:jc w:val="right"/>
            </w:pPr>
            <w:r>
              <w:rPr>
                <w:rFonts w:ascii="Arial" w:hAnsi="Arial"/>
                <w:b w:val="0"/>
                <w:sz w:val="20"/>
              </w:rPr>
              <w:t xml:space="preserve">0,0492 (0,0027)</w:t>
            </w:r>
          </w:p>
        </w:tc>
        <w:tc>
          <w:tcPr>
            <w:tcW w:type="dxa" w:w="1450"/>
          </w:tcPr>
          <w:p>
            <w:pPr>
              <w:pStyle w:val="Compact"/>
              <w:spacing w:line="240" w:lineRule="auto" w:after="0"/>
              <w:ind w:firstLine="0"/>
              <w:jc w:val="right"/>
            </w:pPr>
            <w:r>
              <w:rPr>
                <w:rFonts w:ascii="Arial" w:hAnsi="Arial"/>
                <w:b w:val="0"/>
                <w:sz w:val="20"/>
              </w:rPr>
              <w:t xml:space="preserve">0,0071 (0,0025)</w:t>
            </w:r>
          </w:p>
        </w:tc>
      </w:tr>
      <w:tr>
        <w:trPr>
          <w:cantSplit/>
        </w:trPr>
        <w:tc>
          <w:tcPr>
            <w:tcW w:type="dxa" w:w="1895"/>
          </w:tcPr>
          <w:p>
            <w:pPr>
              <w:pStyle w:val="Compact"/>
              <w:spacing w:line="240" w:lineRule="auto" w:after="0"/>
              <w:ind w:firstLine="0"/>
              <w:jc w:val="left"/>
            </w:pPr>
          </w:p>
        </w:tc>
        <w:tc>
          <w:tcPr>
            <w:tcW w:type="dxa" w:w="1415"/>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50"/>
          </w:tcPr>
          <w:p>
            <w:pPr>
              <w:pStyle w:val="Compact"/>
              <w:spacing w:line="240" w:lineRule="auto" w:after="0"/>
              <w:ind w:firstLine="0"/>
              <w:jc w:val="left"/>
            </w:pPr>
          </w:p>
        </w:tc>
      </w:tr>
      <w:tr>
        <w:trPr>
          <w:cantSplit/>
        </w:trPr>
        <w:tc>
          <w:tcPr>
            <w:tcW w:type="dxa" w:w="1895"/>
          </w:tcPr>
          <w:p>
            <w:pPr>
              <w:pStyle w:val="Compact"/>
              <w:spacing w:line="240" w:lineRule="auto" w:after="0"/>
              <w:ind w:firstLine="0"/>
              <w:jc w:val="left"/>
            </w:pPr>
            <w:r>
              <w:rPr>
                <w:rFonts w:ascii="Arial" w:hAnsi="Arial"/>
                <w:b w:val="0"/>
                <w:sz w:val="20"/>
              </w:rPr>
              <w:t xml:space="preserve">% negro na UPA (</w:t>
            </w:r>
            <w:r>
              <w:rPr>
                <w:rFonts w:ascii="Arial" w:hAnsi="Arial"/>
                <w:b w:val="0"/>
                <w:i/>
                <w:iCs/>
                <w:sz w:val="20"/>
              </w:rPr>
              <w:t xml:space="preserve">z</w:t>
            </w:r>
            <w:r>
              <w:rPr>
                <w:rFonts w:ascii="Arial" w:hAnsi="Arial"/>
                <w:b w:val="0"/>
                <w:sz w:val="20"/>
              </w:rPr>
              <w:t xml:space="preserve">)</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−0,1272 (0,0013)</w:t>
            </w:r>
          </w:p>
        </w:tc>
        <w:tc>
          <w:tcPr>
            <w:tcW w:type="dxa" w:w="1437"/>
          </w:tcPr>
          <w:p>
            <w:pPr>
              <w:pStyle w:val="Compact"/>
              <w:spacing w:line="240" w:lineRule="auto" w:after="0"/>
              <w:ind w:firstLine="0"/>
              <w:jc w:val="right"/>
            </w:pPr>
            <w:r>
              <w:rPr>
                <w:rFonts w:ascii="Arial" w:hAnsi="Arial"/>
                <w:b w:val="0"/>
                <w:sz w:val="20"/>
              </w:rPr>
              <w:t xml:space="preserve">−0,0528 (0,0018)</w:t>
            </w:r>
          </w:p>
        </w:tc>
        <w:tc>
          <w:tcPr>
            <w:tcW w:type="dxa" w:w="1450"/>
          </w:tcPr>
          <w:p>
            <w:pPr>
              <w:pStyle w:val="Compact"/>
              <w:spacing w:line="240" w:lineRule="auto" w:after="0"/>
              <w:ind w:firstLine="0"/>
              <w:jc w:val="right"/>
            </w:pPr>
            <w:r>
              <w:rPr>
                <w:rFonts w:ascii="Arial" w:hAnsi="Arial"/>
                <w:b w:val="0"/>
                <w:sz w:val="20"/>
              </w:rPr>
              <w:t xml:space="preserve">−0,0576 (0,0017)</w:t>
            </w:r>
          </w:p>
        </w:tc>
      </w:tr>
      <w:tr>
        <w:trPr>
          <w:cantSplit/>
        </w:trPr>
        <w:tc>
          <w:tcPr>
            <w:tcW w:type="dxa" w:w="1895"/>
          </w:tcPr>
          <w:p>
            <w:pPr>
              <w:pStyle w:val="Compact"/>
              <w:spacing w:line="240" w:lineRule="auto" w:after="0"/>
              <w:ind w:firstLine="0"/>
              <w:jc w:val="left"/>
            </w:pPr>
            <w:r>
              <w:rPr>
                <w:rFonts w:ascii="Arial" w:hAnsi="Arial"/>
                <w:b w:val="0"/>
                <w:sz w:val="20"/>
              </w:rPr>
              <w:t xml:space="preserve">Desemprego na UPA (</w:t>
            </w:r>
            <w:r>
              <w:rPr>
                <w:rFonts w:ascii="Arial" w:hAnsi="Arial"/>
                <w:b w:val="0"/>
                <w:i/>
                <w:iCs/>
                <w:sz w:val="20"/>
              </w:rPr>
              <w:t xml:space="preserve">z</w:t>
            </w:r>
            <w:r>
              <w:rPr>
                <w:rFonts w:ascii="Arial" w:hAnsi="Arial"/>
                <w:b w:val="0"/>
                <w:sz w:val="20"/>
              </w:rPr>
              <w:t xml:space="preserve">)</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−0,0183 (0,0012)</w:t>
            </w:r>
          </w:p>
        </w:tc>
        <w:tc>
          <w:tcPr>
            <w:tcW w:type="dxa" w:w="1437"/>
          </w:tcPr>
          <w:p>
            <w:pPr>
              <w:pStyle w:val="Compact"/>
              <w:spacing w:line="240" w:lineRule="auto" w:after="0"/>
              <w:ind w:firstLine="0"/>
              <w:jc w:val="right"/>
            </w:pPr>
            <w:r>
              <w:rPr>
                <w:rFonts w:ascii="Arial" w:hAnsi="Arial"/>
                <w:b w:val="0"/>
                <w:sz w:val="20"/>
              </w:rPr>
              <w:t xml:space="preserve">−0,0007 (0,0010)</w:t>
            </w:r>
          </w:p>
        </w:tc>
        <w:tc>
          <w:tcPr>
            <w:tcW w:type="dxa" w:w="1450"/>
          </w:tcPr>
          <w:p>
            <w:pPr>
              <w:pStyle w:val="Compact"/>
              <w:spacing w:line="240" w:lineRule="auto" w:after="0"/>
              <w:ind w:firstLine="0"/>
              <w:jc w:val="right"/>
            </w:pPr>
            <w:r>
              <w:rPr>
                <w:rFonts w:ascii="Arial" w:hAnsi="Arial"/>
                <w:b w:val="0"/>
                <w:sz w:val="20"/>
              </w:rPr>
              <w:t xml:space="preserve">−0,0051 (0,0010)</w:t>
            </w:r>
          </w:p>
        </w:tc>
      </w:tr>
      <w:tr>
        <w:trPr>
          <w:cantSplit/>
        </w:trPr>
        <w:tc>
          <w:tcPr>
            <w:tcW w:type="dxa" w:w="1895"/>
          </w:tcPr>
          <w:p>
            <w:pPr>
              <w:pStyle w:val="Compact"/>
              <w:spacing w:line="240" w:lineRule="auto" w:after="0"/>
              <w:ind w:firstLine="0"/>
              <w:jc w:val="left"/>
            </w:pPr>
            <w:r>
              <w:rPr>
                <w:rFonts w:ascii="Arial" w:hAnsi="Arial"/>
                <w:b w:val="0"/>
                <w:sz w:val="20"/>
              </w:rPr>
              <w:t xml:space="preserve">Educ. média na UPA (</w:t>
            </w:r>
            <w:r>
              <w:rPr>
                <w:rFonts w:ascii="Arial" w:hAnsi="Arial"/>
                <w:b w:val="0"/>
                <w:i/>
                <w:iCs/>
                <w:sz w:val="20"/>
              </w:rPr>
              <w:t xml:space="preserve">z</w:t>
            </w:r>
            <w:r>
              <w:rPr>
                <w:rFonts w:ascii="Arial" w:hAnsi="Arial"/>
                <w:b w:val="0"/>
                <w:sz w:val="20"/>
              </w:rPr>
              <w:t xml:space="preserve">)</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0,1577 (0,0014)</w:t>
            </w:r>
          </w:p>
        </w:tc>
        <w:tc>
          <w:tcPr>
            <w:tcW w:type="dxa" w:w="1437"/>
          </w:tcPr>
          <w:p>
            <w:pPr>
              <w:pStyle w:val="Compact"/>
              <w:spacing w:line="240" w:lineRule="auto" w:after="0"/>
              <w:ind w:firstLine="0"/>
              <w:jc w:val="right"/>
            </w:pPr>
            <w:r>
              <w:rPr>
                <w:rFonts w:ascii="Arial" w:hAnsi="Arial"/>
                <w:b w:val="0"/>
                <w:sz w:val="20"/>
              </w:rPr>
              <w:t xml:space="preserve">0,1694 (0,0013)</w:t>
            </w:r>
          </w:p>
        </w:tc>
        <w:tc>
          <w:tcPr>
            <w:tcW w:type="dxa" w:w="1450"/>
          </w:tcPr>
          <w:p>
            <w:pPr>
              <w:pStyle w:val="Compact"/>
              <w:spacing w:line="240" w:lineRule="auto" w:after="0"/>
              <w:ind w:firstLine="0"/>
              <w:jc w:val="right"/>
            </w:pPr>
            <w:r>
              <w:rPr>
                <w:rFonts w:ascii="Arial" w:hAnsi="Arial"/>
                <w:b w:val="0"/>
                <w:sz w:val="20"/>
              </w:rPr>
              <w:t xml:space="preserve">0,1427 (0,0012)</w:t>
            </w:r>
          </w:p>
        </w:tc>
      </w:tr>
      <w:tr>
        <w:trPr>
          <w:cantSplit/>
        </w:trPr>
        <w:tc>
          <w:tcPr>
            <w:tcW w:type="dxa" w:w="1895"/>
          </w:tcPr>
          <w:p>
            <w:pPr>
              <w:pStyle w:val="Compact"/>
              <w:spacing w:line="240" w:lineRule="auto" w:after="0"/>
              <w:ind w:firstLine="0"/>
              <w:jc w:val="left"/>
            </w:pPr>
          </w:p>
        </w:tc>
        <w:tc>
          <w:tcPr>
            <w:tcW w:type="dxa" w:w="1415"/>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50"/>
          </w:tcPr>
          <w:p>
            <w:pPr>
              <w:pStyle w:val="Compact"/>
              <w:spacing w:line="240" w:lineRule="auto" w:after="0"/>
              <w:ind w:firstLine="0"/>
              <w:jc w:val="left"/>
            </w:pPr>
          </w:p>
        </w:tc>
      </w:tr>
      <w:tr>
        <w:trPr>
          <w:cantSplit/>
        </w:trPr>
        <w:tc>
          <w:tcPr>
            <w:tcW w:type="dxa" w:w="1895"/>
          </w:tcPr>
          <w:p>
            <w:pPr>
              <w:pStyle w:val="Compact"/>
              <w:spacing w:line="240" w:lineRule="auto" w:after="0"/>
              <w:ind w:firstLine="0"/>
              <w:jc w:val="left"/>
            </w:pPr>
            <w:r>
              <w:rPr>
                <w:rFonts w:ascii="Arial" w:hAnsi="Arial"/>
                <w:b w:val="0"/>
                <w:sz w:val="20"/>
              </w:rPr>
              <w:t xml:space="preserve">Emprego formal</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0,1585 (0,0006)</w:t>
            </w:r>
          </w:p>
        </w:tc>
      </w:tr>
      <w:tr>
        <w:trPr>
          <w:cantSplit/>
        </w:trPr>
        <w:tc>
          <w:tcPr>
            <w:tcW w:type="dxa" w:w="1895"/>
          </w:tcPr>
          <w:p>
            <w:pPr>
              <w:pStyle w:val="Compact"/>
              <w:spacing w:line="240" w:lineRule="auto" w:after="0"/>
              <w:ind w:firstLine="0"/>
              <w:jc w:val="left"/>
            </w:pPr>
            <w:r>
              <w:rPr>
                <w:rFonts w:ascii="Arial" w:hAnsi="Arial"/>
                <w:b w:val="0"/>
                <w:sz w:val="20"/>
              </w:rPr>
              <w:t xml:space="preserve">Conta própria</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−0,1658 (0,0006)</w:t>
            </w:r>
          </w:p>
        </w:tc>
      </w:tr>
      <w:tr>
        <w:trPr>
          <w:cantSplit/>
        </w:trPr>
        <w:tc>
          <w:tcPr>
            <w:tcW w:type="dxa" w:w="1895"/>
          </w:tcPr>
          <w:p>
            <w:pPr>
              <w:pStyle w:val="Compact"/>
              <w:spacing w:line="240" w:lineRule="auto" w:after="0"/>
              <w:ind w:firstLine="0"/>
              <w:jc w:val="left"/>
            </w:pPr>
            <w:r>
              <w:rPr>
                <w:rFonts w:ascii="Arial" w:hAnsi="Arial"/>
                <w:b w:val="0"/>
                <w:sz w:val="20"/>
              </w:rPr>
              <w:t xml:space="preserve">Trab. doméstico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−0,1052 (0,0010)</w:t>
            </w:r>
          </w:p>
        </w:tc>
      </w:tr>
      <w:tr>
        <w:trPr>
          <w:cantSplit/>
        </w:trPr>
        <w:tc>
          <w:tcPr>
            <w:tcW w:type="dxa" w:w="1895"/>
          </w:tcPr>
          <w:p>
            <w:pPr>
              <w:pStyle w:val="Compact"/>
              <w:spacing w:line="240" w:lineRule="auto" w:after="0"/>
              <w:ind w:firstLine="0"/>
              <w:jc w:val="left"/>
            </w:pPr>
            <w:r>
              <w:rPr>
                <w:rFonts w:ascii="Arial" w:hAnsi="Arial"/>
                <w:b w:val="0"/>
                <w:sz w:val="20"/>
              </w:rPr>
              <w:t xml:space="preserve">CBO: dirigente</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0,6250 (0,0013)</w:t>
            </w:r>
          </w:p>
        </w:tc>
      </w:tr>
      <w:tr>
        <w:trPr>
          <w:cantSplit/>
        </w:trPr>
        <w:tc>
          <w:tcPr>
            <w:tcW w:type="dxa" w:w="1895"/>
          </w:tcPr>
          <w:p>
            <w:pPr>
              <w:pStyle w:val="Compact"/>
              <w:spacing w:line="240" w:lineRule="auto" w:after="0"/>
              <w:ind w:firstLine="0"/>
              <w:jc w:val="left"/>
            </w:pPr>
            <w:r>
              <w:rPr>
                <w:rFonts w:ascii="Arial" w:hAnsi="Arial"/>
                <w:b w:val="0"/>
                <w:sz w:val="20"/>
              </w:rPr>
              <w:t xml:space="preserve">CBO: profissional</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0,5608 (0,0011)</w:t>
            </w:r>
          </w:p>
        </w:tc>
      </w:tr>
      <w:tr>
        <w:trPr>
          <w:cantSplit/>
        </w:trPr>
        <w:tc>
          <w:tcPr>
            <w:tcW w:type="dxa" w:w="1895"/>
          </w:tcPr>
          <w:p>
            <w:pPr>
              <w:pStyle w:val="Compact"/>
              <w:spacing w:line="240" w:lineRule="auto" w:after="0"/>
              <w:ind w:firstLine="0"/>
              <w:jc w:val="left"/>
            </w:pPr>
            <w:r>
              <w:rPr>
                <w:rFonts w:ascii="Arial" w:hAnsi="Arial"/>
                <w:b w:val="0"/>
                <w:sz w:val="20"/>
              </w:rPr>
              <w:t xml:space="preserve">CBO: técnico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0,4001 (0,0010)</w:t>
            </w:r>
          </w:p>
        </w:tc>
      </w:tr>
      <w:tr>
        <w:trPr>
          <w:cantSplit/>
        </w:trPr>
        <w:tc>
          <w:tcPr>
            <w:tcW w:type="dxa" w:w="1895"/>
          </w:tcPr>
          <w:p>
            <w:pPr>
              <w:pStyle w:val="Compact"/>
              <w:spacing w:line="240" w:lineRule="auto" w:after="0"/>
              <w:ind w:firstLine="0"/>
              <w:jc w:val="left"/>
            </w:pPr>
            <w:r>
              <w:rPr>
                <w:rFonts w:ascii="Arial" w:hAnsi="Arial"/>
                <w:b w:val="0"/>
                <w:sz w:val="20"/>
              </w:rPr>
              <w:t xml:space="preserve">CBO: administrativo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0,1771 (0,0010)</w:t>
            </w:r>
          </w:p>
        </w:tc>
      </w:tr>
      <w:tr>
        <w:trPr>
          <w:cantSplit/>
        </w:trPr>
        <w:tc>
          <w:tcPr>
            <w:tcW w:type="dxa" w:w="1895"/>
          </w:tcPr>
          <w:p>
            <w:pPr>
              <w:pStyle w:val="Compact"/>
              <w:spacing w:line="240" w:lineRule="auto" w:after="0"/>
              <w:ind w:firstLine="0"/>
              <w:jc w:val="left"/>
            </w:pPr>
            <w:r>
              <w:rPr>
                <w:rFonts w:ascii="Arial" w:hAnsi="Arial"/>
                <w:b w:val="0"/>
                <w:sz w:val="20"/>
              </w:rPr>
              <w:t xml:space="preserve">CBO: serviços</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0,1517 (0,0007)</w:t>
            </w:r>
          </w:p>
        </w:tc>
      </w:tr>
      <w:tr>
        <w:trPr>
          <w:cantSplit/>
        </w:trPr>
        <w:tc>
          <w:tcPr>
            <w:tcW w:type="dxa" w:w="1895"/>
          </w:tcPr>
          <w:p>
            <w:pPr>
              <w:pStyle w:val="Compact"/>
              <w:spacing w:line="240" w:lineRule="auto" w:after="0"/>
              <w:ind w:firstLine="0"/>
              <w:jc w:val="left"/>
            </w:pPr>
            <w:r>
              <w:rPr>
                <w:rFonts w:ascii="Arial" w:hAnsi="Arial"/>
                <w:b w:val="0"/>
                <w:sz w:val="20"/>
              </w:rPr>
              <w:t xml:space="preserve">CBO: agropecuária</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0,0844 (0,0010)</w:t>
            </w:r>
          </w:p>
        </w:tc>
      </w:tr>
      <w:tr>
        <w:trPr>
          <w:cantSplit/>
        </w:trPr>
        <w:tc>
          <w:tcPr>
            <w:tcW w:type="dxa" w:w="1895"/>
          </w:tcPr>
          <w:p>
            <w:pPr>
              <w:pStyle w:val="Compact"/>
              <w:spacing w:line="240" w:lineRule="auto" w:after="0"/>
              <w:ind w:firstLine="0"/>
              <w:jc w:val="left"/>
            </w:pPr>
            <w:r>
              <w:rPr>
                <w:rFonts w:ascii="Arial" w:hAnsi="Arial"/>
                <w:b w:val="0"/>
                <w:sz w:val="20"/>
              </w:rPr>
              <w:t xml:space="preserve">CBO: operário</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0,1839 (0,0008)</w:t>
            </w:r>
          </w:p>
        </w:tc>
      </w:tr>
      <w:tr>
        <w:trPr>
          <w:cantSplit/>
        </w:trPr>
        <w:tc>
          <w:tcPr>
            <w:tcW w:type="dxa" w:w="1895"/>
          </w:tcPr>
          <w:p>
            <w:pPr>
              <w:pStyle w:val="Compact"/>
              <w:spacing w:line="240" w:lineRule="auto" w:after="0"/>
              <w:ind w:firstLine="0"/>
              <w:jc w:val="left"/>
            </w:pPr>
            <w:r>
              <w:rPr>
                <w:rFonts w:ascii="Arial" w:hAnsi="Arial"/>
                <w:b w:val="0"/>
                <w:sz w:val="20"/>
              </w:rPr>
              <w:t xml:space="preserve">CBO: operador</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0,2152 (0,0009)</w:t>
            </w:r>
          </w:p>
        </w:tc>
      </w:tr>
      <w:tr>
        <w:trPr>
          <w:cantSplit/>
        </w:trPr>
        <w:tc>
          <w:tcPr>
            <w:tcW w:type="dxa" w:w="1895"/>
          </w:tcPr>
          <w:p>
            <w:pPr>
              <w:pStyle w:val="Compact"/>
              <w:spacing w:line="240" w:lineRule="auto" w:after="0"/>
              <w:ind w:firstLine="0"/>
              <w:jc w:val="left"/>
            </w:pPr>
            <w:r>
              <w:rPr>
                <w:rFonts w:ascii="Arial" w:hAnsi="Arial"/>
                <w:b w:val="0"/>
                <w:sz w:val="20"/>
              </w:rPr>
              <w:t xml:space="preserve">CBO: FFAA</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w:t>
            </w:r>
          </w:p>
        </w:tc>
        <w:tc>
          <w:tcPr>
            <w:tcW w:type="dxa" w:w="1450"/>
          </w:tcPr>
          <w:p>
            <w:pPr>
              <w:pStyle w:val="Compact"/>
              <w:spacing w:line="240" w:lineRule="auto" w:after="0"/>
              <w:ind w:firstLine="0"/>
              <w:jc w:val="right"/>
            </w:pPr>
            <w:r>
              <w:rPr>
                <w:rFonts w:ascii="Arial" w:hAnsi="Arial"/>
                <w:b w:val="0"/>
                <w:sz w:val="20"/>
              </w:rPr>
              <w:t xml:space="preserve">0,7871 (0,0023)</w:t>
            </w:r>
          </w:p>
        </w:tc>
      </w:tr>
      <w:tr>
        <w:trPr>
          <w:cantSplit/>
        </w:trPr>
        <w:tc>
          <w:tcPr>
            <w:tcW w:type="dxa" w:w="1895"/>
          </w:tcPr>
          <w:p>
            <w:pPr>
              <w:pStyle w:val="Compact"/>
              <w:spacing w:line="240" w:lineRule="auto" w:after="0"/>
              <w:ind w:firstLine="0"/>
              <w:jc w:val="left"/>
            </w:pPr>
            <w:r>
              <w:rPr>
                <w:rFonts w:ascii="Arial" w:hAnsi="Arial"/>
                <w:b w:val="0"/>
                <w:sz w:val="20"/>
              </w:rPr>
              <w:t xml:space="preserve">IC 95% de</w:t>
            </w:r>
            <w:r>
              <w:rPr>
                <w:rFonts w:ascii="Arial" w:hAnsi="Arial"/>
                <w:b w:val="0"/>
                <w:sz w:val="20"/>
              </w:rPr>
              <w:t xml:space="preserve"> </w:t>
            </w:r>
            <m:oMath>
              <m:sSub>
                <m:e>
                  <m:r>
                    <m:t>β</m:t>
                  </m:r>
                </m:e>
                <m:sub>
                  <m:r>
                    <m:rPr>
                      <m:nor/>
                      <m:sty m:val="p"/>
                    </m:rPr>
                    <m:t>negro</m:t>
                  </m:r>
                </m:sub>
              </m:sSub>
            </m:oMath>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left"/>
            </w:pPr>
            <w:r>
              <w:rPr>
                <w:rFonts w:ascii="Arial" w:hAnsi="Arial"/>
                <w:b w:val="0"/>
                <w:sz w:val="20"/>
              </w:rPr>
              <w:t xml:space="preserve">[−0,0679; −0,0658]</w:t>
            </w:r>
          </w:p>
        </w:tc>
        <w:tc>
          <w:tcPr>
            <w:tcW w:type="dxa" w:w="1437"/>
          </w:tcPr>
          <w:p>
            <w:pPr>
              <w:pStyle w:val="Compact"/>
              <w:spacing w:line="240" w:lineRule="auto" w:after="0"/>
              <w:ind w:firstLine="0"/>
              <w:jc w:val="left"/>
            </w:pPr>
            <w:r>
              <w:rPr>
                <w:rFonts w:ascii="Arial" w:hAnsi="Arial"/>
                <w:b w:val="0"/>
                <w:sz w:val="20"/>
              </w:rPr>
              <w:t xml:space="preserve">[−0,0647; −0,0627]</w:t>
            </w:r>
          </w:p>
        </w:tc>
        <w:tc>
          <w:tcPr>
            <w:tcW w:type="dxa" w:w="1437"/>
          </w:tcPr>
          <w:p>
            <w:pPr>
              <w:pStyle w:val="Compact"/>
              <w:spacing w:line="240" w:lineRule="auto" w:after="0"/>
              <w:ind w:firstLine="0"/>
              <w:jc w:val="left"/>
            </w:pPr>
            <w:r>
              <w:rPr>
                <w:rFonts w:ascii="Arial" w:hAnsi="Arial"/>
                <w:b w:val="0"/>
                <w:sz w:val="20"/>
              </w:rPr>
              <w:t xml:space="preserve">[−0,0639; −0,0619]</w:t>
            </w:r>
          </w:p>
        </w:tc>
        <w:tc>
          <w:tcPr>
            <w:tcW w:type="dxa" w:w="1450"/>
          </w:tcPr>
          <w:p>
            <w:pPr>
              <w:pStyle w:val="Compact"/>
              <w:spacing w:line="240" w:lineRule="auto" w:after="0"/>
              <w:ind w:firstLine="0"/>
              <w:jc w:val="left"/>
            </w:pPr>
            <w:r>
              <w:rPr>
                <w:rFonts w:ascii="Arial" w:hAnsi="Arial"/>
                <w:b w:val="0"/>
                <w:sz w:val="20"/>
              </w:rPr>
              <w:t xml:space="preserve">[−0,0588; −0,0569]</w:t>
            </w:r>
          </w:p>
        </w:tc>
      </w:tr>
      <w:tr>
        <w:trPr>
          <w:cantSplit/>
        </w:trPr>
        <w:tc>
          <w:tcPr>
            <w:tcW w:type="dxa" w:w="1895"/>
          </w:tcPr>
          <w:p>
            <w:pPr>
              <w:pStyle w:val="Compact"/>
              <w:spacing w:line="240" w:lineRule="auto" w:after="0"/>
              <w:ind w:firstLine="0"/>
              <w:jc w:val="left"/>
            </w:pPr>
            <w:r>
              <w:rPr>
                <w:rFonts w:ascii="Arial" w:hAnsi="Arial"/>
                <w:b w:val="0"/>
                <w:sz w:val="20"/>
              </w:rPr>
              <w:t xml:space="preserve">Gap (%)</w:t>
            </w:r>
            <w:r>
              <w:rPr>
                <w:rFonts w:ascii="Arial" w:hAnsi="Arial"/>
                <w:b w:val="0"/>
                <w:sz w:val="20"/>
              </w:rPr>
              <w:t xml:space="preserve"> </w:t>
            </w:r>
            <m:oMath>
              <m:r>
                <m:rPr>
                  <m:sty m:val="p"/>
                </m:rPr>
                <m:t>=</m:t>
              </m:r>
              <m:sSup>
                <m:e>
                  <m:r>
                    <m:t>e</m:t>
                  </m:r>
                </m:e>
                <m:sup>
                  <m:r>
                    <m:t>β</m:t>
                  </m:r>
                </m:sup>
              </m:sSup>
              <m:r>
                <m:rPr>
                  <m:sty m:val="p"/>
                </m:rPr>
                <m:t>−</m:t>
              </m:r>
              <m:r>
                <m:t>1</m:t>
              </m:r>
            </m:oMath>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−6,5</w:t>
            </w:r>
          </w:p>
        </w:tc>
        <w:tc>
          <w:tcPr>
            <w:tcW w:type="dxa" w:w="1437"/>
          </w:tcPr>
          <w:p>
            <w:pPr>
              <w:pStyle w:val="Compact"/>
              <w:spacing w:line="240" w:lineRule="auto" w:after="0"/>
              <w:ind w:firstLine="0"/>
              <w:jc w:val="right"/>
            </w:pPr>
            <w:r>
              <w:rPr>
                <w:rFonts w:ascii="Arial" w:hAnsi="Arial"/>
                <w:b w:val="0"/>
                <w:sz w:val="20"/>
              </w:rPr>
              <w:t xml:space="preserve">−6,2</w:t>
            </w:r>
          </w:p>
        </w:tc>
        <w:tc>
          <w:tcPr>
            <w:tcW w:type="dxa" w:w="1437"/>
          </w:tcPr>
          <w:p>
            <w:pPr>
              <w:pStyle w:val="Compact"/>
              <w:spacing w:line="240" w:lineRule="auto" w:after="0"/>
              <w:ind w:firstLine="0"/>
              <w:jc w:val="right"/>
            </w:pPr>
            <w:r>
              <w:rPr>
                <w:rFonts w:ascii="Arial" w:hAnsi="Arial"/>
                <w:b w:val="0"/>
                <w:sz w:val="20"/>
              </w:rPr>
              <w:t xml:space="preserve">−6,1</w:t>
            </w:r>
          </w:p>
        </w:tc>
        <w:tc>
          <w:tcPr>
            <w:tcW w:type="dxa" w:w="1450"/>
          </w:tcPr>
          <w:p>
            <w:pPr>
              <w:pStyle w:val="Compact"/>
              <w:spacing w:line="240" w:lineRule="auto" w:after="0"/>
              <w:ind w:firstLine="0"/>
              <w:jc w:val="right"/>
            </w:pPr>
            <w:r>
              <w:rPr>
                <w:rFonts w:ascii="Arial" w:hAnsi="Arial"/>
                <w:b w:val="0"/>
                <w:sz w:val="20"/>
              </w:rPr>
              <w:t xml:space="preserve">−5,6</w:t>
            </w:r>
          </w:p>
        </w:tc>
      </w:tr>
      <w:tr>
        <w:trPr>
          <w:cantSplit/>
        </w:trPr>
        <w:tc>
          <w:tcPr>
            <w:tcW w:type="dxa" w:w="1895"/>
          </w:tcPr>
          <w:p>
            <w:pPr>
              <w:pStyle w:val="Compact"/>
              <w:spacing w:line="240" w:lineRule="auto" w:after="0"/>
              <w:ind w:firstLine="0"/>
              <w:jc w:val="left"/>
            </w:pPr>
            <w:r>
              <w:rPr>
                <w:rFonts w:ascii="Arial" w:hAnsi="Arial"/>
                <w:b w:val="0"/>
                <w:sz w:val="20"/>
              </w:rPr>
              <w:t xml:space="preserve">Efeitos fixos de UF</w:t>
            </w:r>
          </w:p>
        </w:tc>
        <w:tc>
          <w:tcPr>
            <w:tcW w:type="dxa" w:w="1415"/>
          </w:tcPr>
          <w:p>
            <w:pPr>
              <w:pStyle w:val="Compact"/>
              <w:spacing w:line="240" w:lineRule="auto" w:after="0"/>
              <w:ind w:firstLine="0"/>
              <w:jc w:val="left"/>
            </w:pPr>
            <w:r>
              <w:rPr>
                <w:rFonts w:ascii="Arial" w:hAnsi="Arial"/>
                <w:b w:val="0"/>
                <w:sz w:val="20"/>
              </w:rPr>
              <w:t xml:space="preserve">não</w:t>
            </w:r>
          </w:p>
        </w:tc>
        <w:tc>
          <w:tcPr>
            <w:tcW w:type="dxa" w:w="1437"/>
          </w:tcPr>
          <w:p>
            <w:pPr>
              <w:pStyle w:val="Compact"/>
              <w:spacing w:line="240" w:lineRule="auto" w:after="0"/>
              <w:ind w:firstLine="0"/>
              <w:jc w:val="left"/>
            </w:pPr>
            <w:r>
              <w:rPr>
                <w:rFonts w:ascii="Arial" w:hAnsi="Arial"/>
                <w:b w:val="0"/>
                <w:sz w:val="20"/>
              </w:rPr>
              <w:t xml:space="preserve">não</w:t>
            </w:r>
          </w:p>
        </w:tc>
        <w:tc>
          <w:tcPr>
            <w:tcW w:type="dxa" w:w="1437"/>
          </w:tcPr>
          <w:p>
            <w:pPr>
              <w:pStyle w:val="Compact"/>
              <w:spacing w:line="240" w:lineRule="auto" w:after="0"/>
              <w:ind w:firstLine="0"/>
              <w:jc w:val="left"/>
            </w:pPr>
            <w:r>
              <w:rPr>
                <w:rFonts w:ascii="Arial" w:hAnsi="Arial"/>
                <w:b w:val="0"/>
                <w:sz w:val="20"/>
              </w:rPr>
              <w:t xml:space="preserve">não</w:t>
            </w:r>
          </w:p>
        </w:tc>
        <w:tc>
          <w:tcPr>
            <w:tcW w:type="dxa" w:w="1437"/>
          </w:tcPr>
          <w:p>
            <w:pPr>
              <w:pStyle w:val="Compact"/>
              <w:spacing w:line="240" w:lineRule="auto" w:after="0"/>
              <w:ind w:firstLine="0"/>
              <w:jc w:val="left"/>
            </w:pPr>
            <w:r>
              <w:rPr>
                <w:rFonts w:ascii="Arial" w:hAnsi="Arial"/>
                <w:b w:val="0"/>
                <w:sz w:val="20"/>
              </w:rPr>
              <w:t xml:space="preserve">sim</w:t>
            </w:r>
          </w:p>
        </w:tc>
        <w:tc>
          <w:tcPr>
            <w:tcW w:type="dxa" w:w="1450"/>
          </w:tcPr>
          <w:p>
            <w:pPr>
              <w:pStyle w:val="Compact"/>
              <w:spacing w:line="240" w:lineRule="auto" w:after="0"/>
              <w:ind w:firstLine="0"/>
              <w:jc w:val="left"/>
            </w:pPr>
            <w:r>
              <w:rPr>
                <w:rFonts w:ascii="Arial" w:hAnsi="Arial"/>
                <w:b w:val="0"/>
                <w:sz w:val="20"/>
              </w:rPr>
              <w:t xml:space="preserve">sim</w:t>
            </w:r>
          </w:p>
        </w:tc>
      </w:tr>
      <w:tr>
        <w:trPr>
          <w:cantSplit/>
        </w:trPr>
        <w:tc>
          <w:tcPr>
            <w:tcW w:type="dxa" w:w="1895"/>
          </w:tcPr>
          <w:p>
            <w:pPr>
              <w:pStyle w:val="Compact"/>
              <w:spacing w:line="240" w:lineRule="auto" w:after="0"/>
              <w:ind w:firstLine="0"/>
              <w:jc w:val="left"/>
            </w:pPr>
          </w:p>
        </w:tc>
        <w:tc>
          <w:tcPr>
            <w:tcW w:type="dxa" w:w="1415"/>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37"/>
          </w:tcPr>
          <w:p>
            <w:pPr>
              <w:pStyle w:val="Compact"/>
              <w:spacing w:line="240" w:lineRule="auto" w:after="0"/>
              <w:ind w:firstLine="0"/>
              <w:jc w:val="left"/>
            </w:pPr>
          </w:p>
        </w:tc>
        <w:tc>
          <w:tcPr>
            <w:tcW w:type="dxa" w:w="1450"/>
          </w:tcPr>
          <w:p>
            <w:pPr>
              <w:pStyle w:val="Compact"/>
              <w:spacing w:line="240" w:lineRule="auto" w:after="0"/>
              <w:ind w:firstLine="0"/>
              <w:jc w:val="left"/>
            </w:pPr>
          </w:p>
        </w:tc>
      </w:tr>
      <w:tr>
        <w:trPr>
          <w:cantSplit/>
        </w:trPr>
        <w:tc>
          <w:tcPr>
            <w:tcW w:type="dxa" w:w="1895"/>
          </w:tcPr>
          <w:p>
            <w:pPr>
              <w:pStyle w:val="Compact"/>
              <w:spacing w:line="240" w:lineRule="auto" w:after="0"/>
              <w:ind w:firstLine="0"/>
              <w:jc w:val="left"/>
            </w:pPr>
            <m:oMath>
              <m:sSubSup>
                <m:e>
                  <m:acc>
                    <m:accPr>
                      <m:chr m:val="̂"/>
                    </m:accPr>
                    <m:e>
                      <m:r>
                        <m:t>τ</m:t>
                      </m:r>
                    </m:e>
                  </m:acc>
                </m:e>
                <m:sub>
                  <m:r>
                    <m:rPr>
                      <m:nor/>
                      <m:sty m:val="p"/>
                    </m:rPr>
                    <m:t>UPA</m:t>
                  </m:r>
                </m:sub>
                <m:sup>
                  <m:r>
                    <m:t>2</m:t>
                  </m:r>
                </m:sup>
              </m:sSubSup>
            </m:oMath>
            <w:r>
              <w:rPr>
                <w:rFonts w:ascii="Arial" w:hAnsi="Arial"/>
                <w:b w:val="0"/>
                <w:sz w:val="20"/>
              </w:rPr>
              <w:t xml:space="preserve"> </w:t>
            </w:r>
            <w:r>
              <w:rPr>
                <w:rFonts w:ascii="Arial" w:hAnsi="Arial"/>
                <w:b w:val="0"/>
                <w:sz w:val="20"/>
              </w:rPr>
              <w:t xml:space="preserve">(nível 2)</w:t>
            </w:r>
          </w:p>
        </w:tc>
        <w:tc>
          <w:tcPr>
            <w:tcW w:type="dxa" w:w="1415"/>
          </w:tcPr>
          <w:p>
            <w:pPr>
              <w:pStyle w:val="Compact"/>
              <w:spacing w:line="240" w:lineRule="auto" w:after="0"/>
              <w:ind w:firstLine="0"/>
              <w:jc w:val="right"/>
            </w:pPr>
            <w:r>
              <w:rPr>
                <w:rFonts w:ascii="Arial" w:hAnsi="Arial"/>
                <w:b w:val="0"/>
                <w:sz w:val="20"/>
              </w:rPr>
              <w:t xml:space="preserve">0,3018</w:t>
            </w:r>
          </w:p>
        </w:tc>
        <w:tc>
          <w:tcPr>
            <w:tcW w:type="dxa" w:w="1437"/>
          </w:tcPr>
          <w:p>
            <w:pPr>
              <w:pStyle w:val="Compact"/>
              <w:spacing w:line="240" w:lineRule="auto" w:after="0"/>
              <w:ind w:firstLine="0"/>
              <w:jc w:val="right"/>
            </w:pPr>
            <w:r>
              <w:rPr>
                <w:rFonts w:ascii="Arial" w:hAnsi="Arial"/>
                <w:b w:val="0"/>
                <w:sz w:val="20"/>
              </w:rPr>
              <w:t xml:space="preserve">0,1012</w:t>
            </w:r>
          </w:p>
        </w:tc>
        <w:tc>
          <w:tcPr>
            <w:tcW w:type="dxa" w:w="1437"/>
          </w:tcPr>
          <w:p>
            <w:pPr>
              <w:pStyle w:val="Compact"/>
              <w:spacing w:line="240" w:lineRule="auto" w:after="0"/>
              <w:ind w:firstLine="0"/>
              <w:jc w:val="right"/>
            </w:pPr>
            <w:r>
              <w:rPr>
                <w:rFonts w:ascii="Arial" w:hAnsi="Arial"/>
                <w:b w:val="0"/>
                <w:sz w:val="20"/>
              </w:rPr>
              <w:t xml:space="preserve">0,0454</w:t>
            </w:r>
          </w:p>
        </w:tc>
        <w:tc>
          <w:tcPr>
            <w:tcW w:type="dxa" w:w="1437"/>
          </w:tcPr>
          <w:p>
            <w:pPr>
              <w:pStyle w:val="Compact"/>
              <w:spacing w:line="240" w:lineRule="auto" w:after="0"/>
              <w:ind w:firstLine="0"/>
              <w:jc w:val="right"/>
            </w:pPr>
            <w:r>
              <w:rPr>
                <w:rFonts w:ascii="Arial" w:hAnsi="Arial"/>
                <w:b w:val="0"/>
                <w:sz w:val="20"/>
              </w:rPr>
              <w:t xml:space="preserve">0,0297</w:t>
            </w:r>
          </w:p>
        </w:tc>
        <w:tc>
          <w:tcPr>
            <w:tcW w:type="dxa" w:w="1450"/>
          </w:tcPr>
          <w:p>
            <w:pPr>
              <w:pStyle w:val="Compact"/>
              <w:spacing w:line="240" w:lineRule="auto" w:after="0"/>
              <w:ind w:firstLine="0"/>
              <w:jc w:val="right"/>
            </w:pPr>
            <w:r>
              <w:rPr>
                <w:rFonts w:ascii="Arial" w:hAnsi="Arial"/>
                <w:b w:val="0"/>
                <w:sz w:val="20"/>
              </w:rPr>
              <w:t xml:space="preserve">0,0263</w:t>
            </w:r>
          </w:p>
        </w:tc>
      </w:tr>
      <w:tr>
        <w:trPr>
          <w:cantSplit/>
        </w:trPr>
        <w:tc>
          <w:tcPr>
            <w:tcW w:type="dxa" w:w="1895"/>
          </w:tcPr>
          <w:p>
            <w:pPr>
              <w:pStyle w:val="Compact"/>
              <w:spacing w:line="240" w:lineRule="auto" w:after="0"/>
              <w:ind w:firstLine="0"/>
              <w:jc w:val="left"/>
            </w:pPr>
            <m:oMath>
              <m:sSup>
                <m:e>
                  <m:acc>
                    <m:accPr>
                      <m:chr m:val="̂"/>
                    </m:accPr>
                    <m:e>
                      <m:r>
                        <m:t>σ</m:t>
                      </m:r>
                    </m:e>
                  </m:acc>
                </m:e>
                <m:sup>
                  <m:r>
                    <m:t>2</m:t>
                  </m:r>
                </m:sup>
              </m:sSup>
            </m:oMath>
            <w:r>
              <w:rPr>
                <w:rFonts w:ascii="Arial" w:hAnsi="Arial"/>
                <w:b w:val="0"/>
                <w:sz w:val="20"/>
              </w:rPr>
              <w:t xml:space="preserve"> </w:t>
            </w:r>
            <w:r>
              <w:rPr>
                <w:rFonts w:ascii="Arial" w:hAnsi="Arial"/>
                <w:b w:val="0"/>
                <w:sz w:val="20"/>
              </w:rPr>
              <w:t xml:space="preserve">(nível 1)</w:t>
            </w:r>
          </w:p>
        </w:tc>
        <w:tc>
          <w:tcPr>
            <w:tcW w:type="dxa" w:w="1415"/>
          </w:tcPr>
          <w:p>
            <w:pPr>
              <w:pStyle w:val="Compact"/>
              <w:spacing w:line="240" w:lineRule="auto" w:after="0"/>
              <w:ind w:firstLine="0"/>
              <w:jc w:val="right"/>
            </w:pPr>
            <w:r>
              <w:rPr>
                <w:rFonts w:ascii="Arial" w:hAnsi="Arial"/>
                <w:b w:val="0"/>
                <w:sz w:val="20"/>
              </w:rPr>
              <w:t xml:space="preserve">0,5524</w:t>
            </w:r>
          </w:p>
        </w:tc>
        <w:tc>
          <w:tcPr>
            <w:tcW w:type="dxa" w:w="1437"/>
          </w:tcPr>
          <w:p>
            <w:pPr>
              <w:pStyle w:val="Compact"/>
              <w:spacing w:line="240" w:lineRule="auto" w:after="0"/>
              <w:ind w:firstLine="0"/>
              <w:jc w:val="right"/>
            </w:pPr>
            <w:r>
              <w:rPr>
                <w:rFonts w:ascii="Arial" w:hAnsi="Arial"/>
                <w:b w:val="0"/>
                <w:sz w:val="20"/>
              </w:rPr>
              <w:t xml:space="preserve">0,3619</w:t>
            </w:r>
          </w:p>
        </w:tc>
        <w:tc>
          <w:tcPr>
            <w:tcW w:type="dxa" w:w="1437"/>
          </w:tcPr>
          <w:p>
            <w:pPr>
              <w:pStyle w:val="Compact"/>
              <w:spacing w:line="240" w:lineRule="auto" w:after="0"/>
              <w:ind w:firstLine="0"/>
              <w:jc w:val="right"/>
            </w:pPr>
            <w:r>
              <w:rPr>
                <w:rFonts w:ascii="Arial" w:hAnsi="Arial"/>
                <w:b w:val="0"/>
                <w:sz w:val="20"/>
              </w:rPr>
              <w:t xml:space="preserve">0,3619</w:t>
            </w:r>
          </w:p>
        </w:tc>
        <w:tc>
          <w:tcPr>
            <w:tcW w:type="dxa" w:w="1437"/>
          </w:tcPr>
          <w:p>
            <w:pPr>
              <w:pStyle w:val="Compact"/>
              <w:spacing w:line="240" w:lineRule="auto" w:after="0"/>
              <w:ind w:firstLine="0"/>
              <w:jc w:val="right"/>
            </w:pPr>
            <w:r>
              <w:rPr>
                <w:rFonts w:ascii="Arial" w:hAnsi="Arial"/>
                <w:b w:val="0"/>
                <w:sz w:val="20"/>
              </w:rPr>
              <w:t xml:space="preserve">0,3620</w:t>
            </w:r>
          </w:p>
        </w:tc>
        <w:tc>
          <w:tcPr>
            <w:tcW w:type="dxa" w:w="1450"/>
          </w:tcPr>
          <w:p>
            <w:pPr>
              <w:pStyle w:val="Compact"/>
              <w:spacing w:line="240" w:lineRule="auto" w:after="0"/>
              <w:ind w:firstLine="0"/>
              <w:jc w:val="right"/>
            </w:pPr>
            <w:r>
              <w:rPr>
                <w:rFonts w:ascii="Arial" w:hAnsi="Arial"/>
                <w:b w:val="0"/>
                <w:sz w:val="20"/>
              </w:rPr>
              <w:t xml:space="preserve">0,3237</w:t>
            </w:r>
          </w:p>
        </w:tc>
      </w:tr>
      <w:tr>
        <w:trPr>
          <w:cantSplit/>
        </w:trPr>
        <w:tc>
          <w:tcPr>
            <w:tcW w:type="dxa" w:w="1895"/>
          </w:tcPr>
          <w:p>
            <w:pPr>
              <w:pStyle w:val="Compact"/>
              <w:spacing w:line="240" w:lineRule="auto" w:after="0"/>
              <w:ind w:firstLine="0"/>
              <w:jc w:val="left"/>
            </w:pPr>
            <w:r>
              <w:rPr>
                <w:rFonts w:ascii="Arial" w:hAnsi="Arial"/>
                <w:b w:val="0"/>
                <w:sz w:val="20"/>
              </w:rPr>
              <w:t xml:space="preserve">ICC</w:t>
            </w:r>
            <m:oMath>
              <m:sSub>
                <m:e>
                  <m:r>
                    <m:t>​</m:t>
                  </m:r>
                </m:e>
                <m:sub>
                  <m:r>
                    <m:rPr>
                      <m:nor/>
                      <m:sty m:val="p"/>
                    </m:rPr>
                    <m:t>UPA</m:t>
                  </m:r>
                </m:sub>
              </m:sSub>
            </m:oMath>
          </w:p>
        </w:tc>
        <w:tc>
          <w:tcPr>
            <w:tcW w:type="dxa" w:w="1415"/>
          </w:tcPr>
          <w:p>
            <w:pPr>
              <w:pStyle w:val="Compact"/>
              <w:spacing w:line="240" w:lineRule="auto" w:after="0"/>
              <w:ind w:firstLine="0"/>
              <w:jc w:val="right"/>
            </w:pPr>
            <w:r>
              <w:rPr>
                <w:rFonts w:ascii="Arial" w:hAnsi="Arial"/>
                <w:b w:val="0"/>
                <w:sz w:val="20"/>
              </w:rPr>
              <w:t xml:space="preserve">0,353</w:t>
            </w:r>
          </w:p>
        </w:tc>
        <w:tc>
          <w:tcPr>
            <w:tcW w:type="dxa" w:w="1437"/>
          </w:tcPr>
          <w:p>
            <w:pPr>
              <w:pStyle w:val="Compact"/>
              <w:spacing w:line="240" w:lineRule="auto" w:after="0"/>
              <w:ind w:firstLine="0"/>
              <w:jc w:val="right"/>
            </w:pPr>
            <w:r>
              <w:rPr>
                <w:rFonts w:ascii="Arial" w:hAnsi="Arial"/>
                <w:b w:val="0"/>
                <w:sz w:val="20"/>
              </w:rPr>
              <w:t xml:space="preserve">0,219</w:t>
            </w:r>
          </w:p>
        </w:tc>
        <w:tc>
          <w:tcPr>
            <w:tcW w:type="dxa" w:w="1437"/>
          </w:tcPr>
          <w:p>
            <w:pPr>
              <w:pStyle w:val="Compact"/>
              <w:spacing w:line="240" w:lineRule="auto" w:after="0"/>
              <w:ind w:firstLine="0"/>
              <w:jc w:val="right"/>
            </w:pPr>
            <w:r>
              <w:rPr>
                <w:rFonts w:ascii="Arial" w:hAnsi="Arial"/>
                <w:b w:val="0"/>
                <w:sz w:val="20"/>
              </w:rPr>
              <w:t xml:space="preserve">0,111</w:t>
            </w:r>
          </w:p>
        </w:tc>
        <w:tc>
          <w:tcPr>
            <w:tcW w:type="dxa" w:w="1437"/>
          </w:tcPr>
          <w:p>
            <w:pPr>
              <w:pStyle w:val="Compact"/>
              <w:spacing w:line="240" w:lineRule="auto" w:after="0"/>
              <w:ind w:firstLine="0"/>
              <w:jc w:val="right"/>
            </w:pPr>
            <w:r>
              <w:rPr>
                <w:rFonts w:ascii="Arial" w:hAnsi="Arial"/>
                <w:b w:val="0"/>
                <w:sz w:val="20"/>
              </w:rPr>
              <w:t xml:space="preserve">0,076</w:t>
            </w:r>
          </w:p>
        </w:tc>
        <w:tc>
          <w:tcPr>
            <w:tcW w:type="dxa" w:w="1450"/>
          </w:tcPr>
          <w:p>
            <w:pPr>
              <w:pStyle w:val="Compact"/>
              <w:spacing w:line="240" w:lineRule="auto" w:after="0"/>
              <w:ind w:firstLine="0"/>
              <w:jc w:val="right"/>
            </w:pPr>
            <w:r>
              <w:rPr>
                <w:rFonts w:ascii="Arial" w:hAnsi="Arial"/>
                <w:b w:val="0"/>
                <w:sz w:val="20"/>
              </w:rPr>
              <w:t xml:space="preserve">0,075</w:t>
            </w:r>
          </w:p>
        </w:tc>
      </w:tr>
      <w:tr>
        <w:trPr>
          <w:cantSplit/>
        </w:trPr>
        <w:tc>
          <w:tcPr>
            <w:tcW w:type="dxa" w:w="1895"/>
          </w:tcPr>
          <w:p>
            <w:pPr>
              <w:pStyle w:val="Compact"/>
              <w:spacing w:line="240" w:lineRule="auto" w:after="0"/>
              <w:ind w:firstLine="0"/>
              <w:jc w:val="left"/>
            </w:pPr>
            <m:oMath>
              <m:sSup>
                <m:e>
                  <m:r>
                    <m:t>τ</m:t>
                  </m:r>
                </m:e>
                <m:sup>
                  <m:r>
                    <m:t>2</m:t>
                  </m:r>
                </m:sup>
              </m:sSup>
            </m:oMath>
            <w:r>
              <w:rPr>
                <w:rFonts w:ascii="Arial" w:hAnsi="Arial"/>
                <w:b w:val="0"/>
                <w:sz w:val="20"/>
              </w:rPr>
              <w:t xml:space="preserve"> </w:t>
            </w:r>
            <w:r>
              <w:rPr>
                <w:rFonts w:ascii="Arial" w:hAnsi="Arial"/>
                <w:b w:val="0"/>
                <w:sz w:val="20"/>
              </w:rPr>
              <w:t xml:space="preserve">explicada vs. M0 (%)</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66,5</w:t>
            </w:r>
          </w:p>
        </w:tc>
        <w:tc>
          <w:tcPr>
            <w:tcW w:type="dxa" w:w="1437"/>
          </w:tcPr>
          <w:p>
            <w:pPr>
              <w:pStyle w:val="Compact"/>
              <w:spacing w:line="240" w:lineRule="auto" w:after="0"/>
              <w:ind w:firstLine="0"/>
              <w:jc w:val="right"/>
            </w:pPr>
            <w:r>
              <w:rPr>
                <w:rFonts w:ascii="Arial" w:hAnsi="Arial"/>
                <w:b w:val="0"/>
                <w:sz w:val="20"/>
              </w:rPr>
              <w:t xml:space="preserve">85,0</w:t>
            </w:r>
          </w:p>
        </w:tc>
        <w:tc>
          <w:tcPr>
            <w:tcW w:type="dxa" w:w="1437"/>
          </w:tcPr>
          <w:p>
            <w:pPr>
              <w:pStyle w:val="Compact"/>
              <w:spacing w:line="240" w:lineRule="auto" w:after="0"/>
              <w:ind w:firstLine="0"/>
              <w:jc w:val="right"/>
            </w:pPr>
            <w:r>
              <w:rPr>
                <w:rFonts w:ascii="Arial" w:hAnsi="Arial"/>
                <w:b w:val="0"/>
                <w:sz w:val="20"/>
              </w:rPr>
              <w:t xml:space="preserve">90,1</w:t>
            </w:r>
          </w:p>
        </w:tc>
        <w:tc>
          <w:tcPr>
            <w:tcW w:type="dxa" w:w="1450"/>
          </w:tcPr>
          <w:p>
            <w:pPr>
              <w:pStyle w:val="Compact"/>
              <w:spacing w:line="240" w:lineRule="auto" w:after="0"/>
              <w:ind w:firstLine="0"/>
              <w:jc w:val="right"/>
            </w:pPr>
            <w:r>
              <w:rPr>
                <w:rFonts w:ascii="Arial" w:hAnsi="Arial"/>
                <w:b w:val="0"/>
                <w:sz w:val="20"/>
              </w:rPr>
              <w:t xml:space="preserve">91,3</w:t>
            </w:r>
          </w:p>
        </w:tc>
      </w:tr>
      <w:tr>
        <w:trPr>
          <w:cantSplit/>
        </w:trPr>
        <w:tc>
          <w:tcPr>
            <w:tcW w:type="dxa" w:w="1895"/>
          </w:tcPr>
          <w:p>
            <w:pPr>
              <w:pStyle w:val="Compact"/>
              <w:spacing w:line="240" w:lineRule="auto" w:after="0"/>
              <w:ind w:firstLine="0"/>
              <w:jc w:val="left"/>
            </w:pPr>
            <w:r>
              <w:rPr>
                <w:rFonts w:ascii="Arial" w:hAnsi="Arial"/>
                <w:b w:val="0"/>
                <w:sz w:val="20"/>
              </w:rPr>
              <w:t xml:space="preserve">−2 LL (deviance)</w:t>
            </w:r>
          </w:p>
        </w:tc>
        <w:tc>
          <w:tcPr>
            <w:tcW w:type="dxa" w:w="1415"/>
          </w:tcPr>
          <w:p>
            <w:pPr>
              <w:pStyle w:val="Compact"/>
              <w:spacing w:line="240" w:lineRule="auto" w:after="0"/>
              <w:ind w:firstLine="0"/>
              <w:jc w:val="right"/>
            </w:pPr>
            <w:r>
              <w:rPr>
                <w:rFonts w:ascii="Arial" w:hAnsi="Arial"/>
                <w:b w:val="0"/>
                <w:sz w:val="20"/>
              </w:rPr>
              <w:t xml:space="preserve">17.439.754</w:t>
            </w:r>
          </w:p>
        </w:tc>
        <w:tc>
          <w:tcPr>
            <w:tcW w:type="dxa" w:w="1437"/>
          </w:tcPr>
          <w:p>
            <w:pPr>
              <w:pStyle w:val="Compact"/>
              <w:spacing w:line="240" w:lineRule="auto" w:after="0"/>
              <w:ind w:firstLine="0"/>
              <w:jc w:val="right"/>
            </w:pPr>
            <w:r>
              <w:rPr>
                <w:rFonts w:ascii="Arial" w:hAnsi="Arial"/>
                <w:b w:val="0"/>
                <w:sz w:val="20"/>
              </w:rPr>
              <w:t xml:space="preserve">14.160.374</w:t>
            </w:r>
          </w:p>
        </w:tc>
        <w:tc>
          <w:tcPr>
            <w:tcW w:type="dxa" w:w="1437"/>
          </w:tcPr>
          <w:p>
            <w:pPr>
              <w:pStyle w:val="Compact"/>
              <w:spacing w:line="240" w:lineRule="auto" w:after="0"/>
              <w:ind w:firstLine="0"/>
              <w:jc w:val="right"/>
            </w:pPr>
            <w:r>
              <w:rPr>
                <w:rFonts w:ascii="Arial" w:hAnsi="Arial"/>
                <w:b w:val="0"/>
                <w:sz w:val="20"/>
              </w:rPr>
              <w:t xml:space="preserve">14.130.562</w:t>
            </w:r>
          </w:p>
        </w:tc>
        <w:tc>
          <w:tcPr>
            <w:tcW w:type="dxa" w:w="1437"/>
          </w:tcPr>
          <w:p>
            <w:pPr>
              <w:pStyle w:val="Compact"/>
              <w:spacing w:line="240" w:lineRule="auto" w:after="0"/>
              <w:ind w:firstLine="0"/>
              <w:jc w:val="right"/>
            </w:pPr>
            <w:r>
              <w:rPr>
                <w:rFonts w:ascii="Arial" w:hAnsi="Arial"/>
                <w:b w:val="0"/>
                <w:sz w:val="20"/>
              </w:rPr>
              <w:t xml:space="preserve">14.115.850</w:t>
            </w:r>
          </w:p>
        </w:tc>
        <w:tc>
          <w:tcPr>
            <w:tcW w:type="dxa" w:w="1450"/>
          </w:tcPr>
          <w:p>
            <w:pPr>
              <w:pStyle w:val="Compact"/>
              <w:spacing w:line="240" w:lineRule="auto" w:after="0"/>
              <w:ind w:firstLine="0"/>
              <w:jc w:val="right"/>
            </w:pPr>
            <w:r>
              <w:rPr>
                <w:rFonts w:ascii="Arial" w:hAnsi="Arial"/>
                <w:b w:val="0"/>
                <w:sz w:val="20"/>
              </w:rPr>
              <w:t xml:space="preserve">13.255.146</w:t>
            </w:r>
          </w:p>
        </w:tc>
      </w:tr>
      <w:tr>
        <w:trPr>
          <w:cantSplit/>
        </w:trPr>
        <w:tc>
          <w:tcPr>
            <w:tcW w:type="dxa" w:w="1895"/>
          </w:tcPr>
          <w:p>
            <w:pPr>
              <w:pStyle w:val="Compact"/>
              <w:spacing w:line="240" w:lineRule="auto" w:after="0"/>
              <w:ind w:firstLine="0"/>
              <w:jc w:val="left"/>
            </w:pPr>
            <w:r>
              <w:rPr>
                <w:rFonts w:ascii="Arial" w:hAnsi="Arial"/>
                <w:b w:val="0"/>
                <w:sz w:val="20"/>
              </w:rPr>
              <w:t xml:space="preserve">AIC</w:t>
            </w:r>
          </w:p>
        </w:tc>
        <w:tc>
          <w:tcPr>
            <w:tcW w:type="dxa" w:w="1415"/>
          </w:tcPr>
          <w:p>
            <w:pPr>
              <w:pStyle w:val="Compact"/>
              <w:spacing w:line="240" w:lineRule="auto" w:after="0"/>
              <w:ind w:firstLine="0"/>
              <w:jc w:val="right"/>
            </w:pPr>
            <w:r>
              <w:rPr>
                <w:rFonts w:ascii="Arial" w:hAnsi="Arial"/>
                <w:b w:val="0"/>
                <w:sz w:val="20"/>
              </w:rPr>
              <w:t xml:space="preserve">17.439.760</w:t>
            </w:r>
          </w:p>
        </w:tc>
        <w:tc>
          <w:tcPr>
            <w:tcW w:type="dxa" w:w="1437"/>
          </w:tcPr>
          <w:p>
            <w:pPr>
              <w:pStyle w:val="Compact"/>
              <w:spacing w:line="240" w:lineRule="auto" w:after="0"/>
              <w:ind w:firstLine="0"/>
              <w:jc w:val="right"/>
            </w:pPr>
            <w:r>
              <w:rPr>
                <w:rFonts w:ascii="Arial" w:hAnsi="Arial"/>
                <w:b w:val="0"/>
                <w:sz w:val="20"/>
              </w:rPr>
              <w:t xml:space="preserve">14.160.418</w:t>
            </w:r>
          </w:p>
        </w:tc>
        <w:tc>
          <w:tcPr>
            <w:tcW w:type="dxa" w:w="1437"/>
          </w:tcPr>
          <w:p>
            <w:pPr>
              <w:pStyle w:val="Compact"/>
              <w:spacing w:line="240" w:lineRule="auto" w:after="0"/>
              <w:ind w:firstLine="0"/>
              <w:jc w:val="right"/>
            </w:pPr>
            <w:r>
              <w:rPr>
                <w:rFonts w:ascii="Arial" w:hAnsi="Arial"/>
                <w:b w:val="0"/>
                <w:sz w:val="20"/>
              </w:rPr>
              <w:t xml:space="preserve">14.130.612</w:t>
            </w:r>
          </w:p>
        </w:tc>
        <w:tc>
          <w:tcPr>
            <w:tcW w:type="dxa" w:w="1437"/>
          </w:tcPr>
          <w:p>
            <w:pPr>
              <w:pStyle w:val="Compact"/>
              <w:spacing w:line="240" w:lineRule="auto" w:after="0"/>
              <w:ind w:firstLine="0"/>
              <w:jc w:val="right"/>
            </w:pPr>
            <w:r>
              <w:rPr>
                <w:rFonts w:ascii="Arial" w:hAnsi="Arial"/>
                <w:b w:val="0"/>
                <w:sz w:val="20"/>
              </w:rPr>
              <w:t xml:space="preserve">14.115.952</w:t>
            </w:r>
          </w:p>
        </w:tc>
        <w:tc>
          <w:tcPr>
            <w:tcW w:type="dxa" w:w="1450"/>
          </w:tcPr>
          <w:p>
            <w:pPr>
              <w:pStyle w:val="Compact"/>
              <w:spacing w:line="240" w:lineRule="auto" w:after="0"/>
              <w:ind w:firstLine="0"/>
              <w:jc w:val="right"/>
            </w:pPr>
            <w:r>
              <w:rPr>
                <w:rFonts w:ascii="Arial" w:hAnsi="Arial"/>
                <w:b w:val="0"/>
                <w:sz w:val="20"/>
              </w:rPr>
              <w:t xml:space="preserve">13.255.272</w:t>
            </w:r>
          </w:p>
        </w:tc>
      </w:tr>
      <w:tr>
        <w:trPr>
          <w:cantSplit/>
        </w:trPr>
        <w:tc>
          <w:tcPr>
            <w:tcW w:type="dxa" w:w="1895"/>
          </w:tcPr>
          <w:p>
            <w:pPr>
              <w:pStyle w:val="Compact"/>
              <w:spacing w:line="240" w:lineRule="auto" w:after="0"/>
              <w:ind w:firstLine="0"/>
              <w:jc w:val="left"/>
            </w:pPr>
            <w:r>
              <w:rPr>
                <w:rFonts w:ascii="Arial" w:hAnsi="Arial"/>
                <w:b w:val="0"/>
                <w:sz w:val="20"/>
              </w:rPr>
              <w:t xml:space="preserve">BIC</w:t>
            </w:r>
          </w:p>
        </w:tc>
        <w:tc>
          <w:tcPr>
            <w:tcW w:type="dxa" w:w="1415"/>
          </w:tcPr>
          <w:p>
            <w:pPr>
              <w:pStyle w:val="Compact"/>
              <w:spacing w:line="240" w:lineRule="auto" w:after="0"/>
              <w:ind w:firstLine="0"/>
              <w:jc w:val="right"/>
            </w:pPr>
            <w:r>
              <w:rPr>
                <w:rFonts w:ascii="Arial" w:hAnsi="Arial"/>
                <w:b w:val="0"/>
                <w:sz w:val="20"/>
              </w:rPr>
              <w:t xml:space="preserve">17.439.802</w:t>
            </w:r>
          </w:p>
        </w:tc>
        <w:tc>
          <w:tcPr>
            <w:tcW w:type="dxa" w:w="1437"/>
          </w:tcPr>
          <w:p>
            <w:pPr>
              <w:pStyle w:val="Compact"/>
              <w:spacing w:line="240" w:lineRule="auto" w:after="0"/>
              <w:ind w:firstLine="0"/>
              <w:jc w:val="right"/>
            </w:pPr>
            <w:r>
              <w:rPr>
                <w:rFonts w:ascii="Arial" w:hAnsi="Arial"/>
                <w:b w:val="0"/>
                <w:sz w:val="20"/>
              </w:rPr>
              <w:t xml:space="preserve">14.160.722</w:t>
            </w:r>
          </w:p>
        </w:tc>
        <w:tc>
          <w:tcPr>
            <w:tcW w:type="dxa" w:w="1437"/>
          </w:tcPr>
          <w:p>
            <w:pPr>
              <w:pStyle w:val="Compact"/>
              <w:spacing w:line="240" w:lineRule="auto" w:after="0"/>
              <w:ind w:firstLine="0"/>
              <w:jc w:val="right"/>
            </w:pPr>
            <w:r>
              <w:rPr>
                <w:rFonts w:ascii="Arial" w:hAnsi="Arial"/>
                <w:b w:val="0"/>
                <w:sz w:val="20"/>
              </w:rPr>
              <w:t xml:space="preserve">14.130.959</w:t>
            </w:r>
          </w:p>
        </w:tc>
        <w:tc>
          <w:tcPr>
            <w:tcW w:type="dxa" w:w="1437"/>
          </w:tcPr>
          <w:p>
            <w:pPr>
              <w:pStyle w:val="Compact"/>
              <w:spacing w:line="240" w:lineRule="auto" w:after="0"/>
              <w:ind w:firstLine="0"/>
              <w:jc w:val="right"/>
            </w:pPr>
            <w:r>
              <w:rPr>
                <w:rFonts w:ascii="Arial" w:hAnsi="Arial"/>
                <w:b w:val="0"/>
                <w:sz w:val="20"/>
              </w:rPr>
              <w:t xml:space="preserve">14.116.659</w:t>
            </w:r>
          </w:p>
        </w:tc>
        <w:tc>
          <w:tcPr>
            <w:tcW w:type="dxa" w:w="1450"/>
          </w:tcPr>
          <w:p>
            <w:pPr>
              <w:pStyle w:val="Compact"/>
              <w:spacing w:line="240" w:lineRule="auto" w:after="0"/>
              <w:ind w:firstLine="0"/>
              <w:jc w:val="right"/>
            </w:pPr>
            <w:r>
              <w:rPr>
                <w:rFonts w:ascii="Arial" w:hAnsi="Arial"/>
                <w:b w:val="0"/>
                <w:sz w:val="20"/>
              </w:rPr>
              <w:t xml:space="preserve">13.256.145</w:t>
            </w:r>
          </w:p>
        </w:tc>
      </w:tr>
      <w:tr>
        <w:trPr>
          <w:cantSplit/>
        </w:trPr>
        <w:tc>
          <w:tcPr>
            <w:tcW w:type="dxa" w:w="1895"/>
          </w:tcPr>
          <w:p>
            <w:pPr>
              <w:pStyle w:val="Compact"/>
              <w:spacing w:line="240" w:lineRule="auto" w:after="0"/>
              <w:ind w:firstLine="0"/>
              <w:jc w:val="left"/>
            </w:pPr>
            <w:r>
              <w:rPr>
                <w:rFonts w:ascii="Arial" w:hAnsi="Arial"/>
                <w:b w:val="0"/>
                <w:sz w:val="20"/>
              </w:rPr>
              <w:t xml:space="preserve">LR vs. degrau anterior (χ</w:t>
            </w:r>
            <w:r>
              <w:rPr>
                <w:rFonts w:ascii="Arial" w:hAnsi="Arial"/>
                <w:b w:val="0"/>
                <w:sz w:val="20"/>
                <w:vertAlign w:val="superscript"/>
              </w:rPr>
              <w:t xml:space="preserve">2</w:t>
            </w:r>
            <w:r>
              <w:rPr>
                <w:rFonts w:ascii="Arial" w:hAnsi="Arial"/>
                <w:b w:val="0"/>
                <w:sz w:val="20"/>
              </w:rPr>
              <w:t xml:space="preserve">, g.l.)</w:t>
            </w:r>
          </w:p>
        </w:tc>
        <w:tc>
          <w:tcPr>
            <w:tcW w:type="dxa" w:w="1415"/>
          </w:tcPr>
          <w:p>
            <w:pPr>
              <w:pStyle w:val="Compact"/>
              <w:spacing w:line="240" w:lineRule="auto" w:after="0"/>
              <w:ind w:firstLine="0"/>
              <w:jc w:val="left"/>
            </w:pPr>
            <w:r>
              <w:rPr>
                <w:rFonts w:ascii="Arial" w:hAnsi="Arial"/>
                <w:b w:val="0"/>
                <w:sz w:val="20"/>
              </w:rPr>
              <w:t xml:space="preserve">—</w:t>
            </w:r>
          </w:p>
        </w:tc>
        <w:tc>
          <w:tcPr>
            <w:tcW w:type="dxa" w:w="1437"/>
          </w:tcPr>
          <w:p>
            <w:pPr>
              <w:pStyle w:val="Compact"/>
              <w:spacing w:line="240" w:lineRule="auto" w:after="0"/>
              <w:ind w:firstLine="0"/>
              <w:jc w:val="right"/>
            </w:pPr>
            <w:r>
              <w:rPr>
                <w:rFonts w:ascii="Arial" w:hAnsi="Arial"/>
                <w:b w:val="0"/>
                <w:sz w:val="20"/>
              </w:rPr>
              <w:t xml:space="preserve">3.279.380 (19)</w:t>
            </w:r>
          </w:p>
        </w:tc>
        <w:tc>
          <w:tcPr>
            <w:tcW w:type="dxa" w:w="1437"/>
          </w:tcPr>
          <w:p>
            <w:pPr>
              <w:pStyle w:val="Compact"/>
              <w:spacing w:line="240" w:lineRule="auto" w:after="0"/>
              <w:ind w:firstLine="0"/>
              <w:jc w:val="right"/>
            </w:pPr>
            <w:r>
              <w:rPr>
                <w:rFonts w:ascii="Arial" w:hAnsi="Arial"/>
                <w:b w:val="0"/>
                <w:sz w:val="20"/>
              </w:rPr>
              <w:t xml:space="preserve">29.811 (3)</w:t>
            </w:r>
          </w:p>
        </w:tc>
        <w:tc>
          <w:tcPr>
            <w:tcW w:type="dxa" w:w="1437"/>
          </w:tcPr>
          <w:p>
            <w:pPr>
              <w:pStyle w:val="Compact"/>
              <w:spacing w:line="240" w:lineRule="auto" w:after="0"/>
              <w:ind w:firstLine="0"/>
              <w:jc w:val="right"/>
            </w:pPr>
            <w:r>
              <w:rPr>
                <w:rFonts w:ascii="Arial" w:hAnsi="Arial"/>
                <w:b w:val="0"/>
                <w:sz w:val="20"/>
              </w:rPr>
              <w:t xml:space="preserve">14.712 (26)</w:t>
            </w:r>
          </w:p>
        </w:tc>
        <w:tc>
          <w:tcPr>
            <w:tcW w:type="dxa" w:w="1450"/>
          </w:tcPr>
          <w:p>
            <w:pPr>
              <w:pStyle w:val="Compact"/>
              <w:spacing w:line="240" w:lineRule="auto" w:after="0"/>
              <w:ind w:firstLine="0"/>
              <w:jc w:val="right"/>
            </w:pPr>
            <w:r>
              <w:rPr>
                <w:rFonts w:ascii="Arial" w:hAnsi="Arial"/>
                <w:b w:val="0"/>
                <w:sz w:val="20"/>
              </w:rPr>
              <w:t xml:space="preserve">860.704 (12)</w:t>
            </w:r>
          </w:p>
        </w:tc>
      </w:tr>
      <w:tr>
        <w:trPr>
          <w:cantSplit/>
        </w:trPr>
        <w:tc>
          <w:tcPr>
            <w:tcW w:type="dxa" w:w="1895"/>
            <w:tcBorders>
              <w:top w:val="nil"/>
              <w:left w:val="nil"/>
              <w:bottom w:val="single" w:sz="8" w:color="000000"/>
              <w:right w:val="nil"/>
            </w:tcBorders>
          </w:tcPr>
          <w:p>
            <w:pPr>
              <w:pStyle w:val="Compact"/>
              <w:spacing w:line="240" w:lineRule="auto" w:after="0"/>
              <w:ind w:firstLine="0"/>
              <w:jc w:val="left"/>
            </w:pPr>
            <w:r>
              <w:rPr>
                <w:rFonts w:ascii="Arial" w:hAnsi="Arial"/>
                <w:b w:val="0"/>
                <w:i/>
                <w:iCs/>
                <w:sz w:val="20"/>
              </w:rPr>
              <w:t xml:space="preserve">p</w:t>
            </w:r>
            <w:r>
              <w:rPr>
                <w:rFonts w:ascii="Arial" w:hAnsi="Arial"/>
                <w:b w:val="0"/>
                <w:sz w:val="20"/>
              </w:rPr>
              <w:t xml:space="preserve"> </w:t>
            </w:r>
            <w:r>
              <w:rPr>
                <w:rFonts w:ascii="Arial" w:hAnsi="Arial"/>
                <w:b w:val="0"/>
                <w:sz w:val="20"/>
              </w:rPr>
              <w:t xml:space="preserve">do LR</w:t>
            </w:r>
          </w:p>
        </w:tc>
        <w:tc>
          <w:tcPr>
            <w:tcW w:type="dxa" w:w="1415"/>
            <w:tcBorders>
              <w:top w:val="nil"/>
              <w:left w:val="nil"/>
              <w:bottom w:val="single" w:sz="8" w:color="000000"/>
              <w:right w:val="nil"/>
            </w:tcBorders>
          </w:tcPr>
          <w:p>
            <w:pPr>
              <w:pStyle w:val="Compact"/>
              <w:spacing w:line="240" w:lineRule="auto" w:after="0"/>
              <w:ind w:firstLine="0"/>
              <w:jc w:val="left"/>
            </w:pPr>
            <w:r>
              <w:rPr>
                <w:rFonts w:ascii="Arial" w:hAnsi="Arial"/>
                <w:b w:val="0"/>
                <w:sz w:val="20"/>
              </w:rPr>
              <w:t xml:space="preserve">—</w:t>
            </w:r>
          </w:p>
        </w:tc>
        <w:tc>
          <w:tcPr>
            <w:tcW w:type="dxa" w:w="1437"/>
            <w:tcBorders>
              <w:top w:val="nil"/>
              <w:left w:val="nil"/>
              <w:bottom w:val="single" w:sz="8" w:color="000000"/>
              <w:right w:val="nil"/>
            </w:tcBorders>
          </w:tcPr>
          <w:p>
            <w:pPr>
              <w:pStyle w:val="Compact"/>
              <w:spacing w:line="240" w:lineRule="auto" w:after="0"/>
              <w:ind w:firstLine="0"/>
              <w:jc w:val="left"/>
            </w:pPr>
            <w:r>
              <w:rPr>
                <w:rFonts w:ascii="Arial" w:hAnsi="Arial"/>
                <w:b w:val="0"/>
                <w:sz w:val="20"/>
              </w:rPr>
              <w:t xml:space="preserve">&lt;0,001</w:t>
            </w:r>
          </w:p>
        </w:tc>
        <w:tc>
          <w:tcPr>
            <w:tcW w:type="dxa" w:w="1437"/>
            <w:tcBorders>
              <w:top w:val="nil"/>
              <w:left w:val="nil"/>
              <w:bottom w:val="single" w:sz="8" w:color="000000"/>
              <w:right w:val="nil"/>
            </w:tcBorders>
          </w:tcPr>
          <w:p>
            <w:pPr>
              <w:pStyle w:val="Compact"/>
              <w:spacing w:line="240" w:lineRule="auto" w:after="0"/>
              <w:ind w:firstLine="0"/>
              <w:jc w:val="left"/>
            </w:pPr>
            <w:r>
              <w:rPr>
                <w:rFonts w:ascii="Arial" w:hAnsi="Arial"/>
                <w:b w:val="0"/>
                <w:sz w:val="20"/>
              </w:rPr>
              <w:t xml:space="preserve">&lt;0,001</w:t>
            </w:r>
          </w:p>
        </w:tc>
        <w:tc>
          <w:tcPr>
            <w:tcW w:type="dxa" w:w="1437"/>
            <w:tcBorders>
              <w:top w:val="nil"/>
              <w:left w:val="nil"/>
              <w:bottom w:val="single" w:sz="8" w:color="000000"/>
              <w:right w:val="nil"/>
            </w:tcBorders>
          </w:tcPr>
          <w:p>
            <w:pPr>
              <w:pStyle w:val="Compact"/>
              <w:spacing w:line="240" w:lineRule="auto" w:after="0"/>
              <w:ind w:firstLine="0"/>
              <w:jc w:val="left"/>
            </w:pPr>
            <w:r>
              <w:rPr>
                <w:rFonts w:ascii="Arial" w:hAnsi="Arial"/>
                <w:b w:val="0"/>
                <w:sz w:val="20"/>
              </w:rPr>
              <w:t xml:space="preserve">&lt;0,001</w:t>
            </w:r>
          </w:p>
        </w:tc>
        <w:tc>
          <w:tcPr>
            <w:tcW w:type="dxa" w:w="1450"/>
            <w:tcBorders>
              <w:top w:val="nil"/>
              <w:left w:val="nil"/>
              <w:bottom w:val="single" w:sz="8" w:color="000000"/>
              <w:right w:val="nil"/>
            </w:tcBorders>
          </w:tcPr>
          <w:p>
            <w:pPr>
              <w:pStyle w:val="Compact"/>
              <w:spacing w:line="240" w:lineRule="auto" w:after="0"/>
              <w:ind w:firstLine="0"/>
              <w:jc w:val="left"/>
            </w:pPr>
            <w:r>
              <w:rPr>
                <w:rFonts w:ascii="Arial" w:hAnsi="Arial"/>
                <w:b w:val="0"/>
                <w:sz w:val="20"/>
              </w:rPr>
              <w:t xml:space="preserve">&lt;0,001</w:t>
            </w:r>
          </w:p>
        </w:tc>
      </w:tr>
    </w:tbl>
    <w:bookmarkEnd w:id="55"/>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after="240" w:before="0"/>
        <w:ind w:firstLine="0"/>
        <w:jc w:val="both"/>
      </w:pPr>
      <w:r>
        <w:rPr>
          <w:rFonts w:ascii="Arial" w:hAnsi="Arial"/>
          <w:sz w:val="22"/>
        </w:rPr>
        <w:t>Nota: Inclinação aleatória de</w:t>
      </w:r>
      <w:r>
        <w:rPr>
          <w:rFonts w:ascii="Arial" w:hAnsi="Arial"/>
          <w:sz w:val="22"/>
        </w:rPr>
        <w:t xml:space="preserve"> </w:t>
      </w:r>
      <w:r>
        <w:rPr>
          <w:rStyle w:val="VerbatimChar"/>
          <w:rFonts w:ascii="Arial" w:hAnsi="Arial"/>
          <w:sz w:val="22"/>
        </w:rPr>
        <w:t xml:space="preserve">negro</w:t>
      </w:r>
      <w:r>
        <w:rPr>
          <w:rFonts w:ascii="Arial" w:hAnsi="Arial"/>
          <w:sz w:val="22"/>
        </w:rPr>
        <w:t xml:space="preserve"> </w:t>
      </w:r>
      <w:r>
        <w:rPr>
          <w:rFonts w:ascii="Arial" w:hAnsi="Arial"/>
          <w:sz w:val="22"/>
        </w:rPr>
        <w:t xml:space="preserve">por UPA (M3 +</w:t>
      </w:r>
      <w:r>
        <w:rPr>
          <w:rFonts w:ascii="Arial" w:hAnsi="Arial"/>
          <w:sz w:val="22"/>
        </w:rPr>
        <w:t xml:space="preserve"> </w:t>
      </w:r>
      <m:oMath>
        <m:sSub>
          <m:e>
            <m:r>
              <m:t>u</m:t>
            </m:r>
          </m:e>
          <m:sub>
            <m:r>
              <m:t>1</m:t>
            </m:r>
            <m:r>
              <m:t>j</m:t>
            </m:r>
          </m:sub>
        </m:sSub>
      </m:oMath>
      <w:r>
        <w:rPr>
          <w:rFonts w:ascii="Arial" w:hAnsi="Arial"/>
          <w:sz w:val="22"/>
        </w:rPr>
        <w:t xml:space="preserve">):</w:t>
      </w:r>
      <w:r>
        <w:rPr>
          <w:rFonts w:ascii="Arial" w:hAnsi="Arial"/>
          <w:sz w:val="22"/>
        </w:rPr>
        <w:t xml:space="preserve"> </w:t>
      </w:r>
      <m:oMath>
        <m:sSubSup>
          <m:e>
            <m:acc>
              <m:accPr>
                <m:chr m:val="̂"/>
              </m:accPr>
              <m:e>
                <m:r>
                  <m:t>τ</m:t>
                </m:r>
              </m:e>
            </m:acc>
          </m:e>
          <m:sub>
            <m:r>
              <m:t>1</m:t>
            </m:r>
          </m:sub>
          <m:sup>
            <m:r>
              <m:t>2</m:t>
            </m:r>
          </m:sup>
        </m:sSubSup>
        <m:r>
          <m:rPr>
            <m:sty m:val="p"/>
          </m:rPr>
          <m:t>=</m:t>
        </m:r>
        <m:r>
          <m:t>0</m:t>
        </m:r>
        <m:r>
          <m:rPr>
            <m:sty m:val="p"/>
          </m:rPr>
          <m:t>,</m:t>
        </m:r>
        <m:r>
          <m:t>0210</m:t>
        </m:r>
      </m:oMath>
      <w:r>
        <w:rPr>
          <w:rFonts w:ascii="Arial" w:hAnsi="Arial"/>
          <w:sz w:val="22"/>
        </w:rPr>
        <w:t xml:space="preserve"> </w:t>
      </w:r>
      <w:r>
        <w:rPr>
          <w:rFonts w:ascii="Arial" w:hAnsi="Arial"/>
          <w:sz w:val="22"/>
        </w:rPr>
        <w:t xml:space="preserve">(DP</w:t>
      </w:r>
      <w:r>
        <w:rPr>
          <w:rFonts w:ascii="Arial" w:hAnsi="Arial"/>
          <w:sz w:val="22"/>
        </w:rPr>
        <w:t xml:space="preserve"> </w:t>
      </w:r>
      <m:oMath>
        <m:r>
          <m:rPr>
            <m:sty m:val="p"/>
          </m:rPr>
          <m:t>=</m:t>
        </m:r>
        <m:r>
          <m:t>0</m:t>
        </m:r>
        <m:r>
          <m:rPr>
            <m:sty m:val="p"/>
          </m:rPr>
          <m:t>,</m:t>
        </m:r>
        <m:r>
          <m:t>145</m:t>
        </m:r>
      </m:oMath>
      <w:r>
        <w:rPr>
          <w:rFonts w:ascii="Arial" w:hAnsi="Arial"/>
          <w:sz w:val="22"/>
        </w:rPr>
        <w:t xml:space="preserve"> </w:t>
      </w:r>
      <w:r>
        <w:rPr>
          <w:rFonts w:ascii="Arial" w:hAnsi="Arial"/>
          <w:sz w:val="22"/>
        </w:rPr>
        <w:t xml:space="preserve">em log-pontos), cov</w:t>
      </w:r>
      <m:oMath>
        <m:r>
          <m:rPr>
            <m:sty m:val="p"/>
          </m:rPr>
          <m:t>(</m:t>
        </m:r>
        <m:sSub>
          <m:e>
            <m:r>
              <m:t>u</m:t>
            </m:r>
          </m:e>
          <m:sub>
            <m:r>
              <m:t>0</m:t>
            </m:r>
          </m:sub>
        </m:sSub>
        <m:r>
          <m:rPr>
            <m:sty m:val="p"/>
          </m:rPr>
          <m:t>,</m:t>
        </m:r>
        <m:sSub>
          <m:e>
            <m:r>
              <m:t>u</m:t>
            </m:r>
          </m:e>
          <m:sub>
            <m:r>
              <m:t>1</m:t>
            </m:r>
          </m:sub>
        </m:sSub>
        <m:r>
          <m:rPr>
            <m:sty m:val="p"/>
          </m:rPr>
          <m:t>)</m:t>
        </m:r>
        <m:r>
          <m:rPr>
            <m:sty m:val="p"/>
          </m:rPr>
          <m:t>=</m:t>
        </m:r>
        <m:r>
          <m:rPr>
            <m:sty m:val="p"/>
          </m:rPr>
          <m:t>−</m:t>
        </m:r>
        <m:r>
          <m:t>0</m:t>
        </m:r>
        <m:r>
          <m:rPr>
            <m:sty m:val="p"/>
          </m:rPr>
          <m:t>,</m:t>
        </m:r>
        <m:r>
          <m:t>0157</m:t>
        </m:r>
      </m:oMath>
      <w:r>
        <w:rPr>
          <w:rFonts w:ascii="Arial" w:hAnsi="Arial"/>
          <w:sz w:val="22"/>
        </w:rPr>
        <w:t xml:space="preserve">; LR</w:t>
      </w:r>
      <w:r>
        <w:rPr>
          <w:rFonts w:ascii="Arial" w:hAnsi="Arial"/>
          <w:sz w:val="22"/>
        </w:rPr>
        <w:t xml:space="preserve"> </w:t>
      </w:r>
      <m:oMath>
        <m:r>
          <m:rPr>
            <m:sty m:val="p"/>
          </m:rPr>
          <m:t>=</m:t>
        </m:r>
        <m:r>
          <m:t>26.267</m:t>
        </m:r>
      </m:oMath>
      <w:r>
        <w:rPr>
          <w:rFonts w:ascii="Arial" w:hAnsi="Arial"/>
          <w:sz w:val="22"/>
        </w:rPr>
        <w:t xml:space="preserve"> </w:t>
      </w:r>
      <w:r>
        <w:rPr>
          <w:rFonts w:ascii="Arial" w:hAnsi="Arial"/>
          <w:sz w:val="22"/>
        </w:rPr>
        <w:t xml:space="preserve">(2 g.l.),</w:t>
      </w:r>
      <w:r>
        <w:rPr>
          <w:rFonts w:ascii="Arial" w:hAnsi="Arial"/>
          <w:sz w:val="22"/>
        </w:rPr>
        <w:t xml:space="preserve"> </w:t>
      </w:r>
      <m:oMath>
        <m:r>
          <m:t>p</m:t>
        </m:r>
        <m:r>
          <m:rPr>
            <m:sty m:val="p"/>
          </m:rPr>
          <m:t>&lt;</m:t>
        </m:r>
        <m:r>
          <m:t>0</m:t>
        </m:r>
        <m:r>
          <m:rPr>
            <m:sty m:val="p"/>
          </m:rPr>
          <m:t>,</m:t>
        </m:r>
        <m:r>
          <m:t>001</m:t>
        </m:r>
      </m:oMath>
      <w:r>
        <w:rPr>
          <w:rFonts w:ascii="Arial" w:hAnsi="Arial"/>
          <w:sz w:val="22"/>
        </w:rPr>
        <w:t xml:space="preserve">: a penalidade racial varia entre bairros;</w:t>
      </w:r>
      <w:r>
        <w:rPr>
          <w:rFonts w:ascii="Arial" w:hAnsi="Arial"/>
          <w:sz w:val="22"/>
        </w:rPr>
        <w:t xml:space="preserve"> </w:t>
      </w:r>
      <m:oMath>
        <m:sSub>
          <m:e>
            <m:acc>
              <m:accPr>
                <m:chr m:val="̂"/>
              </m:accPr>
              <m:e>
                <m:r>
                  <m:t>β</m:t>
                </m:r>
              </m:e>
            </m:acc>
          </m:e>
          <m:sub>
            <m:r>
              <m:rPr>
                <m:nor/>
                <m:sty m:val="p"/>
              </m:rPr>
              <m:t>negro</m:t>
            </m:r>
          </m:sub>
        </m:sSub>
      </m:oMath>
      <w:r>
        <w:rPr>
          <w:rFonts w:ascii="Arial" w:hAnsi="Arial"/>
          <w:sz w:val="22"/>
        </w:rPr>
        <w:t xml:space="preserve"> </w:t>
      </w:r>
      <w:r>
        <w:rPr>
          <w:rFonts w:ascii="Arial" w:hAnsi="Arial"/>
          <w:sz w:val="22"/>
        </w:rPr>
        <w:t xml:space="preserve">médio</w:t>
      </w:r>
      <w:r>
        <w:rPr>
          <w:rFonts w:ascii="Arial" w:hAnsi="Arial"/>
          <w:sz w:val="22"/>
        </w:rPr>
        <w:t xml:space="preserve"> </w:t>
      </w:r>
      <m:oMath>
        <m:r>
          <m:rPr>
            <m:sty m:val="p"/>
          </m:rPr>
          <m:t>=</m:t>
        </m:r>
        <m:r>
          <m:rPr>
            <m:sty m:val="p"/>
          </m:rPr>
          <m:t>−</m:t>
        </m:r>
        <m:r>
          <m:t>0</m:t>
        </m:r>
        <m:r>
          <m:rPr>
            <m:sty m:val="p"/>
          </m:rPr>
          <m:t>,</m:t>
        </m:r>
        <m:r>
          <m:t>0659</m:t>
        </m:r>
      </m:oMath>
      <w:r>
        <w:rPr>
          <w:rFonts w:ascii="Arial" w:hAnsi="Arial"/>
          <w:sz w:val="22"/>
        </w:rPr>
        <w:t xml:space="preserve">.</w:t>
      </w:r>
    </w:p>
    <w:bookmarkEnd w:id="56"/>
    <w:bookmarkStart w:id="62" w:name="X03c9c993697b2951d32c364cc1a724101cab21e"/>
    <w:p>
      <w:pPr>
        <w:pStyle w:val="Ttulo2"/>
        <w:spacing w:line="360" w:lineRule="auto" w:before="280" w:after="280"/>
        <w:ind w:firstLine="709"/>
        <w:jc w:val="left"/>
      </w:pPr>
      <w:r>
        <w:rPr>
          <w:rFonts w:ascii="Arial" w:hAnsi="Arial"/>
          <w:b/>
          <w:sz w:val="22"/>
        </w:rPr>
        <w:t xml:space="preserve">Decomposição do gap por mediação contextual e ocupacional</w:t>
      </w:r>
    </w:p>
    <w:p>
      <w:pPr>
        <w:pStyle w:val="FirstParagraph"/>
        <w:spacing w:line="360" w:lineRule="auto" w:after="0"/>
        <w:ind w:firstLine="709"/>
        <w:jc w:val="both"/>
      </w:pPr>
      <w:r>
        <w:rPr>
          <w:rFonts w:ascii="Arial" w:hAnsi="Arial"/>
          <w:sz w:val="22"/>
        </w:rPr>
        <w:t xml:space="preserve">A Tabela 5 resume o resultado central dos modelos HLM: à medida</w:t>
      </w:r>
      <w:r>
        <w:rPr>
          <w:rFonts w:ascii="Arial" w:hAnsi="Arial"/>
          <w:sz w:val="22"/>
        </w:rPr>
        <w:t xml:space="preserve"> </w:t>
      </w:r>
      <w:r>
        <w:rPr>
          <w:rFonts w:ascii="Arial" w:hAnsi="Arial"/>
          <w:sz w:val="22"/>
        </w:rPr>
        <w:t xml:space="preserve">que se adiciona o bairro (intercepto aleatório e contexto da UPA), o estado e a ocupação,</w:t>
      </w:r>
      <w:r>
        <w:rPr>
          <w:rFonts w:ascii="Arial" w:hAnsi="Arial"/>
          <w:sz w:val="22"/>
        </w:rPr>
        <w:t xml:space="preserve"> </w:t>
      </w:r>
      <w:r>
        <w:rPr>
          <w:rFonts w:ascii="Arial" w:hAnsi="Arial"/>
          <w:sz w:val="22"/>
        </w:rPr>
        <w:t xml:space="preserve">o gap racial encolhe de 10,5% (agregado) para 5,6% (M4); o que resta</w:t>
      </w:r>
      <w:r>
        <w:rPr>
          <w:rFonts w:ascii="Arial" w:hAnsi="Arial"/>
          <w:sz w:val="22"/>
        </w:rPr>
        <w:t xml:space="preserve"> </w:t>
      </w:r>
      <w:r>
        <w:rPr>
          <w:rFonts w:ascii="Arial" w:hAnsi="Arial"/>
          <w:sz w:val="22"/>
        </w:rPr>
        <w:t xml:space="preserve">no M4 é a penalidade que nenhum atributo observável explica.</w:t>
      </w:r>
    </w:p>
    <w:bookmarkStart w:id="57" w:name="tab:mediacao"/>
    <w:p>
      <w:pPr>
        <w:pStyle w:val="TableCaption"/>
        <w:keepNext/>
        <w:keepLines/>
        <w:spacing w:line="240" w:lineRule="auto" w:before="240" w:after="40"/>
        <w:ind w:firstLine="0"/>
        <w:jc w:val="both"/>
      </w:pPr>
      <w:r>
        <w:rPr>
          <w:rFonts w:ascii="Arial" w:hAnsi="Arial"/>
          <w:sz w:val="22"/>
        </w:rPr>
        <w:t xml:space="preserve">Tabela 5. Decomposição do gap salarial racial por mediação contextual e ocupacional</w:t>
      </w:r>
      <w:r>
        <w:rPr>
          <w:rFonts w:ascii="Arial" w:hAnsi="Arial"/>
          <w:sz w:val="22"/>
        </w:rPr>
        <w:t xml:space="preserve"> </w:t>
      </w:r>
      <w:r>
        <w:rPr>
          <w:rFonts w:ascii="Arial" w:hAnsi="Arial"/>
          <w:sz w:val="22"/>
        </w:rPr>
        <w:t xml:space="preserve">(HLM de dois níveis, indivíduos em UPA, com efeitos fixos de UF; PNAD Contínua</w:t>
      </w:r>
      <w:r>
        <w:rPr>
          <w:rFonts w:ascii="Arial" w:hAnsi="Arial"/>
          <w:sz w:val="22"/>
        </w:rPr>
        <w:t xml:space="preserve"> </w:t>
      </w:r>
      <w:r>
        <w:rPr>
          <w:rFonts w:ascii="Arial" w:hAnsi="Arial"/>
          <w:sz w:val="22"/>
        </w:rPr>
        <w:t xml:space="preserve">2016–2025, população completa). Cada linha</w:t>
      </w:r>
      <w:r>
        <w:rPr>
          <w:rFonts w:ascii="Arial" w:hAnsi="Arial"/>
          <w:sz w:val="22"/>
        </w:rPr>
        <w:t xml:space="preserve"> </w:t>
      </w:r>
      <w:r>
        <w:rPr>
          <w:rFonts w:ascii="Arial" w:hAnsi="Arial"/>
          <w:sz w:val="22"/>
        </w:rPr>
        <w:t xml:space="preserve">acrescenta um bloco de controles ao anterior; à medida que se adiciona contexto e ocupação,</w:t>
      </w:r>
      <w:r>
        <w:rPr>
          <w:rFonts w:ascii="Arial" w:hAnsi="Arial"/>
          <w:sz w:val="22"/>
        </w:rPr>
        <w:t xml:space="preserve"> </w:t>
      </w:r>
      <w:r>
        <w:rPr>
          <w:rFonts w:ascii="Arial" w:hAnsi="Arial"/>
          <w:sz w:val="22"/>
        </w:rPr>
        <w:t xml:space="preserve">o gap encolhe e a mediação acumulada cresce.</w:t>
      </w:r>
    </w:p>
    <w:tbl>
      <w:tblPr>
        <w:tblStyle w:val="Table"/>
        <w:tblW w:type="auto" w:w="0"/>
        <w:tblLayout w:type="fixed"/>
        <w:tblLook w:firstRow="1" w:lastRow="0" w:firstColumn="0" w:lastColumn="0" w:noHBand="0" w:noVBand="0" w:val="0020"/>
        <w:tblCaption w:val="Tabela 5. Decomposição do gap salarial racial por mediação contextual e ocupacional (HLM de dois níveis, indivíduos em UPA, com efeitos fixos de UF; PNAD Contínua 2016–2025, população completa). Cada linha acrescenta um bloco de controles ao anterior; à medida que se adiciona contexto e ocupação, o gap encolhe e a mediação acumulada cresce."/>
        <w:tblBorders>
          <w:top w:val="nil"/>
          <w:left w:val="nil"/>
          <w:bottom w:val="nil"/>
          <w:right w:val="nil"/>
          <w:insideH w:val="nil"/>
          <w:insideV w:val="nil"/>
        </w:tblBorders>
      </w:tblPr>
      <w:tblGrid>
        <w:gridCol w:w="5268"/>
        <w:gridCol w:w="1471"/>
        <w:gridCol w:w="1056"/>
        <w:gridCol w:w="1276"/>
      </w:tblGrid>
      <w:tr>
        <w:trPr>
          <w:tblHeader w:val="on"/>
          <w:cantSplit/>
        </w:trPr>
        <w:tc>
          <w:tcPr>
            <w:tcW w:type="dxa" w:w="5268"/>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2"/>
              </w:rPr>
              <w:t xml:space="preserve">Modelo (controles acumulados)</w:t>
            </w:r>
          </w:p>
        </w:tc>
        <w:tc>
          <w:tcPr>
            <w:tcW w:type="dxa" w:w="1471"/>
            <w:tcBorders>
              <w:top w:val="single" w:sz="8" w:color="000000"/>
              <w:left w:val="nil"/>
              <w:bottom w:val="single" w:sz="6" w:color="000000"/>
              <w:right w:val="nil"/>
            </w:tcBorders>
          </w:tcPr>
          <w:p>
            <w:pPr>
              <w:pStyle w:val="Compact"/>
              <w:keepNext/>
              <w:spacing w:line="240" w:lineRule="auto" w:after="0"/>
              <w:ind w:firstLine="0"/>
              <w:jc w:val="center"/>
            </w:pPr>
            <m:oMath>
              <m:sSub>
                <m:e>
                  <m:r>
                    <m:t>β</m:t>
                  </m:r>
                </m:e>
                <m:sub>
                  <m:r>
                    <m:rPr>
                      <m:nor/>
                      <m:sty m:val="p"/>
                    </m:rPr>
                    <m:t>negro</m:t>
                  </m:r>
                </m:sub>
              </m:sSub>
            </m:oMath>
          </w:p>
        </w:tc>
        <w:tc>
          <w:tcPr>
            <w:tcW w:type="dxa" w:w="1056"/>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2"/>
              </w:rPr>
              <w:t xml:space="preserve">Gap (%)</w:t>
            </w:r>
          </w:p>
        </w:tc>
        <w:tc>
          <w:tcPr>
            <w:tcW w:type="dxa" w:w="1276"/>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2"/>
              </w:rPr>
              <w:t xml:space="preserve">Mediação acum. (%)</w:t>
            </w:r>
          </w:p>
        </w:tc>
      </w:tr>
      <w:tr>
        <w:trPr>
          <w:cantSplit/>
        </w:trPr>
        <w:tc>
          <w:tcPr>
            <w:tcW w:type="dxa" w:w="5268"/>
          </w:tcPr>
          <w:p>
            <w:pPr>
              <w:pStyle w:val="Compact"/>
              <w:keepNext/>
              <w:spacing w:line="240" w:lineRule="auto" w:after="0"/>
              <w:ind w:firstLine="0"/>
              <w:jc w:val="left"/>
            </w:pPr>
            <w:r>
              <w:rPr>
                <w:rFonts w:ascii="Arial" w:hAnsi="Arial"/>
                <w:b w:val="0"/>
                <w:sz w:val="22"/>
              </w:rPr>
              <w:t xml:space="preserve">Agregado: individual + UF, sem efeito de bairro (OLS)</w:t>
            </w:r>
          </w:p>
        </w:tc>
        <w:tc>
          <w:tcPr>
            <w:tcW w:type="dxa" w:w="1471"/>
          </w:tcPr>
          <w:p>
            <w:pPr>
              <w:pStyle w:val="Compact"/>
              <w:keepNext/>
              <w:spacing w:line="240" w:lineRule="auto" w:after="0"/>
              <w:ind w:firstLine="0"/>
              <w:jc w:val="right"/>
            </w:pPr>
            <w:r>
              <w:rPr>
                <w:rFonts w:ascii="Arial" w:hAnsi="Arial"/>
                <w:b w:val="0"/>
                <w:sz w:val="22"/>
              </w:rPr>
              <w:t xml:space="preserve">−0,1104</w:t>
            </w:r>
          </w:p>
        </w:tc>
        <w:tc>
          <w:tcPr>
            <w:tcW w:type="dxa" w:w="1056"/>
          </w:tcPr>
          <w:p>
            <w:pPr>
              <w:pStyle w:val="Compact"/>
              <w:keepNext/>
              <w:spacing w:line="240" w:lineRule="auto" w:after="0"/>
              <w:ind w:firstLine="0"/>
              <w:jc w:val="right"/>
            </w:pPr>
            <w:r>
              <w:rPr>
                <w:rFonts w:ascii="Arial" w:hAnsi="Arial"/>
                <w:b w:val="0"/>
                <w:sz w:val="22"/>
              </w:rPr>
              <w:t xml:space="preserve">−10,5</w:t>
            </w:r>
          </w:p>
        </w:tc>
        <w:tc>
          <w:tcPr>
            <w:tcW w:type="dxa" w:w="1276"/>
          </w:tcPr>
          <w:p>
            <w:pPr>
              <w:pStyle w:val="Compact"/>
              <w:keepNext/>
              <w:spacing w:line="240" w:lineRule="auto" w:after="0"/>
              <w:ind w:firstLine="0"/>
              <w:jc w:val="left"/>
            </w:pPr>
            <w:r>
              <w:rPr>
                <w:rFonts w:ascii="Arial" w:hAnsi="Arial"/>
                <w:b w:val="0"/>
                <w:sz w:val="22"/>
              </w:rPr>
              <w:t xml:space="preserve">—</w:t>
            </w:r>
          </w:p>
        </w:tc>
      </w:tr>
      <w:tr>
        <w:trPr>
          <w:cantSplit/>
        </w:trPr>
        <w:tc>
          <w:tcPr>
            <w:tcW w:type="dxa" w:w="5268"/>
          </w:tcPr>
          <w:p>
            <w:pPr>
              <w:pStyle w:val="Compact"/>
              <w:keepNext/>
              <w:spacing w:line="240" w:lineRule="auto" w:after="0"/>
              <w:ind w:firstLine="0"/>
              <w:jc w:val="left"/>
            </w:pPr>
            <w:r>
              <w:rPr>
                <w:rFonts w:ascii="Arial" w:hAnsi="Arial"/>
                <w:b w:val="0"/>
                <w:sz w:val="22"/>
              </w:rPr>
              <w:t xml:space="preserve">M1: + intercepto aleatório de bairro (UPA)</w:t>
            </w:r>
          </w:p>
        </w:tc>
        <w:tc>
          <w:tcPr>
            <w:tcW w:type="dxa" w:w="1471"/>
          </w:tcPr>
          <w:p>
            <w:pPr>
              <w:pStyle w:val="Compact"/>
              <w:keepNext/>
              <w:spacing w:line="240" w:lineRule="auto" w:after="0"/>
              <w:ind w:firstLine="0"/>
              <w:jc w:val="right"/>
            </w:pPr>
            <w:r>
              <w:rPr>
                <w:rFonts w:ascii="Arial" w:hAnsi="Arial"/>
                <w:b w:val="0"/>
                <w:sz w:val="22"/>
              </w:rPr>
              <w:t xml:space="preserve">−0,0669</w:t>
            </w:r>
          </w:p>
        </w:tc>
        <w:tc>
          <w:tcPr>
            <w:tcW w:type="dxa" w:w="1056"/>
          </w:tcPr>
          <w:p>
            <w:pPr>
              <w:pStyle w:val="Compact"/>
              <w:keepNext/>
              <w:spacing w:line="240" w:lineRule="auto" w:after="0"/>
              <w:ind w:firstLine="0"/>
              <w:jc w:val="right"/>
            </w:pPr>
            <w:r>
              <w:rPr>
                <w:rFonts w:ascii="Arial" w:hAnsi="Arial"/>
                <w:b w:val="0"/>
                <w:sz w:val="22"/>
              </w:rPr>
              <w:t xml:space="preserve">−6,5</w:t>
            </w:r>
          </w:p>
        </w:tc>
        <w:tc>
          <w:tcPr>
            <w:tcW w:type="dxa" w:w="1276"/>
          </w:tcPr>
          <w:p>
            <w:pPr>
              <w:pStyle w:val="Compact"/>
              <w:keepNext/>
              <w:spacing w:line="240" w:lineRule="auto" w:after="0"/>
              <w:ind w:firstLine="0"/>
              <w:jc w:val="right"/>
            </w:pPr>
            <w:r>
              <w:rPr>
                <w:rFonts w:ascii="Arial" w:hAnsi="Arial"/>
                <w:b w:val="0"/>
                <w:sz w:val="22"/>
              </w:rPr>
              <w:t xml:space="preserve">39,5</w:t>
            </w:r>
          </w:p>
        </w:tc>
      </w:tr>
      <w:tr>
        <w:trPr>
          <w:cantSplit/>
        </w:trPr>
        <w:tc>
          <w:tcPr>
            <w:tcW w:type="dxa" w:w="5268"/>
          </w:tcPr>
          <w:p>
            <w:pPr>
              <w:pStyle w:val="Compact"/>
              <w:keepNext/>
              <w:spacing w:line="240" w:lineRule="auto" w:after="0"/>
              <w:ind w:firstLine="0"/>
              <w:jc w:val="left"/>
            </w:pPr>
            <w:r>
              <w:rPr>
                <w:rFonts w:ascii="Arial" w:hAnsi="Arial"/>
                <w:b w:val="0"/>
                <w:sz w:val="22"/>
              </w:rPr>
              <w:t xml:space="preserve">M2: + contexto do bairro (UPA)</w:t>
            </w:r>
          </w:p>
        </w:tc>
        <w:tc>
          <w:tcPr>
            <w:tcW w:type="dxa" w:w="1471"/>
          </w:tcPr>
          <w:p>
            <w:pPr>
              <w:pStyle w:val="Compact"/>
              <w:keepNext/>
              <w:spacing w:line="240" w:lineRule="auto" w:after="0"/>
              <w:ind w:firstLine="0"/>
              <w:jc w:val="right"/>
            </w:pPr>
            <w:r>
              <w:rPr>
                <w:rFonts w:ascii="Arial" w:hAnsi="Arial"/>
                <w:b w:val="0"/>
                <w:sz w:val="22"/>
              </w:rPr>
              <w:t xml:space="preserve">−0,0637</w:t>
            </w:r>
          </w:p>
        </w:tc>
        <w:tc>
          <w:tcPr>
            <w:tcW w:type="dxa" w:w="1056"/>
          </w:tcPr>
          <w:p>
            <w:pPr>
              <w:pStyle w:val="Compact"/>
              <w:keepNext/>
              <w:spacing w:line="240" w:lineRule="auto" w:after="0"/>
              <w:ind w:firstLine="0"/>
              <w:jc w:val="right"/>
            </w:pPr>
            <w:r>
              <w:rPr>
                <w:rFonts w:ascii="Arial" w:hAnsi="Arial"/>
                <w:b w:val="0"/>
                <w:sz w:val="22"/>
              </w:rPr>
              <w:t xml:space="preserve">−6,2</w:t>
            </w:r>
          </w:p>
        </w:tc>
        <w:tc>
          <w:tcPr>
            <w:tcW w:type="dxa" w:w="1276"/>
          </w:tcPr>
          <w:p>
            <w:pPr>
              <w:pStyle w:val="Compact"/>
              <w:keepNext/>
              <w:spacing w:line="240" w:lineRule="auto" w:after="0"/>
              <w:ind w:firstLine="0"/>
              <w:jc w:val="right"/>
            </w:pPr>
            <w:r>
              <w:rPr>
                <w:rFonts w:ascii="Arial" w:hAnsi="Arial"/>
                <w:b w:val="0"/>
                <w:sz w:val="22"/>
              </w:rPr>
              <w:t xml:space="preserve">42,3</w:t>
            </w:r>
          </w:p>
        </w:tc>
      </w:tr>
      <w:tr>
        <w:trPr>
          <w:cantSplit/>
        </w:trPr>
        <w:tc>
          <w:tcPr>
            <w:tcW w:type="dxa" w:w="5268"/>
          </w:tcPr>
          <w:p>
            <w:pPr>
              <w:pStyle w:val="Compact"/>
              <w:keepNext/>
              <w:spacing w:line="240" w:lineRule="auto" w:after="0"/>
              <w:ind w:firstLine="0"/>
              <w:jc w:val="left"/>
            </w:pPr>
            <w:r>
              <w:rPr>
                <w:rFonts w:ascii="Arial" w:hAnsi="Arial"/>
                <w:b w:val="0"/>
                <w:sz w:val="22"/>
              </w:rPr>
              <w:t xml:space="preserve">M3: + efeitos fixos de UF (gap líquido)</w:t>
            </w:r>
          </w:p>
        </w:tc>
        <w:tc>
          <w:tcPr>
            <w:tcW w:type="dxa" w:w="1471"/>
          </w:tcPr>
          <w:p>
            <w:pPr>
              <w:pStyle w:val="Compact"/>
              <w:keepNext/>
              <w:spacing w:line="240" w:lineRule="auto" w:after="0"/>
              <w:ind w:firstLine="0"/>
              <w:jc w:val="right"/>
            </w:pPr>
            <w:r>
              <w:rPr>
                <w:rFonts w:ascii="Arial" w:hAnsi="Arial"/>
                <w:b w:val="0"/>
                <w:sz w:val="22"/>
              </w:rPr>
              <w:t xml:space="preserve">−0,0629</w:t>
            </w:r>
          </w:p>
        </w:tc>
        <w:tc>
          <w:tcPr>
            <w:tcW w:type="dxa" w:w="1056"/>
          </w:tcPr>
          <w:p>
            <w:pPr>
              <w:pStyle w:val="Compact"/>
              <w:keepNext/>
              <w:spacing w:line="240" w:lineRule="auto" w:after="0"/>
              <w:ind w:firstLine="0"/>
              <w:jc w:val="right"/>
            </w:pPr>
            <w:r>
              <w:rPr>
                <w:rFonts w:ascii="Arial" w:hAnsi="Arial"/>
                <w:b w:val="0"/>
                <w:sz w:val="22"/>
              </w:rPr>
              <w:t xml:space="preserve">−6,1</w:t>
            </w:r>
          </w:p>
        </w:tc>
        <w:tc>
          <w:tcPr>
            <w:tcW w:type="dxa" w:w="1276"/>
          </w:tcPr>
          <w:p>
            <w:pPr>
              <w:pStyle w:val="Compact"/>
              <w:keepNext/>
              <w:spacing w:line="240" w:lineRule="auto" w:after="0"/>
              <w:ind w:firstLine="0"/>
              <w:jc w:val="right"/>
            </w:pPr>
            <w:r>
              <w:rPr>
                <w:rFonts w:ascii="Arial" w:hAnsi="Arial"/>
                <w:b w:val="0"/>
                <w:sz w:val="22"/>
              </w:rPr>
              <w:t xml:space="preserve">43,0</w:t>
            </w:r>
          </w:p>
        </w:tc>
      </w:tr>
      <w:tr>
        <w:trPr>
          <w:cantSplit/>
        </w:trPr>
        <w:tc>
          <w:tcPr>
            <w:tcW w:type="dxa" w:w="5268"/>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M4: + ocupação e formalidade (limite inferior)</w:t>
            </w:r>
          </w:p>
        </w:tc>
        <w:tc>
          <w:tcPr>
            <w:tcW w:type="dxa" w:w="1471"/>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2"/>
              </w:rPr>
              <w:t xml:space="preserve">−0,0579</w:t>
            </w:r>
          </w:p>
        </w:tc>
        <w:tc>
          <w:tcPr>
            <w:tcW w:type="dxa" w:w="1056"/>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2"/>
              </w:rPr>
              <w:t xml:space="preserve">−5,6</w:t>
            </w:r>
          </w:p>
        </w:tc>
        <w:tc>
          <w:tcPr>
            <w:tcW w:type="dxa" w:w="1276"/>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2"/>
              </w:rPr>
              <w:t xml:space="preserve">47,6</w:t>
            </w:r>
          </w:p>
        </w:tc>
      </w:tr>
    </w:tbl>
    <w:bookmarkEnd w:id="57"/>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cada linha adiciona algo à anterior.</w:t>
      </w:r>
      <w:r>
        <w:rPr>
          <w:rFonts w:ascii="Arial" w:hAnsi="Arial"/>
          <w:sz w:val="22"/>
        </w:rPr>
        <w:t xml:space="preserve"> </w:t>
      </w:r>
      <m:oMath>
        <m:sSub>
          <m:e>
            <m:r>
              <m:t>β</m:t>
            </m:r>
          </m:e>
          <m:sub>
            <m:r>
              <m:rPr>
                <m:nor/>
                <m:sty m:val="p"/>
              </m:rPr>
              <m:t>negro</m:t>
            </m:r>
          </m:sub>
        </m:sSub>
      </m:oMath>
      <w:r>
        <w:rPr>
          <w:rFonts w:ascii="Arial" w:hAnsi="Arial"/>
          <w:sz w:val="22"/>
        </w:rPr>
        <w:t xml:space="preserve"> </w:t>
      </w:r>
      <w:r>
        <w:rPr>
          <w:rFonts w:ascii="Arial" w:hAnsi="Arial"/>
          <w:sz w:val="22"/>
        </w:rPr>
        <w:t xml:space="preserve">é a penalidade racial em log-rendimento (mais próximo de zero = menor gap);</w:t>
      </w:r>
      <w:r>
        <w:rPr>
          <w:rFonts w:ascii="Arial" w:hAnsi="Arial"/>
          <w:sz w:val="22"/>
        </w:rPr>
        <w:t xml:space="preserve"> </w:t>
      </w:r>
      <w:r>
        <w:rPr>
          <w:rFonts w:ascii="Arial" w:hAnsi="Arial"/>
          <w:sz w:val="22"/>
        </w:rPr>
        <w:t xml:space="preserve">“Gap (%)”</w:t>
      </w:r>
      <w:r>
        <w:rPr>
          <w:rFonts w:ascii="Arial" w:hAnsi="Arial"/>
          <w:sz w:val="22"/>
        </w:rPr>
        <w:t xml:space="preserve"> </w:t>
      </w:r>
      <w:r>
        <w:rPr>
          <w:rFonts w:ascii="Arial" w:hAnsi="Arial"/>
          <w:sz w:val="22"/>
        </w:rPr>
        <w:t xml:space="preserve">é a</w:t>
      </w:r>
      <w:r>
        <w:rPr>
          <w:rFonts w:ascii="Arial" w:hAnsi="Arial"/>
          <w:sz w:val="22"/>
        </w:rPr>
        <w:t xml:space="preserve"> </w:t>
      </w:r>
      <w:r>
        <w:rPr>
          <w:rFonts w:ascii="Arial" w:hAnsi="Arial"/>
          <w:sz w:val="22"/>
        </w:rPr>
        <w:t xml:space="preserve">penalidade em % de renda;</w:t>
      </w:r>
      <w:r>
        <w:rPr>
          <w:rFonts w:ascii="Arial" w:hAnsi="Arial"/>
          <w:sz w:val="22"/>
        </w:rPr>
        <w:t xml:space="preserve"> </w:t>
      </w:r>
      <w:r>
        <w:rPr>
          <w:rFonts w:ascii="Arial" w:hAnsi="Arial"/>
          <w:sz w:val="22"/>
        </w:rPr>
        <w:t xml:space="preserve">“Mediação acum.”</w:t>
      </w:r>
      <w:r>
        <w:rPr>
          <w:rFonts w:ascii="Arial" w:hAnsi="Arial"/>
          <w:sz w:val="22"/>
        </w:rPr>
        <w:t xml:space="preserve"> é a fração do gap agregado (primeira linha) já</w:t>
      </w:r>
      <w:r>
        <w:rPr>
          <w:rFonts w:ascii="Arial" w:hAnsi="Arial"/>
          <w:sz w:val="22"/>
        </w:rPr>
        <w:t xml:space="preserve"> </w:t>
      </w:r>
      <w:r>
        <w:rPr>
          <w:rFonts w:ascii="Arial" w:hAnsi="Arial"/>
          <w:sz w:val="22"/>
        </w:rPr>
        <w:t xml:space="preserve">explicada. O salto da primeira para a segunda linha é a mediação pela segregação residencial:</w:t>
      </w:r>
      <w:r>
        <w:rPr>
          <w:rFonts w:ascii="Arial" w:hAnsi="Arial"/>
          <w:sz w:val="22"/>
        </w:rPr>
        <w:t xml:space="preserve"> </w:t>
      </w:r>
      <w:r>
        <w:rPr>
          <w:rFonts w:ascii="Arial" w:hAnsi="Arial"/>
          <w:sz w:val="22"/>
        </w:rPr>
        <w:t xml:space="preserve">comparar negros e brancos</w:t>
      </w:r>
      <w:r>
        <w:rPr>
          <w:rFonts w:ascii="Arial" w:hAnsi="Arial"/>
          <w:sz w:val="22"/>
        </w:rPr>
        <w:t xml:space="preserve"> </w:t>
      </w:r>
      <w:r>
        <w:rPr>
          <w:rFonts w:ascii="Arial" w:hAnsi="Arial"/>
          <w:sz w:val="22"/>
        </w:rPr>
        <w:t xml:space="preserve">do mesmo bairro</w:t>
      </w:r>
      <w:r>
        <w:rPr>
          <w:rFonts w:ascii="Arial" w:hAnsi="Arial"/>
          <w:sz w:val="22"/>
        </w:rPr>
        <w:t xml:space="preserve"> </w:t>
      </w:r>
      <w:r>
        <w:rPr>
          <w:rFonts w:ascii="Arial" w:hAnsi="Arial"/>
          <w:sz w:val="22"/>
        </w:rPr>
        <w:t xml:space="preserve">reduz o gap em 39,5%. Do modelo agregado</w:t>
      </w:r>
      <w:r>
        <w:rPr>
          <w:rFonts w:ascii="Arial" w:hAnsi="Arial"/>
          <w:sz w:val="22"/>
        </w:rPr>
        <w:t xml:space="preserve"> </w:t>
      </w:r>
      <w:r>
        <w:rPr>
          <w:rFonts w:ascii="Arial" w:hAnsi="Arial"/>
          <w:sz w:val="22"/>
        </w:rPr>
        <w:t xml:space="preserve">ao M4 o gap cai de 10,5% para 5,6%: 47,6% do gap é mediado por</w:t>
      </w:r>
      <w:r>
        <w:rPr>
          <w:rFonts w:ascii="Arial" w:hAnsi="Arial"/>
          <w:sz w:val="22"/>
        </w:rPr>
        <w:t xml:space="preserve"> </w:t>
      </w:r>
      <w:r>
        <w:rPr>
          <w:rFonts w:ascii="Arial" w:hAnsi="Arial"/>
          <w:sz w:val="22"/>
        </w:rPr>
        <w:t xml:space="preserve">onde a pessoa mora, o estado e a ocupação que acessa — e a penalidade de 5,6% persiste</w:t>
      </w:r>
      <w:r>
        <w:rPr>
          <w:rFonts w:ascii="Arial" w:hAnsi="Arial"/>
          <w:sz w:val="22"/>
        </w:rPr>
        <w:t xml:space="preserve"> </w:t>
      </w:r>
      <w:r>
        <w:rPr>
          <w:rFonts w:ascii="Arial" w:hAnsi="Arial"/>
          <w:sz w:val="22"/>
        </w:rPr>
        <w:t xml:space="preserve">dentro da mesma ocupação (limite inferior, pois a ocupação é ela própria resultado da barreira de acesso). O agregado inclui efeitos fixos de UF e o M1 e o M2 não (o M3 os reintroduz). Reestimado com UF, na mesma base, o M1 dá</w:t>
      </w:r>
      <w:r>
        <w:rPr>
          <w:rFonts w:ascii="Arial" w:hAnsi="Arial"/>
          <w:sz w:val="22"/>
        </w:rPr>
        <w:t xml:space="preserve"> </w:t>
      </w:r>
      <m:oMath>
        <m:sSub>
          <m:e>
            <m:r>
              <m:t>β</m:t>
            </m:r>
          </m:e>
          <m:sub>
            <m:r>
              <m:rPr>
                <m:nor/>
                <m:sty m:val="p"/>
              </m:rPr>
              <m:t>negro</m:t>
            </m:r>
          </m:sub>
        </m:sSub>
        <m:r>
          <m:rPr>
            <m:sty m:val="p"/>
          </m:rPr>
          <m:t>=</m:t>
        </m:r>
        <m:r>
          <m:rPr>
            <m:sty m:val="p"/>
          </m:rPr>
          <m:t>−</m:t>
        </m:r>
        <m:r>
          <m:t>0</m:t>
        </m:r>
        <m:r>
          <m:rPr>
            <m:sty m:val="p"/>
          </m:rPr>
          <m:t>,</m:t>
        </m:r>
        <m:r>
          <m:t>0645</m:t>
        </m:r>
      </m:oMath>
      <w:r>
        <w:rPr>
          <w:rFonts w:ascii="Arial" w:hAnsi="Arial"/>
          <w:sz w:val="22"/>
        </w:rPr>
        <w:t xml:space="preserve"> </w:t>
      </w:r>
      <w:r>
        <w:rPr>
          <w:rFonts w:ascii="Arial" w:hAnsi="Arial"/>
          <w:sz w:val="22"/>
        </w:rPr>
        <w:t xml:space="preserve">e uma mediação pelo bairro de 41,6% (contra 39,5% na tabela): com o estado mantido no modelo, a mediação pelo bairro é ainda maior — a leitura da tabela é conservadora. Sem os efeitos fixos de UF, o gap agregado seria de 20,1% — a diferença entre estados é, ela própria, parte do diferencial.</w:t>
      </w:r>
    </w:p>
    <w:p>
      <w:pPr>
        <w:pStyle w:val="BodyText"/>
        <w:spacing w:line="360" w:lineRule="auto" w:after="0"/>
        <w:ind w:firstLine="709"/>
        <w:jc w:val="both"/>
      </w:pPr>
      <w:r>
        <w:rPr>
          <w:rFonts w:ascii="Arial" w:hAnsi="Arial"/>
          <w:sz w:val="22"/>
        </w:rPr>
        <w:t xml:space="preserve">A Figura 4 resume a sequência de degraus em barras.</w:t>
      </w:r>
    </w:p>
    <w:bookmarkStart w:id="61" w:name="fig:hlm_gap"/>
    <w:p>
      <w:pPr>
        <w:pStyle w:val="CaptionedFigure"/>
        <w:keepNext/>
        <w:keepLines/>
      </w:pPr>
      <w:r>
        <w:rPr>
          <w:rFonts w:ascii="Arial" w:hAnsi="Arial"/>
          <w:sz w:val="22"/>
        </w:rPr>
        <w:drawing>
          <wp:inline>
            <wp:extent cx="5292852" cy="2571773"/>
            <wp:effectExtent b="0" l="0" r="0" t="0"/>
            <wp:docPr descr="" title="" id="59" name="Picture"/>
            <a:graphic>
              <a:graphicData uri="http://schemas.openxmlformats.org/drawingml/2006/picture">
                <pic:pic>
                  <pic:nvPicPr>
                    <pic:cNvPr descr="outputs/figures/fig_hlm_gap.png" id="60" name="Picture"/>
                    <pic:cNvPicPr>
                      <a:picLocks noChangeArrowheads="1" noChangeAspect="1"/>
                    </pic:cNvPicPr>
                  </pic:nvPicPr>
                  <pic:blipFill>
                    <a:blip r:embed="rId58"/>
                    <a:stretch>
                      <a:fillRect/>
                    </a:stretch>
                  </pic:blipFill>
                  <pic:spPr bwMode="auto">
                    <a:xfrm>
                      <a:off x="0" y="0"/>
                      <a:ext cx="5292852" cy="2571773"/>
                    </a:xfrm>
                    <a:prstGeom prst="rect">
                      <a:avLst/>
                    </a:prstGeom>
                    <a:noFill/>
                    <a:ln w="9525">
                      <a:noFill/>
                      <a:headEnd/>
                      <a:tailEnd/>
                    </a:ln>
                  </pic:spPr>
                </pic:pic>
              </a:graphicData>
            </a:graphic>
          </wp:inline>
        </w:drawing>
      </w:r>
    </w:p>
    <w:p>
      <w:pPr>
        <w:pStyle w:val="ImageCaption"/>
        <w:keepNext/>
        <w:keepLines/>
        <w:spacing w:line="240" w:lineRule="auto" w:before="240" w:after="40"/>
        <w:ind w:firstLine="0"/>
        <w:jc w:val="both"/>
      </w:pPr>
      <w:r>
        <w:rPr>
          <w:rFonts w:ascii="Arial" w:hAnsi="Arial"/>
          <w:sz w:val="22"/>
        </w:rPr>
        <w:t xml:space="preserve">Figura 4. Comparar vizinhos reduz o gap em cerca de 40% — e o que</w:t>
      </w:r>
      <w:r>
        <w:rPr>
          <w:rFonts w:ascii="Arial" w:hAnsi="Arial"/>
          <w:sz w:val="22"/>
        </w:rPr>
        <w:t xml:space="preserve"> </w:t>
      </w:r>
      <w:r>
        <w:rPr>
          <w:rFonts w:ascii="Arial" w:hAnsi="Arial"/>
          <w:sz w:val="22"/>
        </w:rPr>
        <w:t xml:space="preserve">sobra não é explicado por escolaridade, idade, sexo, estado nem ocupação. Barras:</w:t>
      </w:r>
      <w:r>
        <w:rPr>
          <w:rFonts w:ascii="Arial" w:hAnsi="Arial"/>
          <w:sz w:val="22"/>
        </w:rPr>
        <w:t xml:space="preserve"> </w:t>
      </w:r>
      <m:oMath>
        <m:sSub>
          <m:e>
            <m:acc>
              <m:accPr>
                <m:chr m:val="̂"/>
              </m:accPr>
              <m:e>
                <m:r>
                  <m:t>β</m:t>
                </m:r>
              </m:e>
            </m:acc>
          </m:e>
          <m:sub>
            <m:r>
              <m:rPr>
                <m:nor/>
                <m:sty m:val="p"/>
              </m:rPr>
              <m:t>negro</m:t>
            </m:r>
          </m:sub>
        </m:sSub>
      </m:oMath>
      <w:r>
        <w:rPr>
          <w:rFonts w:ascii="Arial" w:hAnsi="Arial"/>
          <w:sz w:val="22"/>
        </w:rPr>
        <w:t xml:space="preserve"> </w:t>
      </w:r>
      <w:r>
        <w:rPr>
          <w:rFonts w:ascii="Arial" w:hAnsi="Arial"/>
          <w:sz w:val="22"/>
        </w:rPr>
        <w:t xml:space="preserve">de cada modelo; traço: IC 95% (estreito pelo</w:t>
      </w:r>
      <w:r>
        <w:rPr>
          <w:rFonts w:ascii="Arial" w:hAnsi="Arial"/>
          <w:sz w:val="22"/>
        </w:rPr>
        <w:t xml:space="preserve"> </w:t>
      </w:r>
      <m:oMath>
        <m:r>
          <m:t>N</m:t>
        </m:r>
      </m:oMath>
      <w:r>
        <w:rPr>
          <w:rFonts w:ascii="Arial" w:hAnsi="Arial"/>
          <w:sz w:val="22"/>
        </w:rPr>
        <w:t xml:space="preserve"> </w:t>
      </w:r>
      <w:r>
        <w:rPr>
          <w:rFonts w:ascii="Arial" w:hAnsi="Arial"/>
          <w:sz w:val="22"/>
        </w:rPr>
        <w:t xml:space="preserve">de milhões);</w:t>
      </w:r>
      <w:r>
        <w:rPr>
          <w:rFonts w:ascii="Arial" w:hAnsi="Arial"/>
          <w:sz w:val="22"/>
        </w:rPr>
        <w:t xml:space="preserve"> </w:t>
      </w:r>
      <w:r>
        <w:rPr>
          <w:rFonts w:ascii="Arial" w:hAnsi="Arial"/>
          <w:sz w:val="22"/>
        </w:rPr>
        <w:t xml:space="preserve">rótulo: gap em % de renda. Em azul, o M3 (gap líquido).</w:t>
      </w:r>
    </w:p>
    <w:bookmarkEnd w:id="61"/>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Figura 4: cada barra é um modelo da sequência e, de cima para baixo, acrescenta-se um bloco de controles ao anterior. O comprimento da barra é a penalidade racial em log-rendimento e o rótulo dentro dela, a mesma penalidade em % de renda; o traço fino é o intervalo de confiança de 95% com erro-padrão agrupado por UPA. Em azul, o M3 — o gap líquido.</w:t>
      </w:r>
    </w:p>
    <w:bookmarkEnd w:id="62"/>
    <w:bookmarkStart w:id="68" w:name="X0e69078f56ff2fc58d4b5157c72cc4a5dec12bc"/>
    <w:p>
      <w:pPr>
        <w:pStyle w:val="Ttulo2"/>
        <w:spacing w:line="360" w:lineRule="auto" w:before="280" w:after="280"/>
        <w:ind w:firstLine="709"/>
        <w:jc w:val="left"/>
      </w:pPr>
      <w:r>
        <w:rPr>
          <w:rFonts w:ascii="Arial" w:hAnsi="Arial"/>
          <w:b/>
          <w:sz w:val="22"/>
        </w:rPr>
        <w:t xml:space="preserve">Decomposição de Oaxaca–Blinder: composição</w:t>
      </w:r>
      <w:r>
        <w:rPr>
          <w:rFonts w:ascii="Arial" w:hAnsi="Arial"/>
          <w:b/>
          <w:sz w:val="22"/>
        </w:rPr>
        <w:t xml:space="preserve"> </w:t>
      </w:r>
      <w:r>
        <w:rPr>
          <w:rFonts w:ascii="Arial" w:hAnsi="Arial"/>
          <w:b/>
          <w:sz w:val="22"/>
        </w:rPr>
        <w:t xml:space="preserve">vs.</w:t>
      </w:r>
      <w:r>
        <w:rPr>
          <w:rFonts w:ascii="Arial" w:hAnsi="Arial"/>
          <w:b/>
          <w:sz w:val="22"/>
        </w:rPr>
        <w:t xml:space="preserve"> discriminação</w:t>
      </w:r>
    </w:p>
    <w:p>
      <w:pPr>
        <w:pStyle w:val="FirstParagraph"/>
        <w:spacing w:line="360" w:lineRule="auto" w:after="0"/>
        <w:ind w:firstLine="709"/>
        <w:jc w:val="both"/>
      </w:pPr>
      <w:r>
        <w:rPr>
          <w:rFonts w:ascii="Arial" w:hAnsi="Arial"/>
          <w:sz w:val="22"/>
        </w:rPr>
        <w:t xml:space="preserve">Comparar vizinhos explicou parte do diferencial; resta saber de que é feito o que sobra. De que é feito o gap? Duas explicações rivalizam desde</w:t>
      </w:r>
      <w:r>
        <w:rPr>
          <w:rFonts w:ascii="Arial" w:hAnsi="Arial"/>
          <w:sz w:val="22"/>
        </w:rPr>
        <w:t xml:space="preserve"> </w:t>
      </w:r>
      <w:r>
        <w:rPr>
          <w:rFonts w:ascii="Arial" w:hAnsi="Arial"/>
          <w:sz w:val="22"/>
        </w:rPr>
        <w:t xml:space="preserve">Becker (1957)</w:t>
      </w:r>
      <w:r>
        <w:rPr>
          <w:rFonts w:ascii="Arial" w:hAnsi="Arial"/>
          <w:sz w:val="22"/>
        </w:rPr>
        <w:t xml:space="preserve">, e</w:t>
      </w:r>
      <w:r>
        <w:rPr>
          <w:rFonts w:ascii="Arial" w:hAnsi="Arial"/>
          <w:sz w:val="22"/>
        </w:rPr>
        <w:t xml:space="preserve"> </w:t>
      </w:r>
      <w:r>
        <w:rPr>
          <w:rFonts w:ascii="Arial" w:hAnsi="Arial"/>
          <w:sz w:val="22"/>
        </w:rPr>
        <w:t xml:space="preserve">elas pedem políticas opostas. Ou negros e brancos chegam ao mercado com características</w:t>
      </w:r>
      <w:r>
        <w:rPr>
          <w:rFonts w:ascii="Arial" w:hAnsi="Arial"/>
          <w:sz w:val="22"/>
        </w:rPr>
        <w:t xml:space="preserve"> </w:t>
      </w:r>
      <w:r>
        <w:rPr>
          <w:rFonts w:ascii="Arial" w:hAnsi="Arial"/>
          <w:sz w:val="22"/>
        </w:rPr>
        <w:t xml:space="preserve">diferentes e o mercado paga igual por características iguais — o gap é</w:t>
      </w:r>
      <w:r>
        <w:rPr>
          <w:rFonts w:ascii="Arial" w:hAnsi="Arial"/>
          <w:sz w:val="22"/>
        </w:rPr>
        <w:t xml:space="preserve"> </w:t>
      </w:r>
      <w:r>
        <w:rPr>
          <w:rFonts w:ascii="Arial" w:hAnsi="Arial"/>
          <w:sz w:val="22"/>
        </w:rPr>
        <w:t xml:space="preserve">composição</w:t>
      </w:r>
      <w:r>
        <w:rPr>
          <w:rFonts w:ascii="Arial" w:hAnsi="Arial"/>
          <w:sz w:val="22"/>
        </w:rPr>
        <w:t xml:space="preserve">, e a política tem de agir antes do mercado, na escola e na formação.</w:t>
      </w:r>
      <w:r>
        <w:rPr>
          <w:rFonts w:ascii="Arial" w:hAnsi="Arial"/>
          <w:sz w:val="22"/>
        </w:rPr>
        <w:t xml:space="preserve"> </w:t>
      </w:r>
      <w:r>
        <w:rPr>
          <w:rFonts w:ascii="Arial" w:hAnsi="Arial"/>
          <w:sz w:val="22"/>
        </w:rPr>
        <w:t xml:space="preserve">Ou chegam com as mesmas características e o mercado paga diferente — o gap é</w:t>
      </w:r>
      <w:r>
        <w:rPr>
          <w:rFonts w:ascii="Arial" w:hAnsi="Arial"/>
          <w:sz w:val="22"/>
        </w:rPr>
        <w:t xml:space="preserve"> </w:t>
      </w:r>
      <w:r>
        <w:rPr>
          <w:rFonts w:ascii="Arial" w:hAnsi="Arial"/>
          <w:sz w:val="22"/>
        </w:rPr>
        <w:t xml:space="preserve">preço</w:t>
      </w:r>
      <w:r>
        <w:rPr>
          <w:rFonts w:ascii="Arial" w:hAnsi="Arial"/>
          <w:sz w:val="22"/>
        </w:rPr>
        <w:t xml:space="preserve">, e a política tem de agir dentro dele, na contratação e na fiscalização.</w:t>
      </w:r>
      <w:r>
        <w:rPr>
          <w:rFonts w:ascii="Arial" w:hAnsi="Arial"/>
          <w:sz w:val="22"/>
        </w:rPr>
        <w:t xml:space="preserve"> </w:t>
      </w:r>
      <w:r>
        <w:rPr>
          <w:rFonts w:ascii="Arial" w:hAnsi="Arial"/>
          <w:sz w:val="22"/>
        </w:rPr>
        <w:t xml:space="preserve">A distinção é empírica, e a decomposição de Oaxaca–Blinder foi construída para fazê-la.</w:t>
      </w:r>
    </w:p>
    <w:p>
      <w:pPr>
        <w:pStyle w:val="BodyText"/>
        <w:spacing w:line="360" w:lineRule="auto" w:after="0"/>
        <w:ind w:firstLine="709"/>
        <w:jc w:val="both"/>
      </w:pPr>
      <w:r>
        <w:rPr>
          <w:rFonts w:ascii="Arial" w:hAnsi="Arial"/>
          <w:sz w:val="22"/>
        </w:rPr>
        <w:t xml:space="preserve">A decomposição de Oaxaca–Blinder separa o gap bruto de log-rendimento</w:t>
      </w:r>
      <w:r>
        <w:rPr>
          <w:rFonts w:ascii="Arial" w:hAnsi="Arial"/>
          <w:sz w:val="22"/>
        </w:rPr>
        <w:t xml:space="preserve"> </w:t>
      </w:r>
      <w:r>
        <w:rPr>
          <w:rFonts w:ascii="Arial" w:hAnsi="Arial"/>
          <w:sz w:val="22"/>
        </w:rPr>
        <w:t xml:space="preserve">(0,4252 log-pontos, ou 53,0%) em uma parcela explicada por diferenças de</w:t>
      </w:r>
      <w:r>
        <w:rPr>
          <w:rFonts w:ascii="Arial" w:hAnsi="Arial"/>
          <w:sz w:val="22"/>
        </w:rPr>
        <w:t xml:space="preserve"> </w:t>
      </w:r>
      <w:r>
        <w:rPr>
          <w:rFonts w:ascii="Arial" w:hAnsi="Arial"/>
          <w:sz w:val="22"/>
        </w:rPr>
        <w:t xml:space="preserve">dotações e uma parcela não explicada (retornos diferenciais — limite inferior da</w:t>
      </w:r>
      <w:r>
        <w:rPr>
          <w:rFonts w:ascii="Arial" w:hAnsi="Arial"/>
          <w:sz w:val="22"/>
        </w:rPr>
        <w:t xml:space="preserve"> </w:t>
      </w:r>
      <w:r>
        <w:rPr>
          <w:rFonts w:ascii="Arial" w:hAnsi="Arial"/>
          <w:sz w:val="22"/>
        </w:rPr>
        <w:t xml:space="preserve">discriminação). A Tabela 6 apresenta duas especificações,</w:t>
      </w:r>
      <w:r>
        <w:rPr>
          <w:rFonts w:ascii="Arial" w:hAnsi="Arial"/>
          <w:sz w:val="22"/>
        </w:rPr>
        <w:t xml:space="preserve"> </w:t>
      </w:r>
      <w:r>
        <w:rPr>
          <w:rFonts w:ascii="Arial" w:hAnsi="Arial"/>
          <w:sz w:val="22"/>
        </w:rPr>
        <w:t xml:space="preserve">porque ocupação e formalidade são</w:t>
      </w:r>
      <w:r>
        <w:rPr>
          <w:rFonts w:ascii="Arial" w:hAnsi="Arial"/>
          <w:sz w:val="22"/>
        </w:rPr>
        <w:t xml:space="preserve"> </w:t>
      </w:r>
      <w:r>
        <w:rPr>
          <w:rFonts w:ascii="Arial" w:hAnsi="Arial"/>
          <w:sz w:val="22"/>
        </w:rPr>
        <w:t xml:space="preserve">bad controls</w:t>
      </w:r>
      <w:r>
        <w:rPr>
          <w:rFonts w:ascii="Arial" w:hAnsi="Arial"/>
          <w:sz w:val="22"/>
        </w:rPr>
        <w:t xml:space="preserve"> </w:t>
      </w:r>
      <w:r>
        <w:rPr>
          <w:rFonts w:ascii="Arial" w:hAnsi="Arial"/>
          <w:sz w:val="22"/>
        </w:rPr>
        <w:t xml:space="preserve">(Angrist; Pischke, 2009)</w:t>
      </w:r>
      <w:r>
        <w:rPr>
          <w:rFonts w:ascii="Arial" w:hAnsi="Arial"/>
          <w:sz w:val="22"/>
        </w:rPr>
        <w:t xml:space="preserve">:</w:t>
      </w:r>
      <w:r>
        <w:rPr>
          <w:rFonts w:ascii="Arial" w:hAnsi="Arial"/>
          <w:sz w:val="22"/>
        </w:rPr>
        <w:t xml:space="preserve"> </w:t>
      </w:r>
      <w:r>
        <w:rPr>
          <w:rFonts w:ascii="Arial" w:hAnsi="Arial"/>
          <w:sz w:val="22"/>
        </w:rPr>
        <w:t xml:space="preserve">são elas próprias resultado da discriminação. Em (A), com os controles do HLM M3</w:t>
      </w:r>
      <w:r>
        <w:rPr>
          <w:rFonts w:ascii="Arial" w:hAnsi="Arial"/>
          <w:sz w:val="22"/>
        </w:rPr>
        <w:t xml:space="preserve"> </w:t>
      </w:r>
      <w:r>
        <w:rPr>
          <w:rFonts w:ascii="Arial" w:hAnsi="Arial"/>
          <w:sz w:val="22"/>
        </w:rPr>
        <w:t xml:space="preserve">(capital humano, jornada, contexto de UPA e estado), 17,9% do gap não é</w:t>
      </w:r>
      <w:r>
        <w:rPr>
          <w:rFonts w:ascii="Arial" w:hAnsi="Arial"/>
          <w:sz w:val="22"/>
        </w:rPr>
        <w:t xml:space="preserve"> </w:t>
      </w:r>
      <w:r>
        <w:rPr>
          <w:rFonts w:ascii="Arial" w:hAnsi="Arial"/>
          <w:sz w:val="22"/>
        </w:rPr>
        <w:t xml:space="preserve">explicado por características observáveis; em (B), tratando também formalidade e grupo</w:t>
      </w:r>
      <w:r>
        <w:rPr>
          <w:rFonts w:ascii="Arial" w:hAnsi="Arial"/>
          <w:sz w:val="22"/>
        </w:rPr>
        <w:t xml:space="preserve"> </w:t>
      </w:r>
      <w:r>
        <w:rPr>
          <w:rFonts w:ascii="Arial" w:hAnsi="Arial"/>
          <w:sz w:val="22"/>
        </w:rPr>
        <w:t xml:space="preserve">CBO como dotações, a parcela não explicada cai para 15,4% — a</w:t>
      </w:r>
      <w:r>
        <w:rPr>
          <w:rFonts w:ascii="Arial" w:hAnsi="Arial"/>
          <w:sz w:val="22"/>
        </w:rPr>
        <w:t xml:space="preserve"> </w:t>
      </w:r>
      <w:r>
        <w:rPr>
          <w:rFonts w:ascii="Arial" w:hAnsi="Arial"/>
          <w:sz w:val="22"/>
        </w:rPr>
        <w:t xml:space="preserve">discriminação salarial</w:t>
      </w:r>
      <w:r>
        <w:rPr>
          <w:rFonts w:ascii="Arial" w:hAnsi="Arial"/>
          <w:sz w:val="22"/>
        </w:rPr>
        <w:t xml:space="preserve"> </w:t>
      </w:r>
      <w:r>
        <w:rPr>
          <w:rFonts w:ascii="Arial" w:hAnsi="Arial"/>
          <w:sz w:val="22"/>
        </w:rPr>
        <w:t xml:space="preserve">dentro</w:t>
      </w:r>
      <w:r>
        <w:rPr>
          <w:rFonts w:ascii="Arial" w:hAnsi="Arial"/>
          <w:sz w:val="22"/>
        </w:rPr>
        <w:t xml:space="preserve"> </w:t>
      </w:r>
      <w:r>
        <w:rPr>
          <w:rFonts w:ascii="Arial" w:hAnsi="Arial"/>
          <w:sz w:val="22"/>
        </w:rPr>
        <w:t xml:space="preserve">da ocupação. A diferença entre as duas</w:t>
      </w:r>
      <w:r>
        <w:rPr>
          <w:rFonts w:ascii="Arial" w:hAnsi="Arial"/>
          <w:sz w:val="22"/>
        </w:rPr>
        <w:t xml:space="preserve"> </w:t>
      </w:r>
      <w:r>
        <w:rPr>
          <w:rFonts w:ascii="Arial" w:hAnsi="Arial"/>
          <w:sz w:val="22"/>
        </w:rPr>
        <w:t xml:space="preserve">(2,5 pontos percentuais) é a parcela da discriminação que opera pela</w:t>
      </w:r>
      <w:r>
        <w:rPr>
          <w:rFonts w:ascii="Arial" w:hAnsi="Arial"/>
          <w:sz w:val="22"/>
        </w:rPr>
        <w:t xml:space="preserve"> </w:t>
      </w:r>
      <w:r>
        <w:rPr>
          <w:rFonts w:ascii="Arial" w:hAnsi="Arial"/>
          <w:sz w:val="22"/>
        </w:rPr>
        <w:t xml:space="preserve">porta de entrada</w:t>
      </w:r>
      <w:r>
        <w:rPr>
          <w:rFonts w:ascii="Arial" w:hAnsi="Arial"/>
          <w:sz w:val="22"/>
        </w:rPr>
        <w:t xml:space="preserve"> </w:t>
      </w:r>
      <w:r>
        <w:rPr>
          <w:rFonts w:ascii="Arial" w:hAnsi="Arial"/>
          <w:sz w:val="22"/>
        </w:rPr>
        <w:t xml:space="preserve">das ocupações, e não pelo salário — exatamente o que o</w:t>
      </w:r>
      <w:r>
        <w:rPr>
          <w:rFonts w:ascii="Arial" w:hAnsi="Arial"/>
          <w:sz w:val="22"/>
        </w:rPr>
        <w:t xml:space="preserve"> </w:t>
      </w:r>
      <w:r>
        <w:rPr>
          <w:rFonts w:ascii="Arial" w:hAnsi="Arial"/>
          <w:sz w:val="22"/>
        </w:rPr>
        <w:t xml:space="preserve">GLMM de acesso mede adiante. Os erros-padrão vêm de bootstrap em blocos por UPA.</w:t>
      </w:r>
    </w:p>
    <w:p>
      <w:pPr>
        <w:pStyle w:val="BodyText"/>
        <w:spacing w:line="360" w:lineRule="auto" w:after="0"/>
        <w:ind w:firstLine="709"/>
        <w:jc w:val="both"/>
      </w:pPr>
      <w:r>
        <w:rPr>
          <w:rFonts w:ascii="Arial" w:hAnsi="Arial"/>
          <w:b/>
          <w:bCs/>
          <w:sz w:val="22"/>
        </w:rPr>
        <w:t xml:space="preserve">Pressupostos das regressões por grupo.</w:t>
      </w:r>
      <w:r>
        <w:rPr>
          <w:rFonts w:ascii="Arial" w:hAnsi="Arial"/>
          <w:sz w:val="22"/>
        </w:rPr>
        <w:t xml:space="preserve"> </w:t>
      </w:r>
      <w:r>
        <w:rPr>
          <w:rFonts w:ascii="Arial" w:hAnsi="Arial"/>
          <w:sz w:val="22"/>
        </w:rPr>
        <w:t xml:space="preserve">As duas regressões auxiliares</w:t>
      </w:r>
      <w:r>
        <w:rPr>
          <w:rFonts w:ascii="Arial" w:hAnsi="Arial"/>
          <w:sz w:val="22"/>
        </w:rPr>
        <w:t xml:space="preserve"> </w:t>
      </w:r>
      <w:r>
        <w:rPr>
          <w:rFonts w:ascii="Arial" w:hAnsi="Arial"/>
          <w:sz w:val="22"/>
        </w:rPr>
        <w:t xml:space="preserve">(brancos e negros) foram submetidas aos testes de Breusch–Pagan e RESET</w:t>
      </w:r>
      <w:r>
        <w:rPr>
          <w:rFonts w:ascii="Arial" w:hAnsi="Arial"/>
          <w:sz w:val="22"/>
        </w:rPr>
        <w:t xml:space="preserve"> </w:t>
      </w:r>
      <w:r>
        <w:rPr>
          <w:rFonts w:ascii="Arial" w:hAnsi="Arial"/>
          <w:sz w:val="22"/>
        </w:rPr>
        <w:t xml:space="preserve">(Fávero; Belfiore, 2024, cap. 12)</w:t>
      </w:r>
      <w:r>
        <w:rPr>
          <w:rFonts w:ascii="Arial" w:hAnsi="Arial"/>
          <w:sz w:val="22"/>
        </w:rPr>
        <w:t xml:space="preserve">. Há heterocedasticidade — esperada em log-rendimento —</w:t>
      </w:r>
      <w:r>
        <w:rPr>
          <w:rFonts w:ascii="Arial" w:hAnsi="Arial"/>
          <w:sz w:val="22"/>
        </w:rPr>
        <w:t xml:space="preserve"> </w:t>
      </w:r>
      <w:r>
        <w:rPr>
          <w:rFonts w:ascii="Arial" w:hAnsi="Arial"/>
          <w:sz w:val="22"/>
        </w:rPr>
        <w:t xml:space="preserve">mas de magnitude modesta: o</w:t>
      </w:r>
      <w:r>
        <w:rPr>
          <w:rFonts w:ascii="Arial" w:hAnsi="Arial"/>
          <w:sz w:val="22"/>
        </w:rPr>
        <w:t xml:space="preserve"> </w:t>
      </w:r>
      <m:oMath>
        <m:sSup>
          <m:e>
            <m:r>
              <m:t>R</m:t>
            </m:r>
          </m:e>
          <m:sup>
            <m:r>
              <m:t>2</m:t>
            </m:r>
          </m:sup>
        </m:sSup>
      </m:oMath>
      <w:r>
        <w:rPr>
          <w:rFonts w:ascii="Arial" w:hAnsi="Arial"/>
          <w:sz w:val="22"/>
        </w:rPr>
        <w:t xml:space="preserve"> </w:t>
      </w:r>
      <w:r>
        <w:rPr>
          <w:rFonts w:ascii="Arial" w:hAnsi="Arial"/>
          <w:sz w:val="22"/>
        </w:rPr>
        <w:t xml:space="preserve">da regressão auxiliar do Breusch–Pagan é 0,067</w:t>
      </w:r>
      <w:r>
        <w:rPr>
          <w:rFonts w:ascii="Arial" w:hAnsi="Arial"/>
          <w:sz w:val="22"/>
        </w:rPr>
        <w:t xml:space="preserve"> </w:t>
      </w:r>
      <w:r>
        <w:rPr>
          <w:rFonts w:ascii="Arial" w:hAnsi="Arial"/>
          <w:sz w:val="22"/>
        </w:rPr>
        <w:t xml:space="preserve">(brancos) e 0,066 (negros), e é justamente por isso que os erros-padrão são</w:t>
      </w:r>
      <w:r>
        <w:rPr>
          <w:rFonts w:ascii="Arial" w:hAnsi="Arial"/>
          <w:sz w:val="22"/>
        </w:rPr>
        <w:t xml:space="preserve"> </w:t>
      </w:r>
      <w:r>
        <w:rPr>
          <w:rFonts w:ascii="Arial" w:hAnsi="Arial"/>
          <w:sz w:val="22"/>
        </w:rPr>
        <w:t xml:space="preserve">agrupados por UPA e a decomposição usa bootstrap em blocos. O RESET rejeita a forma</w:t>
      </w:r>
      <w:r>
        <w:rPr>
          <w:rFonts w:ascii="Arial" w:hAnsi="Arial"/>
          <w:sz w:val="22"/>
        </w:rPr>
        <w:t xml:space="preserve"> </w:t>
      </w:r>
      <w:r>
        <w:rPr>
          <w:rFonts w:ascii="Arial" w:hAnsi="Arial"/>
          <w:sz w:val="22"/>
        </w:rPr>
        <w:t xml:space="preserve">funcional linear, mas o ganho de</w:t>
      </w:r>
      <w:r>
        <w:rPr>
          <w:rFonts w:ascii="Arial" w:hAnsi="Arial"/>
          <w:sz w:val="22"/>
        </w:rPr>
        <w:t xml:space="preserve"> </w:t>
      </w:r>
      <m:oMath>
        <m:sSup>
          <m:e>
            <m:r>
              <m:t>R</m:t>
            </m:r>
          </m:e>
          <m:sup>
            <m:r>
              <m:t>2</m:t>
            </m:r>
          </m:sup>
        </m:sSup>
      </m:oMath>
      <w:r>
        <w:rPr>
          <w:rFonts w:ascii="Arial" w:hAnsi="Arial"/>
          <w:sz w:val="22"/>
        </w:rPr>
        <w:t xml:space="preserve"> </w:t>
      </w:r>
      <w:r>
        <w:rPr>
          <w:rFonts w:ascii="Arial" w:hAnsi="Arial"/>
          <w:sz w:val="22"/>
        </w:rPr>
        <w:t xml:space="preserve">ao acrescentar potências do valor predito é de</w:t>
      </w:r>
      <w:r>
        <w:rPr>
          <w:rFonts w:ascii="Arial" w:hAnsi="Arial"/>
          <w:sz w:val="22"/>
        </w:rPr>
        <w:t xml:space="preserve"> </w:t>
      </w:r>
      <w:r>
        <w:rPr>
          <w:rFonts w:ascii="Arial" w:hAnsi="Arial"/>
          <w:sz w:val="22"/>
        </w:rPr>
        <w:t xml:space="preserve">0,0020 (brancos) e 0,0060 (negros) — irrelevante para a decomposição. Com</w:t>
      </w:r>
      <w:r>
        <w:rPr>
          <w:rFonts w:ascii="Arial" w:hAnsi="Arial"/>
          <w:sz w:val="22"/>
        </w:rPr>
        <w:t xml:space="preserve"> </w:t>
      </w:r>
      <m:oMath>
        <m:r>
          <m:t>N</m:t>
        </m:r>
      </m:oMath>
      <w:r>
        <w:rPr>
          <w:rFonts w:ascii="Arial" w:hAnsi="Arial"/>
          <w:sz w:val="22"/>
        </w:rPr>
        <w:t xml:space="preserve"> </w:t>
      </w:r>
      <w:r>
        <w:rPr>
          <w:rFonts w:ascii="Arial" w:hAnsi="Arial"/>
          <w:sz w:val="22"/>
        </w:rPr>
        <w:t xml:space="preserve">de milhões, ambos os testes rejeitam qualquer hipótese nula pontual; o que importa é a</w:t>
      </w:r>
      <w:r>
        <w:rPr>
          <w:rFonts w:ascii="Arial" w:hAnsi="Arial"/>
          <w:sz w:val="22"/>
        </w:rPr>
        <w:t xml:space="preserve"> </w:t>
      </w:r>
      <w:r>
        <w:rPr>
          <w:rFonts w:ascii="Arial" w:hAnsi="Arial"/>
          <w:sz w:val="22"/>
        </w:rPr>
        <w:t xml:space="preserve">magnitude, não o</w:t>
      </w:r>
      <w:r>
        <w:rPr>
          <w:rFonts w:ascii="Arial" w:hAnsi="Arial"/>
          <w:sz w:val="22"/>
        </w:rPr>
        <w:t xml:space="preserve"> </w:t>
      </w:r>
      <m:oMath>
        <m:r>
          <m:t>p</m:t>
        </m:r>
      </m:oMath>
      <w:r>
        <w:rPr>
          <w:rFonts w:ascii="Arial" w:hAnsi="Arial"/>
          <w:sz w:val="22"/>
        </w:rPr>
        <w:t xml:space="preserve">-valor</w:t>
      </w:r>
      <w:r>
        <w:rPr>
          <w:rFonts w:ascii="Arial" w:hAnsi="Arial"/>
          <w:sz w:val="22"/>
        </w:rPr>
        <w:t xml:space="preserve"> </w:t>
      </w:r>
      <w:r>
        <w:rPr>
          <w:rFonts w:ascii="Arial" w:hAnsi="Arial"/>
          <w:sz w:val="22"/>
        </w:rPr>
        <w:t xml:space="preserve">(Angrist; Pischke, 2009)</w:t>
      </w:r>
      <w:r>
        <w:rPr>
          <w:rFonts w:ascii="Arial" w:hAnsi="Arial"/>
          <w:sz w:val="22"/>
        </w:rPr>
        <w:t xml:space="preserve">.</w:t>
      </w:r>
    </w:p>
    <w:bookmarkStart w:id="63" w:name="tab:oaxaca_blinder"/>
    <w:p>
      <w:pPr>
        <w:pStyle w:val="TableCaption"/>
        <w:keepNext/>
        <w:keepLines/>
        <w:spacing w:line="240" w:lineRule="auto" w:before="240" w:after="40"/>
        <w:ind w:firstLine="0"/>
        <w:jc w:val="both"/>
      </w:pPr>
      <w:r>
        <w:rPr>
          <w:rFonts w:ascii="Arial" w:hAnsi="Arial"/>
          <w:sz w:val="22"/>
        </w:rPr>
        <w:t xml:space="preserve">Tabela 6. Decomposição de Oaxaca–Blinder (</w:t>
      </w:r>
      <w:r>
        <w:rPr>
          <w:rFonts w:ascii="Arial" w:hAnsi="Arial"/>
          <w:sz w:val="22"/>
        </w:rPr>
        <w:t xml:space="preserve">twofold</w:t>
      </w:r>
      <w:r>
        <w:rPr>
          <w:rFonts w:ascii="Arial" w:hAnsi="Arial"/>
          <w:sz w:val="22"/>
        </w:rPr>
        <w:t xml:space="preserve">, referência: estrutura de preços</w:t>
      </w:r>
      <w:r>
        <w:rPr>
          <w:rFonts w:ascii="Arial" w:hAnsi="Arial"/>
          <w:sz w:val="22"/>
        </w:rPr>
        <w:t xml:space="preserve"> </w:t>
      </w:r>
      <w:r>
        <w:rPr>
          <w:rFonts w:ascii="Arial" w:hAnsi="Arial"/>
          <w:sz w:val="22"/>
        </w:rPr>
        <w:t xml:space="preserve">dos brancos) do gap salarial racial em duas especificações. (A) </w:t>
      </w:r>
      <w:r>
        <w:rPr>
          <w:rFonts w:ascii="Arial" w:hAnsi="Arial"/>
          <w:sz w:val="22"/>
        </w:rPr>
        <w:t xml:space="preserve">Capital humano +</w:t>
      </w:r>
      <w:r>
        <w:rPr>
          <w:rFonts w:ascii="Arial" w:hAnsi="Arial"/>
          <w:sz w:val="22"/>
        </w:rPr>
        <w:t xml:space="preserve"> </w:t>
      </w:r>
      <w:r>
        <w:rPr>
          <w:rFonts w:ascii="Arial" w:hAnsi="Arial"/>
          <w:sz w:val="22"/>
        </w:rPr>
        <w:t xml:space="preserve">contexto</w:t>
      </w:r>
      <w:r>
        <w:rPr>
          <w:rFonts w:ascii="Arial" w:hAnsi="Arial"/>
          <w:sz w:val="22"/>
        </w:rPr>
        <w:t xml:space="preserve">: escolaridade, idade, sexo, jornada, área urbana, contexto de UPA e efeitos fixos</w:t>
      </w:r>
      <w:r>
        <w:rPr>
          <w:rFonts w:ascii="Arial" w:hAnsi="Arial"/>
          <w:sz w:val="22"/>
        </w:rPr>
        <w:t xml:space="preserve"> </w:t>
      </w:r>
      <w:r>
        <w:rPr>
          <w:rFonts w:ascii="Arial" w:hAnsi="Arial"/>
          <w:sz w:val="22"/>
        </w:rPr>
        <w:t xml:space="preserve">de UF — os mesmos controles do HLM M3; a parcela não explicada é comparável à da literatura.</w:t>
      </w:r>
      <w:r>
        <w:rPr>
          <w:rFonts w:ascii="Arial" w:hAnsi="Arial"/>
          <w:sz w:val="22"/>
        </w:rPr>
        <w:t xml:space="preserve"> </w:t>
      </w:r>
      <w:r>
        <w:rPr>
          <w:rFonts w:ascii="Arial" w:hAnsi="Arial"/>
          <w:sz w:val="22"/>
        </w:rPr>
        <w:t xml:space="preserve">(B) </w:t>
      </w:r>
      <w:r>
        <w:rPr>
          <w:rFonts w:ascii="Arial" w:hAnsi="Arial"/>
          <w:sz w:val="22"/>
        </w:rPr>
        <w:t xml:space="preserve">Acesso</w:t>
      </w:r>
      <w:r>
        <w:rPr>
          <w:rFonts w:ascii="Arial" w:hAnsi="Arial"/>
          <w:sz w:val="22"/>
        </w:rPr>
        <w:t xml:space="preserve">: (A) + formalidade e grupo CBO tratados como dotações (os controles do M4) — a parcela não explicada é a discriminação</w:t>
      </w:r>
      <w:r>
        <w:rPr>
          <w:rFonts w:ascii="Arial" w:hAnsi="Arial"/>
          <w:sz w:val="22"/>
        </w:rPr>
        <w:t xml:space="preserve"> </w:t>
      </w:r>
      <w:r>
        <w:rPr>
          <w:rFonts w:ascii="Arial" w:hAnsi="Arial"/>
          <w:sz w:val="22"/>
        </w:rPr>
        <w:t xml:space="preserve">dentro</w:t>
      </w:r>
      <w:r>
        <w:rPr>
          <w:rFonts w:ascii="Arial" w:hAnsi="Arial"/>
          <w:sz w:val="22"/>
        </w:rPr>
        <w:t xml:space="preserve"> </w:t>
      </w:r>
      <w:r>
        <w:rPr>
          <w:rFonts w:ascii="Arial" w:hAnsi="Arial"/>
          <w:sz w:val="22"/>
        </w:rPr>
        <w:t xml:space="preserve">da ocupação, um limite inferior, pois a segregação ocupacional é ela própria</w:t>
      </w:r>
      <w:r>
        <w:rPr>
          <w:rFonts w:ascii="Arial" w:hAnsi="Arial"/>
          <w:sz w:val="22"/>
        </w:rPr>
        <w:t xml:space="preserve"> </w:t>
      </w:r>
      <w:r>
        <w:rPr>
          <w:rFonts w:ascii="Arial" w:hAnsi="Arial"/>
          <w:sz w:val="22"/>
        </w:rPr>
        <w:t xml:space="preserve">discriminatória</w:t>
      </w:r>
      <w:r>
        <w:rPr>
          <w:rFonts w:ascii="Arial" w:hAnsi="Arial"/>
          <w:sz w:val="22"/>
        </w:rPr>
        <w:t xml:space="preserve"> </w:t>
      </w:r>
      <w:r>
        <w:rPr>
          <w:rFonts w:ascii="Arial" w:hAnsi="Arial"/>
          <w:sz w:val="22"/>
        </w:rPr>
        <w:t xml:space="preserve">(Oaxaca; Ransom, 1999)</w:t>
      </w:r>
      <w:r>
        <w:rPr>
          <w:rFonts w:ascii="Arial" w:hAnsi="Arial"/>
          <w:sz w:val="22"/>
        </w:rPr>
        <w:t xml:space="preserve"> </w:t>
      </w:r>
      <w:r>
        <w:rPr>
          <w:rFonts w:ascii="Arial" w:hAnsi="Arial"/>
          <w:sz w:val="22"/>
        </w:rPr>
        <w:t xml:space="preserve">(ver o GLMM de acesso, Tabela 7).</w:t>
      </w:r>
      <w:r>
        <w:rPr>
          <w:rFonts w:ascii="Arial" w:hAnsi="Arial"/>
          <w:sz w:val="22"/>
        </w:rPr>
        <w:t xml:space="preserve"> </w:t>
      </w:r>
      <w:r>
        <w:rPr>
          <w:rFonts w:ascii="Arial" w:hAnsi="Arial"/>
          <w:sz w:val="22"/>
        </w:rPr>
        <w:t xml:space="preserve">População completa da PEA com renda positiva (</w:t>
      </w:r>
      <m:oMath>
        <m:r>
          <m:t>N</m:t>
        </m:r>
        <m:r>
          <m:rPr>
            <m:sty m:val="p"/>
          </m:rPr>
          <m:t>=</m:t>
        </m:r>
        <m:r>
          <m:t>7.699</m:t>
        </m:r>
        <m:r>
          <m:t>.278</m:t>
        </m:r>
      </m:oMath>
      <w:r>
        <w:rPr>
          <w:rFonts w:ascii="Arial" w:hAnsi="Arial"/>
          <w:sz w:val="22"/>
        </w:rPr>
        <w:t xml:space="preserve">; 41.459 UPAs).</w:t>
      </w:r>
      <w:r>
        <w:rPr>
          <w:rFonts w:ascii="Arial" w:hAnsi="Arial"/>
          <w:sz w:val="22"/>
        </w:rPr>
        <w:t xml:space="preserve"> </w:t>
      </w:r>
      <w:r>
        <w:rPr>
          <w:rFonts w:ascii="Arial" w:hAnsi="Arial"/>
          <w:sz w:val="22"/>
        </w:rPr>
        <w:t xml:space="preserve">Erros-padrão entre parênteses: bootstrap em blocos por UPA (500 réplicas).</w:t>
      </w:r>
    </w:p>
    <w:tbl>
      <w:tblPr>
        <w:tblStyle w:val="Table"/>
        <w:tblW w:type="auto" w:w="0"/>
        <w:tblLayout w:type="fixed"/>
        <w:tblLook w:firstRow="0" w:lastRow="0" w:firstColumn="0" w:lastColumn="0" w:noHBand="0" w:noVBand="0" w:val="0000"/>
        <w:tblCaption w:val="Tabela 6. Decomposição de Oaxaca–Blinder (twofold, referência: estrutura de preços dos brancos) do gap salarial racial em duas especificações. (A) Capital humano + contexto: escolaridade, idade, sexo, jornada, área urbana, contexto de UPA e efeitos fixos de UF — os mesmos controles do HLM M3; a parcela não explicada é comparável à da literatura. (B) Acesso: (A) + formalidade e grupo CBO tratados como dotações (os controles do M4) — a parcela não explicada é a discriminação dentro da ocupação, um limite inferior, pois a segregação ocupacional é ela própria discriminatória (Oaxaca; Ransom, 1999) (ver o GLMM de acesso, Tabela 7). População completa da PEA com renda positiva (N = 7.699.278; 41.459 UPAs). Erros-padrão entre parênteses: bootstrap em blocos por UPA (500 réplicas)."/>
        <w:tblBorders>
          <w:top w:val="nil"/>
          <w:left w:val="nil"/>
          <w:bottom w:val="nil"/>
          <w:right w:val="nil"/>
          <w:insideH w:val="nil"/>
          <w:insideV w:val="nil"/>
        </w:tblBorders>
      </w:tblPr>
      <w:tblGrid>
        <w:gridCol w:w="2870"/>
        <w:gridCol w:w="1415"/>
        <w:gridCol w:w="1189"/>
        <w:gridCol w:w="1805"/>
        <w:gridCol w:w="1791"/>
      </w:tblGrid>
      <w:tr>
        <w:trPr>
          <w:tblHeader w:val="true"/>
          <w:cantSplit/>
        </w:trPr>
        <w:tc>
          <w:tcPr>
            <w:tcW w:type="dxa" w:w="2870"/>
            <w:tcBorders>
              <w:top w:val="single" w:sz="8" w:color="000000"/>
              <w:left w:val="nil"/>
              <w:bottom w:val="single" w:sz="6" w:color="000000"/>
              <w:right w:val="nil"/>
            </w:tcBorders>
          </w:tcPr>
          <w:p>
            <w:pPr>
              <w:pStyle w:val="Compact"/>
              <w:keepNext/>
              <w:spacing w:line="240" w:lineRule="auto" w:after="0"/>
              <w:ind w:firstLine="0"/>
              <w:jc w:val="center"/>
            </w:pPr>
          </w:p>
        </w:tc>
        <w:tc>
          <w:tcPr>
            <w:tcW w:type="dxa" w:w="1189"/>
            <w:gridSpan w:val="2"/>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(A) Sem ocupação</w:t>
            </w:r>
          </w:p>
        </w:tc>
        <w:tc>
          <w:tcPr>
            <w:tcW w:type="dxa" w:w="1791"/>
            <w:gridSpan w:val="2"/>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(B) Acesso (com ocupação)</w:t>
            </w:r>
          </w:p>
        </w:tc>
      </w:tr>
      <w:tr>
        <w:trPr>
          <w:cantSplit/>
        </w:trPr>
        <w:tc>
          <w:tcPr>
            <w:tcW w:type="dxa" w:w="2870"/>
          </w:tcPr>
          <w:p>
            <w:pPr>
              <w:pStyle w:val="Compact"/>
              <w:keepNext/>
              <w:spacing w:line="240" w:lineRule="auto" w:after="0"/>
              <w:ind w:firstLine="0"/>
              <w:jc w:val="left"/>
            </w:pPr>
            <w:r>
              <w:rPr>
                <w:rFonts w:ascii="Arial" w:hAnsi="Arial"/>
                <w:b w:val="0"/>
                <w:sz w:val="20"/>
              </w:rPr>
              <w:t xml:space="preserve">Componente</w:t>
            </w:r>
          </w:p>
        </w:tc>
        <w:tc>
          <w:tcPr>
            <w:tcW w:type="dxa" w:w="1415"/>
          </w:tcPr>
          <w:p>
            <w:pPr>
              <w:pStyle w:val="Compact"/>
              <w:keepNext/>
              <w:spacing w:line="240" w:lineRule="auto" w:after="0"/>
              <w:ind w:firstLine="0"/>
              <w:jc w:val="left"/>
            </w:pPr>
            <w:r>
              <w:rPr>
                <w:rFonts w:ascii="Arial" w:hAnsi="Arial"/>
                <w:b w:val="0"/>
                <w:sz w:val="20"/>
              </w:rPr>
              <w:t xml:space="preserve">log-pontos (SE)</w:t>
            </w:r>
          </w:p>
        </w:tc>
        <w:tc>
          <w:tcPr>
            <w:tcW w:type="dxa" w:w="1189"/>
          </w:tcPr>
          <w:p>
            <w:pPr>
              <w:pStyle w:val="Compact"/>
              <w:keepNext/>
              <w:spacing w:line="240" w:lineRule="auto" w:after="0"/>
              <w:ind w:firstLine="0"/>
              <w:jc w:val="left"/>
            </w:pPr>
            <w:r>
              <w:rPr>
                <w:rFonts w:ascii="Arial" w:hAnsi="Arial"/>
                <w:b w:val="0"/>
                <w:sz w:val="20"/>
              </w:rPr>
              <w:t xml:space="preserve">% do gap</w:t>
            </w:r>
          </w:p>
        </w:tc>
        <w:tc>
          <w:tcPr>
            <w:tcW w:type="dxa" w:w="1805"/>
          </w:tcPr>
          <w:p>
            <w:pPr>
              <w:pStyle w:val="Compact"/>
              <w:keepNext/>
              <w:spacing w:line="240" w:lineRule="auto" w:after="0"/>
              <w:ind w:firstLine="0"/>
              <w:jc w:val="left"/>
            </w:pPr>
            <w:r>
              <w:rPr>
                <w:rFonts w:ascii="Arial" w:hAnsi="Arial"/>
                <w:b w:val="0"/>
                <w:sz w:val="20"/>
              </w:rPr>
              <w:t xml:space="preserve">log-pontos (SE)</w:t>
            </w:r>
          </w:p>
        </w:tc>
        <w:tc>
          <w:tcPr>
            <w:tcW w:type="dxa" w:w="1791"/>
          </w:tcPr>
          <w:p>
            <w:pPr>
              <w:pStyle w:val="Compact"/>
              <w:keepNext/>
              <w:spacing w:line="240" w:lineRule="auto" w:after="0"/>
              <w:ind w:firstLine="0"/>
              <w:jc w:val="left"/>
            </w:pPr>
            <w:r>
              <w:rPr>
                <w:rFonts w:ascii="Arial" w:hAnsi="Arial"/>
                <w:b w:val="0"/>
                <w:sz w:val="20"/>
              </w:rPr>
              <w:t xml:space="preserve">% do gap</w:t>
            </w:r>
          </w:p>
        </w:tc>
      </w:tr>
      <w:tr>
        <w:trPr>
          <w:cantSplit/>
        </w:trPr>
        <w:tc>
          <w:tcPr>
            <w:tcW w:type="dxa" w:w="2870"/>
          </w:tcPr>
          <w:p>
            <w:pPr>
              <w:pStyle w:val="Compact"/>
              <w:keepNext/>
              <w:spacing w:line="240" w:lineRule="auto" w:after="0"/>
              <w:ind w:firstLine="0"/>
              <w:jc w:val="left"/>
            </w:pPr>
            <w:r>
              <w:rPr>
                <w:rFonts w:ascii="Arial" w:hAnsi="Arial"/>
                <w:b w:val="0"/>
                <w:sz w:val="20"/>
              </w:rPr>
              <w:t xml:space="preserve">Gap total (branco − negro)</w:t>
            </w:r>
          </w:p>
        </w:tc>
        <w:tc>
          <w:tcPr>
            <w:tcW w:type="dxa" w:w="1415"/>
          </w:tcPr>
          <w:p>
            <w:pPr>
              <w:pStyle w:val="Compact"/>
              <w:keepNext/>
              <w:spacing w:line="240" w:lineRule="auto" w:after="0"/>
              <w:ind w:firstLine="0"/>
              <w:jc w:val="right"/>
            </w:pPr>
            <w:r>
              <w:rPr>
                <w:rFonts w:ascii="Arial" w:hAnsi="Arial"/>
                <w:b w:val="0"/>
                <w:sz w:val="20"/>
              </w:rPr>
              <w:t xml:space="preserve">0,4252 (0,0033)</w:t>
            </w:r>
          </w:p>
        </w:tc>
        <w:tc>
          <w:tcPr>
            <w:tcW w:type="dxa" w:w="1189"/>
          </w:tcPr>
          <w:p>
            <w:pPr>
              <w:pStyle w:val="Compact"/>
              <w:keepNext/>
              <w:spacing w:line="240" w:lineRule="auto" w:after="0"/>
              <w:ind w:firstLine="0"/>
              <w:jc w:val="right"/>
            </w:pPr>
            <w:r>
              <w:rPr>
                <w:rFonts w:ascii="Arial" w:hAnsi="Arial"/>
                <w:b w:val="0"/>
                <w:sz w:val="20"/>
              </w:rPr>
              <w:t xml:space="preserve">100,0</w:t>
            </w:r>
          </w:p>
        </w:tc>
        <w:tc>
          <w:tcPr>
            <w:tcW w:type="dxa" w:w="1805"/>
          </w:tcPr>
          <w:p>
            <w:pPr>
              <w:pStyle w:val="Compact"/>
              <w:keepNext/>
              <w:spacing w:line="240" w:lineRule="auto" w:after="0"/>
              <w:ind w:firstLine="0"/>
              <w:jc w:val="right"/>
            </w:pPr>
            <w:r>
              <w:rPr>
                <w:rFonts w:ascii="Arial" w:hAnsi="Arial"/>
                <w:b w:val="0"/>
                <w:sz w:val="20"/>
              </w:rPr>
              <w:t xml:space="preserve">0,4252 (0,0032)</w:t>
            </w:r>
          </w:p>
        </w:tc>
        <w:tc>
          <w:tcPr>
            <w:tcW w:type="dxa" w:w="1791"/>
          </w:tcPr>
          <w:p>
            <w:pPr>
              <w:pStyle w:val="Compact"/>
              <w:keepNext/>
              <w:spacing w:line="240" w:lineRule="auto" w:after="0"/>
              <w:ind w:firstLine="0"/>
              <w:jc w:val="right"/>
            </w:pPr>
            <w:r>
              <w:rPr>
                <w:rFonts w:ascii="Arial" w:hAnsi="Arial"/>
                <w:b w:val="0"/>
                <w:sz w:val="20"/>
              </w:rPr>
              <w:t xml:space="preserve">100,0</w:t>
            </w:r>
          </w:p>
        </w:tc>
      </w:tr>
      <w:tr>
        <w:trPr>
          <w:cantSplit/>
        </w:trPr>
        <w:tc>
          <w:tcPr>
            <w:tcW w:type="dxa" w:w="2870"/>
          </w:tcPr>
          <w:p>
            <w:pPr>
              <w:pStyle w:val="Compact"/>
              <w:keepNext/>
              <w:spacing w:line="240" w:lineRule="auto" w:after="0"/>
              <w:ind w:firstLine="0"/>
              <w:jc w:val="left"/>
            </w:pPr>
            <w:r>
              <w:rPr>
                <w:rFonts w:ascii="Arial" w:hAnsi="Arial"/>
                <w:b w:val="0"/>
                <w:sz w:val="20"/>
              </w:rPr>
              <w:t xml:space="preserve">Dotações (características observáveis)</w:t>
            </w:r>
          </w:p>
        </w:tc>
        <w:tc>
          <w:tcPr>
            <w:tcW w:type="dxa" w:w="1415"/>
          </w:tcPr>
          <w:p>
            <w:pPr>
              <w:pStyle w:val="Compact"/>
              <w:keepNext/>
              <w:spacing w:line="240" w:lineRule="auto" w:after="0"/>
              <w:ind w:firstLine="0"/>
              <w:jc w:val="right"/>
            </w:pPr>
            <w:r>
              <w:rPr>
                <w:rFonts w:ascii="Arial" w:hAnsi="Arial"/>
                <w:b w:val="0"/>
                <w:sz w:val="20"/>
              </w:rPr>
              <w:t xml:space="preserve">0,3491 (0,0033)</w:t>
            </w:r>
          </w:p>
        </w:tc>
        <w:tc>
          <w:tcPr>
            <w:tcW w:type="dxa" w:w="1189"/>
          </w:tcPr>
          <w:p>
            <w:pPr>
              <w:pStyle w:val="Compact"/>
              <w:keepNext/>
              <w:spacing w:line="240" w:lineRule="auto" w:after="0"/>
              <w:ind w:firstLine="0"/>
              <w:jc w:val="right"/>
            </w:pPr>
            <w:r>
              <w:rPr>
                <w:rFonts w:ascii="Arial" w:hAnsi="Arial"/>
                <w:b w:val="0"/>
                <w:sz w:val="20"/>
              </w:rPr>
              <w:t xml:space="preserve">82,1</w:t>
            </w:r>
          </w:p>
        </w:tc>
        <w:tc>
          <w:tcPr>
            <w:tcW w:type="dxa" w:w="1805"/>
          </w:tcPr>
          <w:p>
            <w:pPr>
              <w:pStyle w:val="Compact"/>
              <w:keepNext/>
              <w:spacing w:line="240" w:lineRule="auto" w:after="0"/>
              <w:ind w:firstLine="0"/>
              <w:jc w:val="right"/>
            </w:pPr>
            <w:r>
              <w:rPr>
                <w:rFonts w:ascii="Arial" w:hAnsi="Arial"/>
                <w:b w:val="0"/>
                <w:sz w:val="20"/>
              </w:rPr>
              <w:t xml:space="preserve">0,3598 (0,0032)</w:t>
            </w:r>
          </w:p>
        </w:tc>
        <w:tc>
          <w:tcPr>
            <w:tcW w:type="dxa" w:w="1791"/>
          </w:tcPr>
          <w:p>
            <w:pPr>
              <w:pStyle w:val="Compact"/>
              <w:keepNext/>
              <w:spacing w:line="240" w:lineRule="auto" w:after="0"/>
              <w:ind w:firstLine="0"/>
              <w:jc w:val="right"/>
            </w:pPr>
            <w:r>
              <w:rPr>
                <w:rFonts w:ascii="Arial" w:hAnsi="Arial"/>
                <w:b w:val="0"/>
                <w:sz w:val="20"/>
              </w:rPr>
              <w:t xml:space="preserve">84,6</w:t>
            </w:r>
          </w:p>
        </w:tc>
      </w:tr>
      <w:tr>
        <w:trPr>
          <w:cantSplit/>
        </w:trPr>
        <w:tc>
          <w:tcPr>
            <w:tcW w:type="dxa" w:w="2870"/>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Não explicado (retornos / discriminação)</w:t>
            </w:r>
          </w:p>
        </w:tc>
        <w:tc>
          <w:tcPr>
            <w:tcW w:type="dxa" w:w="1415"/>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0,0761 (0,0012)</w:t>
            </w:r>
          </w:p>
        </w:tc>
        <w:tc>
          <w:tcPr>
            <w:tcW w:type="dxa" w:w="1189"/>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17,9</w:t>
            </w:r>
          </w:p>
        </w:tc>
        <w:tc>
          <w:tcPr>
            <w:tcW w:type="dxa" w:w="1805"/>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0,0654 (0,0011)</w:t>
            </w:r>
          </w:p>
        </w:tc>
        <w:tc>
          <w:tcPr>
            <w:tcW w:type="dxa" w:w="1791"/>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15,4</w:t>
            </w:r>
          </w:p>
        </w:tc>
      </w:tr>
    </w:tbl>
    <w:bookmarkEnd w:id="63"/>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em cada especificação, Dotações</w:t>
      </w:r>
      <w:r>
        <w:rPr>
          <w:rFonts w:ascii="Arial" w:hAnsi="Arial"/>
          <w:sz w:val="22"/>
        </w:rPr>
        <w:t xml:space="preserve"> </w:t>
      </w:r>
      <m:oMath>
        <m:r>
          <m:rPr>
            <m:sty m:val="p"/>
          </m:rPr>
          <m:t>+</m:t>
        </m:r>
      </m:oMath>
      <w:r>
        <w:rPr>
          <w:rFonts w:ascii="Arial" w:hAnsi="Arial"/>
          <w:sz w:val="22"/>
        </w:rPr>
        <w:t xml:space="preserve"> </w:t>
      </w:r>
      <w:r>
        <w:rPr>
          <w:rFonts w:ascii="Arial" w:hAnsi="Arial"/>
          <w:sz w:val="22"/>
        </w:rPr>
        <w:t xml:space="preserve">Não explicado</w:t>
      </w:r>
      <w:r>
        <w:rPr>
          <w:rFonts w:ascii="Arial" w:hAnsi="Arial"/>
          <w:sz w:val="22"/>
        </w:rPr>
        <w:t xml:space="preserve"> </w:t>
      </w:r>
      <m:oMath>
        <m:r>
          <m:rPr>
            <m:sty m:val="p"/>
          </m:rPr>
          <m:t>=</m:t>
        </m:r>
      </m:oMath>
      <w:r>
        <w:rPr>
          <w:rFonts w:ascii="Arial" w:hAnsi="Arial"/>
          <w:sz w:val="22"/>
        </w:rPr>
        <w:t xml:space="preserve"> </w:t>
      </w:r>
      <w:r>
        <w:rPr>
          <w:rFonts w:ascii="Arial" w:hAnsi="Arial"/>
          <w:sz w:val="22"/>
        </w:rPr>
        <w:t xml:space="preserve">Gap total.</w:t>
      </w:r>
      <w:r>
        <w:rPr>
          <w:rFonts w:ascii="Arial" w:hAnsi="Arial"/>
          <w:sz w:val="22"/>
        </w:rPr>
        <w:t xml:space="preserve"> </w:t>
      </w:r>
      <w:r>
        <w:rPr>
          <w:rFonts w:ascii="Arial" w:hAnsi="Arial"/>
          <w:sz w:val="22"/>
        </w:rPr>
        <w:t xml:space="preserve">De (A) para (B), parte do</w:t>
      </w:r>
      <w:r>
        <w:rPr>
          <w:rFonts w:ascii="Arial" w:hAnsi="Arial"/>
          <w:sz w:val="22"/>
        </w:rPr>
        <w:t xml:space="preserve"> </w:t>
      </w:r>
      <w:r>
        <w:rPr>
          <w:rFonts w:ascii="Arial" w:hAnsi="Arial"/>
          <w:sz w:val="22"/>
        </w:rPr>
        <w:t xml:space="preserve">“não explicado”</w:t>
      </w:r>
      <w:r>
        <w:rPr>
          <w:rFonts w:ascii="Arial" w:hAnsi="Arial"/>
          <w:sz w:val="22"/>
        </w:rPr>
        <w:t xml:space="preserve"> </w:t>
      </w:r>
      <w:r>
        <w:rPr>
          <w:rFonts w:ascii="Arial" w:hAnsi="Arial"/>
          <w:sz w:val="22"/>
        </w:rPr>
        <w:t xml:space="preserve">migra para</w:t>
      </w:r>
      <w:r>
        <w:rPr>
          <w:rFonts w:ascii="Arial" w:hAnsi="Arial"/>
          <w:sz w:val="22"/>
        </w:rPr>
        <w:t xml:space="preserve"> </w:t>
      </w:r>
      <w:r>
        <w:rPr>
          <w:rFonts w:ascii="Arial" w:hAnsi="Arial"/>
          <w:sz w:val="22"/>
        </w:rPr>
        <w:t xml:space="preserve">“dotações”</w:t>
      </w:r>
      <w:r>
        <w:rPr>
          <w:rFonts w:ascii="Arial" w:hAnsi="Arial"/>
          <w:sz w:val="22"/>
        </w:rPr>
        <w:t xml:space="preserve"> </w:t>
      </w:r>
      <w:r>
        <w:rPr>
          <w:rFonts w:ascii="Arial" w:hAnsi="Arial"/>
          <w:sz w:val="22"/>
        </w:rPr>
        <w:t xml:space="preserve">porque a ocupação passa a</w:t>
      </w:r>
      <w:r>
        <w:rPr>
          <w:rFonts w:ascii="Arial" w:hAnsi="Arial"/>
          <w:sz w:val="22"/>
        </w:rPr>
        <w:t xml:space="preserve"> </w:t>
      </w:r>
      <w:r>
        <w:rPr>
          <w:rFonts w:ascii="Arial" w:hAnsi="Arial"/>
          <w:sz w:val="22"/>
        </w:rPr>
        <w:t xml:space="preserve">ser tratada como característica — é exatamente a parcela da discriminação que opera pela</w:t>
      </w:r>
      <w:r>
        <w:rPr>
          <w:rFonts w:ascii="Arial" w:hAnsi="Arial"/>
          <w:sz w:val="22"/>
        </w:rPr>
        <w:t xml:space="preserve"> </w:t>
      </w:r>
      <w:r>
        <w:rPr>
          <w:rFonts w:ascii="Arial" w:hAnsi="Arial"/>
          <w:sz w:val="22"/>
        </w:rPr>
        <w:t xml:space="preserve">porta de entrada</w:t>
      </w:r>
      <w:r>
        <w:rPr>
          <w:rFonts w:ascii="Arial" w:hAnsi="Arial"/>
          <w:sz w:val="22"/>
        </w:rPr>
        <w:t xml:space="preserve">, e não pelo salário.</w:t>
      </w:r>
    </w:p>
    <w:p>
      <w:pPr>
        <w:pStyle w:val="BodyText"/>
        <w:spacing w:line="360" w:lineRule="auto" w:after="0"/>
        <w:ind w:firstLine="709"/>
        <w:jc w:val="both"/>
      </w:pPr>
      <w:r>
        <w:rPr>
          <w:rFonts w:ascii="Arial" w:hAnsi="Arial"/>
          <w:sz w:val="22"/>
        </w:rPr>
        <w:t xml:space="preserve">A Figura 5 apresenta as duas especificações em forma de cascata.</w:t>
      </w:r>
    </w:p>
    <w:bookmarkStart w:id="67" w:name="fig:ob_cascata"/>
    <w:p>
      <w:pPr>
        <w:pStyle w:val="CaptionedFigure"/>
        <w:keepNext/>
        <w:keepLines/>
      </w:pPr>
      <w:r>
        <w:rPr>
          <w:rFonts w:ascii="Arial" w:hAnsi="Arial"/>
          <w:sz w:val="22"/>
        </w:rPr>
        <w:drawing>
          <wp:inline>
            <wp:extent cx="5465445" cy="2196175"/>
            <wp:effectExtent b="0" l="0" r="0" t="0"/>
            <wp:docPr descr="" title="" id="65" name="Picture"/>
            <a:graphic>
              <a:graphicData uri="http://schemas.openxmlformats.org/drawingml/2006/picture">
                <pic:pic>
                  <pic:nvPicPr>
                    <pic:cNvPr descr="outputs/figures/fig_ob_cascata.png" id="66" name="Picture"/>
                    <pic:cNvPicPr>
                      <a:picLocks noChangeArrowheads="1" noChangeAspect="1"/>
                    </pic:cNvPicPr>
                  </pic:nvPicPr>
                  <pic:blipFill>
                    <a:blip r:embed="rId64"/>
                    <a:stretch>
                      <a:fillRect/>
                    </a:stretch>
                  </pic:blipFill>
                  <pic:spPr bwMode="auto">
                    <a:xfrm>
                      <a:off x="0" y="0"/>
                      <a:ext cx="5465445" cy="2196175"/>
                    </a:xfrm>
                    <a:prstGeom prst="rect">
                      <a:avLst/>
                    </a:prstGeom>
                    <a:noFill/>
                    <a:ln w="9525">
                      <a:noFill/>
                      <a:headEnd/>
                      <a:tailEnd/>
                    </a:ln>
                  </pic:spPr>
                </pic:pic>
              </a:graphicData>
            </a:graphic>
          </wp:inline>
        </w:drawing>
      </w:r>
    </w:p>
    <w:p>
      <w:pPr>
        <w:pStyle w:val="ImageCaption"/>
        <w:keepNext/>
        <w:keepLines/>
        <w:spacing w:line="240" w:lineRule="auto" w:before="240" w:after="40"/>
        <w:ind w:firstLine="0"/>
        <w:jc w:val="both"/>
      </w:pPr>
      <w:r>
        <w:rPr>
          <w:rFonts w:ascii="Arial" w:hAnsi="Arial"/>
          <w:sz w:val="22"/>
        </w:rPr>
        <w:t xml:space="preserve">Figura 5. Tratar a ocupação como</w:t>
      </w:r>
      <w:r>
        <w:rPr>
          <w:rFonts w:ascii="Arial" w:hAnsi="Arial"/>
          <w:sz w:val="22"/>
        </w:rPr>
        <w:t xml:space="preserve"> </w:t>
      </w:r>
      <w:r>
        <w:rPr>
          <w:rFonts w:ascii="Arial" w:hAnsi="Arial"/>
          <w:sz w:val="22"/>
        </w:rPr>
        <w:t xml:space="preserve">“característica”</w:t>
      </w:r>
      <w:r>
        <w:rPr>
          <w:rFonts w:ascii="Arial" w:hAnsi="Arial"/>
          <w:sz w:val="22"/>
        </w:rPr>
        <w:t xml:space="preserve"> </w:t>
      </w:r>
      <w:r>
        <w:rPr>
          <w:rFonts w:ascii="Arial" w:hAnsi="Arial"/>
          <w:sz w:val="22"/>
        </w:rPr>
        <w:t xml:space="preserve">reduz a discriminação medida de</w:t>
      </w:r>
      <w:r>
        <w:rPr>
          <w:rFonts w:ascii="Arial" w:hAnsi="Arial"/>
          <w:sz w:val="22"/>
        </w:rPr>
        <w:t xml:space="preserve"> </w:t>
      </w:r>
      <w:r>
        <w:rPr>
          <w:rFonts w:ascii="Arial" w:hAnsi="Arial"/>
          <w:sz w:val="22"/>
        </w:rPr>
        <w:t xml:space="preserve">17,9% para 15,4% do gap. Os 2,5 pontos que somem são a parte que</w:t>
      </w:r>
      <w:r>
        <w:rPr>
          <w:rFonts w:ascii="Arial" w:hAnsi="Arial"/>
          <w:sz w:val="22"/>
        </w:rPr>
        <w:t xml:space="preserve"> </w:t>
      </w:r>
      <w:r>
        <w:rPr>
          <w:rFonts w:ascii="Arial" w:hAnsi="Arial"/>
          <w:sz w:val="22"/>
        </w:rPr>
        <w:t xml:space="preserve">opera na porta de entrada das ocupações — medida diretamente pelo modelo de acesso.</w:t>
      </w:r>
    </w:p>
    <w:bookmarkEnd w:id="67"/>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Figura 5: cada painel é uma cascata lida da esquerda para a direita. A primeira barra é o gap total em log-rendimento; a segunda desconta a parcela atribuída a diferenças de características (dotações); a terceira, em azul, é o que sobra sem explicação. A única diferença entre os painéis é se a ocupação entra ou não como característica.</w:t>
      </w:r>
    </w:p>
    <w:bookmarkEnd w:id="68"/>
    <w:bookmarkStart w:id="80" w:name="glmm-logístico-o-teto-de-vidro-no-acesso"/>
    <w:p>
      <w:pPr>
        <w:pStyle w:val="Ttulo2"/>
        <w:spacing w:line="360" w:lineRule="auto" w:before="280" w:after="280"/>
        <w:ind w:firstLine="709"/>
        <w:jc w:val="left"/>
      </w:pPr>
      <w:r>
        <w:rPr>
          <w:rFonts w:ascii="Arial" w:hAnsi="Arial"/>
          <w:b/>
          <w:sz w:val="22"/>
        </w:rPr>
        <w:t xml:space="preserve">GLMM logístico: o teto de vidro no acesso</w:t>
      </w:r>
    </w:p>
    <w:p>
      <w:pPr>
        <w:pStyle w:val="FirstParagraph"/>
        <w:spacing w:line="360" w:lineRule="auto" w:after="0"/>
        <w:ind w:firstLine="709"/>
        <w:jc w:val="both"/>
      </w:pPr>
      <w:r>
        <w:rPr>
          <w:rFonts w:ascii="Arial" w:hAnsi="Arial"/>
          <w:sz w:val="22"/>
        </w:rPr>
        <w:t xml:space="preserve">A decomposição mostrou que parte do diferencial opera na entrada das ocupações; o modelo de acesso mede essa porta diretamente.</w:t>
      </w:r>
      <w:r>
        <w:rPr>
          <w:rFonts w:ascii="Arial" w:hAnsi="Arial"/>
          <w:sz w:val="22"/>
        </w:rPr>
        <w:t xml:space="preserve"> </w:t>
      </w:r>
      <w:bookmarkStart w:id="69" w:name="subsec:glmm_resultados"/>
      <w:bookmarkEnd w:id="69"/>
      <w:r>
        <w:rPr>
          <w:rFonts w:ascii="Arial" w:hAnsi="Arial"/>
          <w:sz w:val="22"/>
        </w:rPr>
        <w:t xml:space="preserve"> </w:t>
      </w:r>
      <w:r>
        <w:rPr>
          <w:rFonts w:ascii="Arial" w:hAnsi="Arial"/>
          <w:sz w:val="22"/>
        </w:rPr>
        <w:t xml:space="preserve">Até aqui a pergunta foi quanto um trabalhador negro ganha a menos. Ela pressupõe que</w:t>
      </w:r>
      <w:r>
        <w:rPr>
          <w:rFonts w:ascii="Arial" w:hAnsi="Arial"/>
          <w:sz w:val="22"/>
        </w:rPr>
        <w:t xml:space="preserve"> </w:t>
      </w:r>
      <w:r>
        <w:rPr>
          <w:rFonts w:ascii="Arial" w:hAnsi="Arial"/>
          <w:sz w:val="22"/>
        </w:rPr>
        <w:t xml:space="preserve">negros e brancos estejam disputando as mesmas vagas. E se a barreira for anterior ao</w:t>
      </w:r>
      <w:r>
        <w:rPr>
          <w:rFonts w:ascii="Arial" w:hAnsi="Arial"/>
          <w:sz w:val="22"/>
        </w:rPr>
        <w:t xml:space="preserve"> </w:t>
      </w:r>
      <w:r>
        <w:rPr>
          <w:rFonts w:ascii="Arial" w:hAnsi="Arial"/>
          <w:sz w:val="22"/>
        </w:rPr>
        <w:t xml:space="preserve">salário — se ela estiver em</w:t>
      </w:r>
      <w:r>
        <w:rPr>
          <w:rFonts w:ascii="Arial" w:hAnsi="Arial"/>
          <w:sz w:val="22"/>
        </w:rPr>
        <w:t xml:space="preserve"> </w:t>
      </w:r>
      <w:r>
        <w:rPr>
          <w:rFonts w:ascii="Arial" w:hAnsi="Arial"/>
          <w:sz w:val="22"/>
        </w:rPr>
        <w:t xml:space="preserve">quais</w:t>
      </w:r>
      <w:r>
        <w:rPr>
          <w:rFonts w:ascii="Arial" w:hAnsi="Arial"/>
          <w:sz w:val="22"/>
        </w:rPr>
        <w:t xml:space="preserve"> </w:t>
      </w:r>
      <w:r>
        <w:rPr>
          <w:rFonts w:ascii="Arial" w:hAnsi="Arial"/>
          <w:sz w:val="22"/>
        </w:rPr>
        <w:t xml:space="preserve">posições cada um consegue alcançar? É a</w:t>
      </w:r>
      <w:r>
        <w:rPr>
          <w:rFonts w:ascii="Arial" w:hAnsi="Arial"/>
          <w:sz w:val="22"/>
        </w:rPr>
        <w:t xml:space="preserve"> </w:t>
      </w:r>
      <w:r>
        <w:rPr>
          <w:rFonts w:ascii="Arial" w:hAnsi="Arial"/>
          <w:sz w:val="22"/>
        </w:rPr>
        <w:t xml:space="preserve">pergunta desta subseção, e ela importa porque muda o alvo da política: se a desigualdade</w:t>
      </w:r>
      <w:r>
        <w:rPr>
          <w:rFonts w:ascii="Arial" w:hAnsi="Arial"/>
          <w:sz w:val="22"/>
        </w:rPr>
        <w:t xml:space="preserve"> </w:t>
      </w:r>
      <w:r>
        <w:rPr>
          <w:rFonts w:ascii="Arial" w:hAnsi="Arial"/>
          <w:sz w:val="22"/>
        </w:rPr>
        <w:t xml:space="preserve">se produz no salário, o remédio é fiscalização de remuneração; se ela se produz no</w:t>
      </w:r>
      <w:r>
        <w:rPr>
          <w:rFonts w:ascii="Arial" w:hAnsi="Arial"/>
          <w:sz w:val="22"/>
        </w:rPr>
        <w:t xml:space="preserve"> </w:t>
      </w:r>
      <w:r>
        <w:rPr>
          <w:rFonts w:ascii="Arial" w:hAnsi="Arial"/>
          <w:sz w:val="22"/>
        </w:rPr>
        <w:t xml:space="preserve">acesso, nenhuma política salarial a alcança. Três desfechos respondem — ocupar cargo</w:t>
      </w:r>
      <w:r>
        <w:rPr>
          <w:rFonts w:ascii="Arial" w:hAnsi="Arial"/>
          <w:sz w:val="22"/>
        </w:rPr>
        <w:t xml:space="preserve"> </w:t>
      </w:r>
      <w:r>
        <w:rPr>
          <w:rFonts w:ascii="Arial" w:hAnsi="Arial"/>
          <w:sz w:val="22"/>
        </w:rPr>
        <w:t xml:space="preserve">qualificado (CBO 1–4), estar no top 20% e no top 10% da renda —, cada um estimado</w:t>
      </w:r>
      <w:r>
        <w:rPr>
          <w:rFonts w:ascii="Arial" w:hAnsi="Arial"/>
          <w:sz w:val="22"/>
        </w:rPr>
        <w:t xml:space="preserve"> </w:t>
      </w:r>
      <w:r>
        <w:rPr>
          <w:rFonts w:ascii="Arial" w:hAnsi="Arial"/>
          <w:sz w:val="22"/>
        </w:rPr>
        <w:t xml:space="preserve">em quatro degraus próprios, rotulados A1 a A4 para não se confundirem com os do HLM</w:t>
      </w:r>
      <w:r>
        <w:rPr>
          <w:rFonts w:ascii="Arial" w:hAnsi="Arial"/>
          <w:sz w:val="22"/>
        </w:rPr>
        <w:t xml:space="preserve"> </w:t>
      </w:r>
      <w:r>
        <w:rPr>
          <w:rFonts w:ascii="Arial" w:hAnsi="Arial"/>
          <w:sz w:val="22"/>
        </w:rPr>
        <w:t xml:space="preserve">—aos quais não correspondem um a um—, com intercepto aleatório de UPA e efeitos fixos</w:t>
      </w:r>
      <w:r>
        <w:rPr>
          <w:rFonts w:ascii="Arial" w:hAnsi="Arial"/>
          <w:sz w:val="22"/>
        </w:rPr>
        <w:t xml:space="preserve"> </w:t>
      </w:r>
      <w:r>
        <w:rPr>
          <w:rFonts w:ascii="Arial" w:hAnsi="Arial"/>
          <w:sz w:val="22"/>
        </w:rPr>
        <w:t xml:space="preserve">de UF.</w:t>
      </w:r>
      <w:r>
        <w:rPr>
          <w:rStyle w:val="FootnoteReference"/>
          <w:rFonts w:ascii="Arial" w:hAnsi="Arial"/>
          <w:sz w:val="22"/>
          <w:vertAlign w:val="superscript"/>
        </w:rPr>
        <w:footnoteReference w:id="70"/>
      </w:r>
    </w:p>
    <w:p>
      <w:pPr>
        <w:pStyle w:val="BodyText"/>
        <w:spacing w:line="360" w:lineRule="auto" w:after="0"/>
        <w:ind w:firstLine="709"/>
        <w:jc w:val="both"/>
      </w:pPr>
      <w:r>
        <w:rPr>
          <w:rFonts w:ascii="Arial" w:hAnsi="Arial"/>
          <w:b/>
          <w:bCs/>
          <w:sz w:val="22"/>
        </w:rPr>
        <w:t xml:space="preserve">O acesso também é</w:t>
      </w:r>
      <w:r>
        <w:rPr>
          <w:rFonts w:ascii="Arial" w:hAnsi="Arial"/>
          <w:b/>
          <w:bCs/>
          <w:sz w:val="22"/>
        </w:rPr>
        <w:t xml:space="preserve"> </w:t>
      </w:r>
      <w:r>
        <w:rPr>
          <w:rFonts w:ascii="Arial" w:hAnsi="Arial"/>
          <w:b/>
          <w:bCs/>
          <w:sz w:val="22"/>
        </w:rPr>
        <w:t xml:space="preserve">“bairro”</w:t>
      </w:r>
      <w:r>
        <w:rPr>
          <w:rFonts w:ascii="Arial" w:hAnsi="Arial"/>
          <w:b/>
          <w:bCs/>
          <w:sz w:val="22"/>
        </w:rPr>
        <w:t xml:space="preserve">.</w:t>
      </w:r>
      <w:r>
        <w:rPr>
          <w:rFonts w:ascii="Arial" w:hAnsi="Arial"/>
          <w:sz w:val="22"/>
        </w:rPr>
        <w:t xml:space="preserve"> </w:t>
      </w:r>
      <w:r>
        <w:rPr>
          <w:rFonts w:ascii="Arial" w:hAnsi="Arial"/>
          <w:sz w:val="22"/>
        </w:rPr>
        <w:t xml:space="preserve">A primeira coisa que o modelo mostra é que a lógica territorial do HLM se repete aqui.</w:t>
      </w:r>
      <w:r>
        <w:rPr>
          <w:rFonts w:ascii="Arial" w:hAnsi="Arial"/>
          <w:sz w:val="22"/>
        </w:rPr>
        <w:t xml:space="preserve"> </w:t>
      </w:r>
      <w:r>
        <w:rPr>
          <w:rFonts w:ascii="Arial" w:hAnsi="Arial"/>
          <w:sz w:val="22"/>
        </w:rPr>
        <w:t xml:space="preserve">Entre</w:t>
      </w:r>
      <w:r>
        <w:rPr>
          <w:rFonts w:ascii="Arial" w:hAnsi="Arial"/>
          <w:sz w:val="22"/>
        </w:rPr>
        <w:t xml:space="preserve"> </w:t>
      </w:r>
      <w:r>
        <w:rPr>
          <w:rFonts w:ascii="Arial" w:hAnsi="Arial"/>
          <w:b/>
          <w:bCs/>
          <w:sz w:val="22"/>
        </w:rPr>
        <w:t xml:space="preserve">9% e 22% da variância latente do</w:t>
      </w:r>
      <w:r>
        <w:rPr>
          <w:rFonts w:ascii="Arial" w:hAnsi="Arial"/>
          <w:b/>
          <w:bCs/>
          <w:sz w:val="22"/>
        </w:rPr>
        <w:t xml:space="preserve"> </w:t>
      </w:r>
      <w:r>
        <w:rPr>
          <w:rFonts w:ascii="Arial" w:hAnsi="Arial"/>
          <w:b/>
          <w:bCs/>
          <w:sz w:val="22"/>
        </w:rPr>
        <w:t xml:space="preserve">acesso está entre bairros</w:t>
      </w:r>
      <w:r>
        <w:rPr>
          <w:rStyle w:val="FootnoteReference"/>
          <w:rFonts w:ascii="Arial" w:hAnsi="Arial"/>
          <w:sz w:val="22"/>
          <w:vertAlign w:val="superscript"/>
        </w:rPr>
        <w:footnoteReference w:id="71"/>
      </w:r>
      <w:r>
        <w:rPr>
          <w:rFonts w:ascii="Arial" w:hAnsi="Arial"/>
          <w:sz w:val="22"/>
        </w:rPr>
        <w:t xml:space="preserve"> </w:t>
      </w:r>
      <w:r>
        <w:rPr>
          <w:rFonts w:ascii="Arial" w:hAnsi="Arial"/>
          <w:sz w:val="22"/>
        </w:rPr>
        <w:t xml:space="preserve">— ou seja, saber apenas em que bairro alguém mora já antecipa</w:t>
      </w:r>
      <w:r>
        <w:rPr>
          <w:rFonts w:ascii="Arial" w:hAnsi="Arial"/>
          <w:sz w:val="22"/>
        </w:rPr>
        <w:t xml:space="preserve"> </w:t>
      </w:r>
      <w:r>
        <w:rPr>
          <w:rFonts w:ascii="Arial" w:hAnsi="Arial"/>
          <w:sz w:val="22"/>
        </w:rPr>
        <w:t xml:space="preserve">boa parte da chance de essa pessoa chegar a um cargo qualificado, antes de se conhecer</w:t>
      </w:r>
      <w:r>
        <w:rPr>
          <w:rFonts w:ascii="Arial" w:hAnsi="Arial"/>
          <w:sz w:val="22"/>
        </w:rPr>
        <w:t xml:space="preserve"> </w:t>
      </w:r>
      <w:r>
        <w:rPr>
          <w:rFonts w:ascii="Arial" w:hAnsi="Arial"/>
          <w:sz w:val="22"/>
        </w:rPr>
        <w:t xml:space="preserve">sua escolaridade. E a fração é maior para o top 10% do que para o cargo qualificado:</w:t>
      </w:r>
      <w:r>
        <w:rPr>
          <w:rFonts w:ascii="Arial" w:hAnsi="Arial"/>
          <w:sz w:val="22"/>
        </w:rPr>
        <w:t xml:space="preserve"> </w:t>
      </w:r>
      <w:r>
        <w:rPr>
          <w:rFonts w:ascii="Arial" w:hAnsi="Arial"/>
          <w:sz w:val="22"/>
        </w:rPr>
        <w:t xml:space="preserve">quanto mais alto o degrau, mais o endereço pesa.</w:t>
      </w:r>
    </w:p>
    <w:p>
      <w:pPr>
        <w:pStyle w:val="BodyText"/>
        <w:spacing w:line="360" w:lineRule="auto" w:after="0"/>
        <w:ind w:firstLine="709"/>
        <w:jc w:val="both"/>
      </w:pPr>
      <w:r>
        <w:rPr>
          <w:rFonts w:ascii="Arial" w:hAnsi="Arial"/>
          <w:b/>
          <w:bCs/>
          <w:sz w:val="22"/>
        </w:rPr>
        <w:t xml:space="preserve">A porta é mais estreita para negros — e estreita ainda mais no topo.</w:t>
      </w:r>
      <w:r>
        <w:rPr>
          <w:rFonts w:ascii="Arial" w:hAnsi="Arial"/>
          <w:sz w:val="22"/>
        </w:rPr>
        <w:t xml:space="preserve"> </w:t>
      </w:r>
      <w:r>
        <w:rPr>
          <w:rFonts w:ascii="Arial" w:hAnsi="Arial"/>
          <w:sz w:val="22"/>
        </w:rPr>
        <w:t xml:space="preserve">Comparando pessoas do mesmo bairro, com a mesma escolaridade, sexo, idade e estado,</w:t>
      </w:r>
      <w:r>
        <w:rPr>
          <w:rFonts w:ascii="Arial" w:hAnsi="Arial"/>
          <w:sz w:val="22"/>
        </w:rPr>
        <w:t xml:space="preserve"> </w:t>
      </w:r>
      <w:r>
        <w:rPr>
          <w:rFonts w:ascii="Arial" w:hAnsi="Arial"/>
          <w:sz w:val="22"/>
        </w:rPr>
        <w:t xml:space="preserve">a chance de um trabalhador negro ocupar cargo qualificado é</w:t>
      </w:r>
      <w:r>
        <w:rPr>
          <w:rFonts w:ascii="Arial" w:hAnsi="Arial"/>
          <w:sz w:val="22"/>
        </w:rPr>
        <w:t xml:space="preserve"> </w:t>
      </w:r>
      <w:r>
        <w:rPr>
          <w:rFonts w:ascii="Arial" w:hAnsi="Arial"/>
          <w:sz w:val="22"/>
        </w:rPr>
        <w:t xml:space="preserve">OR </w:t>
      </w:r>
      <m:oMath>
        <m:r>
          <m:rPr>
            <m:sty m:val="p"/>
          </m:rPr>
          <m:t>=</m:t>
        </m:r>
      </m:oMath>
      <w:r>
        <w:rPr>
          <w:rFonts w:ascii="Arial" w:hAnsi="Arial"/>
          <w:sz w:val="22"/>
        </w:rPr>
        <w:t xml:space="preserve"> 0,814</w:t>
      </w:r>
      <w:r>
        <w:rPr>
          <w:rStyle w:val="FootnoteReference"/>
          <w:rFonts w:ascii="Arial" w:hAnsi="Arial"/>
          <w:sz w:val="22"/>
          <w:vertAlign w:val="superscript"/>
        </w:rPr>
        <w:footnoteReference w:id="72"/>
      </w:r>
      <w:r>
        <w:rPr>
          <w:rFonts w:ascii="Arial" w:hAnsi="Arial"/>
          <w:sz w:val="22"/>
        </w:rPr>
        <w:t xml:space="preserve"> </w:t>
      </w:r>
      <w:r>
        <w:rPr>
          <w:rFonts w:ascii="Arial" w:hAnsi="Arial"/>
          <w:sz w:val="22"/>
        </w:rPr>
        <w:t xml:space="preserve">da chance de um branco —</w:t>
      </w:r>
      <w:r>
        <w:rPr>
          <w:rFonts w:ascii="Arial" w:hAnsi="Arial"/>
          <w:sz w:val="22"/>
        </w:rPr>
        <w:t xml:space="preserve"> </w:t>
      </w:r>
      <w:r>
        <w:rPr>
          <w:rFonts w:ascii="Arial" w:hAnsi="Arial"/>
          <w:b/>
          <w:bCs/>
          <w:sz w:val="22"/>
        </w:rPr>
        <w:t xml:space="preserve">chances (</w:t>
      </w:r>
      <w:r>
        <w:rPr>
          <w:rFonts w:ascii="Arial" w:hAnsi="Arial"/>
          <w:b/>
          <w:bCs/>
          <w:sz w:val="22"/>
        </w:rPr>
        <w:t xml:space="preserve">odds</w:t>
      </w:r>
      <w:r>
        <w:rPr>
          <w:rFonts w:ascii="Arial" w:hAnsi="Arial"/>
          <w:b/>
          <w:bCs/>
          <w:sz w:val="22"/>
        </w:rPr>
        <w:t xml:space="preserve">)</w:t>
      </w:r>
      <w:r>
        <w:rPr>
          <w:rFonts w:ascii="Arial" w:hAnsi="Arial"/>
          <w:b/>
          <w:bCs/>
          <w:sz w:val="22"/>
        </w:rPr>
        <w:t xml:space="preserve"> </w:t>
      </w:r>
      <w:r>
        <w:rPr>
          <w:rFonts w:ascii="Arial" w:hAnsi="Arial"/>
          <w:b/>
          <w:bCs/>
          <w:sz w:val="22"/>
        </w:rPr>
        <w:t xml:space="preserve">19% menores</w:t>
      </w:r>
      <w:r>
        <w:rPr>
          <w:rFonts w:ascii="Arial" w:hAnsi="Arial"/>
          <w:sz w:val="22"/>
        </w:rPr>
        <w:t xml:space="preserve">. Traduzido para probabilidade, que é a medida a reter</w:t>
      </w:r>
      <w:r>
        <w:rPr>
          <w:rFonts w:ascii="Arial" w:hAnsi="Arial"/>
          <w:sz w:val="22"/>
        </w:rPr>
        <w:t xml:space="preserve"> </w:t>
      </w:r>
      <w:r>
        <w:rPr>
          <w:rFonts w:ascii="Arial" w:hAnsi="Arial"/>
          <w:sz w:val="22"/>
        </w:rPr>
        <w:t xml:space="preserve">(Angrist; Pischke, 2009)</w:t>
      </w:r>
      <w:r>
        <w:rPr>
          <w:rFonts w:ascii="Arial" w:hAnsi="Arial"/>
          <w:sz w:val="22"/>
        </w:rPr>
        <w:t xml:space="preserve">, são</w:t>
      </w:r>
      <w:r>
        <w:rPr>
          <w:rFonts w:ascii="Arial" w:hAnsi="Arial"/>
          <w:sz w:val="22"/>
        </w:rPr>
        <w:t xml:space="preserve"> </w:t>
      </w:r>
      <w:r>
        <w:rPr>
          <w:rFonts w:ascii="Arial" w:hAnsi="Arial"/>
          <w:b/>
          <w:bCs/>
          <w:sz w:val="22"/>
        </w:rPr>
        <w:t xml:space="preserve">2,6 pontos percentuais</w:t>
      </w:r>
      <w:r>
        <w:rPr>
          <w:rFonts w:ascii="Arial" w:hAnsi="Arial"/>
          <w:sz w:val="22"/>
        </w:rPr>
        <w:t xml:space="preserve"> </w:t>
      </w:r>
      <w:r>
        <w:rPr>
          <w:rFonts w:ascii="Arial" w:hAnsi="Arial"/>
          <w:sz w:val="22"/>
        </w:rPr>
        <w:t xml:space="preserve">a menos de chegar</w:t>
      </w:r>
      <w:r>
        <w:rPr>
          <w:rFonts w:ascii="Arial" w:hAnsi="Arial"/>
          <w:sz w:val="22"/>
        </w:rPr>
        <w:t xml:space="preserve"> </w:t>
      </w:r>
      <w:r>
        <w:rPr>
          <w:rFonts w:ascii="Arial" w:hAnsi="Arial"/>
          <w:sz w:val="22"/>
        </w:rPr>
        <w:t xml:space="preserve">lá. E a desvantagem cresce à medida que se sobe na renda: para chegar ao top 10% —</w:t>
      </w:r>
      <w:r>
        <w:rPr>
          <w:rFonts w:ascii="Arial" w:hAnsi="Arial"/>
          <w:sz w:val="22"/>
        </w:rPr>
        <w:t xml:space="preserve"> </w:t>
      </w:r>
      <w:r>
        <w:rPr>
          <w:rFonts w:ascii="Arial" w:hAnsi="Arial"/>
          <w:sz w:val="22"/>
        </w:rPr>
        <w:t xml:space="preserve">que já não é o acesso a uma ocupação, mas a uma faixa de rendimento — o OR cai para</w:t>
      </w:r>
      <w:r>
        <w:rPr>
          <w:rFonts w:ascii="Arial" w:hAnsi="Arial"/>
          <w:sz w:val="22"/>
        </w:rPr>
        <w:t xml:space="preserve"> </w:t>
      </w:r>
      <w:r>
        <w:rPr>
          <w:rFonts w:ascii="Arial" w:hAnsi="Arial"/>
          <w:sz w:val="22"/>
        </w:rPr>
        <w:t xml:space="preserve">0,761,</w:t>
      </w:r>
      <w:r>
        <w:rPr>
          <w:rFonts w:ascii="Arial" w:hAnsi="Arial"/>
          <w:sz w:val="22"/>
        </w:rPr>
        <w:t xml:space="preserve"> </w:t>
      </w:r>
      <w:r>
        <w:rPr>
          <w:rFonts w:ascii="Arial" w:hAnsi="Arial"/>
          <w:b/>
          <w:bCs/>
          <w:sz w:val="22"/>
        </w:rPr>
        <w:t xml:space="preserve">chances 24% menores</w:t>
      </w:r>
      <w:r>
        <w:rPr>
          <w:rFonts w:ascii="Arial" w:hAnsi="Arial"/>
          <w:sz w:val="22"/>
        </w:rPr>
        <w:t xml:space="preserve">. Não é o mesmo fenômeno do</w:t>
      </w:r>
      <w:r>
        <w:rPr>
          <w:rFonts w:ascii="Arial" w:hAnsi="Arial"/>
          <w:sz w:val="22"/>
        </w:rPr>
        <w:t xml:space="preserve"> </w:t>
      </w:r>
      <w:r>
        <w:rPr>
          <w:rFonts w:ascii="Arial" w:hAnsi="Arial"/>
          <w:sz w:val="22"/>
        </w:rPr>
        <w:t xml:space="preserve">salário visto de outro ângulo — é uma barreira que age antes, na distribuição das</w:t>
      </w:r>
      <w:r>
        <w:rPr>
          <w:rFonts w:ascii="Arial" w:hAnsi="Arial"/>
          <w:sz w:val="22"/>
        </w:rPr>
        <w:t xml:space="preserve"> </w:t>
      </w:r>
      <w:r>
        <w:rPr>
          <w:rFonts w:ascii="Arial" w:hAnsi="Arial"/>
          <w:sz w:val="22"/>
        </w:rPr>
        <w:t xml:space="preserve">posições, e que nenhuma política de remuneração igual alcançaria.</w:t>
      </w:r>
    </w:p>
    <w:p>
      <w:pPr>
        <w:pStyle w:val="BodyText"/>
        <w:spacing w:line="360" w:lineRule="auto" w:after="0"/>
        <w:ind w:firstLine="709"/>
        <w:jc w:val="both"/>
      </w:pPr>
      <w:r>
        <w:rPr>
          <w:rFonts w:ascii="Arial" w:hAnsi="Arial"/>
          <w:sz w:val="22"/>
        </w:rPr>
        <w:t xml:space="preserve">Em síntese, a desigualdade racial no mercado de trabalho brasileiro não começa</w:t>
      </w:r>
      <w:r>
        <w:rPr>
          <w:rFonts w:ascii="Arial" w:hAnsi="Arial"/>
          <w:sz w:val="22"/>
        </w:rPr>
        <w:t xml:space="preserve"> </w:t>
      </w:r>
      <w:r>
        <w:rPr>
          <w:rFonts w:ascii="Arial" w:hAnsi="Arial"/>
          <w:sz w:val="22"/>
        </w:rPr>
        <w:t xml:space="preserve">só no contracheque: começa também na porta.</w:t>
      </w:r>
    </w:p>
    <w:p>
      <w:pPr>
        <w:pStyle w:val="BodyText"/>
        <w:spacing w:line="360" w:lineRule="auto" w:after="0"/>
        <w:ind w:firstLine="709"/>
        <w:jc w:val="both"/>
      </w:pPr>
      <w:r>
        <w:rPr>
          <w:rFonts w:ascii="Arial" w:hAnsi="Arial"/>
          <w:b/>
          <w:bCs/>
          <w:sz w:val="22"/>
        </w:rPr>
        <w:t xml:space="preserve">Vínculo e credencial não desfazem a barreira.</w:t>
      </w:r>
      <w:r>
        <w:rPr>
          <w:rFonts w:ascii="Arial" w:hAnsi="Arial"/>
          <w:sz w:val="22"/>
        </w:rPr>
        <w:t xml:space="preserve"> </w:t>
      </w:r>
      <w:r>
        <w:rPr>
          <w:rFonts w:ascii="Arial" w:hAnsi="Arial"/>
          <w:sz w:val="22"/>
        </w:rPr>
        <w:t xml:space="preserve">Duas explicações alternativas se apresentam naturalmente, e o modelo testa as duas. A</w:t>
      </w:r>
      <w:r>
        <w:rPr>
          <w:rFonts w:ascii="Arial" w:hAnsi="Arial"/>
          <w:sz w:val="22"/>
        </w:rPr>
        <w:t xml:space="preserve"> </w:t>
      </w:r>
      <w:r>
        <w:rPr>
          <w:rFonts w:ascii="Arial" w:hAnsi="Arial"/>
          <w:sz w:val="22"/>
        </w:rPr>
        <w:t xml:space="preserve">primeira é a informalidade: a barreira seria um artefato de negros estarem mais em</w:t>
      </w:r>
      <w:r>
        <w:rPr>
          <w:rFonts w:ascii="Arial" w:hAnsi="Arial"/>
          <w:sz w:val="22"/>
        </w:rPr>
        <w:t xml:space="preserve"> </w:t>
      </w:r>
      <w:r>
        <w:rPr>
          <w:rFonts w:ascii="Arial" w:hAnsi="Arial"/>
          <w:sz w:val="22"/>
        </w:rPr>
        <w:t xml:space="preserve">vínculos precários. Descontar o vínculo (A3) praticamente não move o OR do cargo</w:t>
      </w:r>
      <w:r>
        <w:rPr>
          <w:rFonts w:ascii="Arial" w:hAnsi="Arial"/>
          <w:sz w:val="22"/>
        </w:rPr>
        <w:t xml:space="preserve"> </w:t>
      </w:r>
      <w:r>
        <w:rPr>
          <w:rFonts w:ascii="Arial" w:hAnsi="Arial"/>
          <w:sz w:val="22"/>
        </w:rPr>
        <w:t xml:space="preserve">qualificado (0,791) nem o do top 10% (0,740), de modo que não é</w:t>
      </w:r>
      <w:r>
        <w:rPr>
          <w:rFonts w:ascii="Arial" w:hAnsi="Arial"/>
          <w:sz w:val="22"/>
        </w:rPr>
        <w:t xml:space="preserve"> </w:t>
      </w:r>
      <w:r>
        <w:rPr>
          <w:rFonts w:ascii="Arial" w:hAnsi="Arial"/>
          <w:sz w:val="22"/>
        </w:rPr>
        <w:t xml:space="preserve">isso. A segunda é o diploma: bastaria credenciar-se. A interação</w:t>
      </w:r>
      <w:r>
        <w:rPr>
          <w:rFonts w:ascii="Arial" w:hAnsi="Arial"/>
          <w:sz w:val="22"/>
        </w:rPr>
        <w:t xml:space="preserve"> </w:t>
      </w:r>
      <w:r>
        <w:rPr>
          <w:rStyle w:val="VerbatimChar"/>
          <w:rFonts w:ascii="Arial" w:hAnsi="Arial"/>
          <w:sz w:val="22"/>
        </w:rPr>
        <w:t xml:space="preserve">negro</w:t>
      </w:r>
      <m:oMath>
        <m:r>
          <m:rPr>
            <m:sty m:val="p"/>
          </m:rPr>
          <m:t>×</m:t>
        </m:r>
      </m:oMath>
      <w:r>
        <w:rPr>
          <w:rFonts w:ascii="Arial" w:hAnsi="Arial"/>
          <w:sz w:val="22"/>
        </w:rPr>
        <w:t xml:space="preserve">credencial do A4 é de 1,042 para o superior completo e</w:t>
      </w:r>
      <w:r>
        <w:rPr>
          <w:rFonts w:ascii="Arial" w:hAnsi="Arial"/>
          <w:sz w:val="22"/>
        </w:rPr>
        <w:t xml:space="preserve"> </w:t>
      </w:r>
      <w:r>
        <w:rPr>
          <w:rFonts w:ascii="Arial" w:hAnsi="Arial"/>
          <w:sz w:val="22"/>
        </w:rPr>
        <w:t xml:space="preserve">0,947 para a pós-graduação — o superior completo atenua levemente a barreira, mas a pós-graduação volta a agravá-la —, e o OR combinado de um</w:t>
      </w:r>
      <w:r>
        <w:rPr>
          <w:rFonts w:ascii="Arial" w:hAnsi="Arial"/>
          <w:sz w:val="22"/>
        </w:rPr>
        <w:t xml:space="preserve"> </w:t>
      </w:r>
      <w:r>
        <w:rPr>
          <w:rFonts w:ascii="Arial" w:hAnsi="Arial"/>
          <w:sz w:val="22"/>
        </w:rPr>
        <w:t xml:space="preserve">trabalhador negro com superior completo ainda é 0,818. A credencial não</w:t>
      </w:r>
      <w:r>
        <w:rPr>
          <w:rFonts w:ascii="Arial" w:hAnsi="Arial"/>
          <w:sz w:val="22"/>
        </w:rPr>
        <w:t xml:space="preserve"> </w:t>
      </w:r>
      <w:r>
        <w:rPr>
          <w:rFonts w:ascii="Arial" w:hAnsi="Arial"/>
          <w:sz w:val="22"/>
        </w:rPr>
        <w:t xml:space="preserve">neutraliza a barreira. A Figura 6 reúne as razões</w:t>
      </w:r>
      <w:r>
        <w:rPr>
          <w:rFonts w:ascii="Arial" w:hAnsi="Arial"/>
          <w:sz w:val="22"/>
        </w:rPr>
        <w:t xml:space="preserve"> </w:t>
      </w:r>
      <w:r>
        <w:rPr>
          <w:rFonts w:ascii="Arial" w:hAnsi="Arial"/>
          <w:sz w:val="22"/>
        </w:rPr>
        <w:t xml:space="preserve">de chance dos três desfechos e dos modelos de cada um.</w:t>
      </w:r>
    </w:p>
    <w:p>
      <w:pPr>
        <w:pStyle w:val="BodyText"/>
        <w:spacing w:line="360" w:lineRule="auto" w:after="0"/>
        <w:ind w:firstLine="709"/>
        <w:jc w:val="both"/>
      </w:pPr>
      <w:r>
        <w:rPr>
          <w:rFonts w:ascii="Arial" w:hAnsi="Arial"/>
          <w:b/>
          <w:bCs/>
          <w:sz w:val="22"/>
        </w:rPr>
        <w:t xml:space="preserve">Quão forte teria de ser um confundidor omitido.</w:t>
      </w:r>
      <w:r>
        <w:rPr>
          <w:rFonts w:ascii="Arial" w:hAnsi="Arial"/>
          <w:sz w:val="22"/>
        </w:rPr>
        <w:t xml:space="preserve"> </w:t>
      </w:r>
      <w:r>
        <w:rPr>
          <w:rFonts w:ascii="Arial" w:hAnsi="Arial"/>
          <w:sz w:val="22"/>
        </w:rPr>
        <w:t xml:space="preserve">O modelo separa bem quem acessa de quem não acessa</w:t>
      </w:r>
      <w:r>
        <w:rPr>
          <w:rStyle w:val="FootnoteReference"/>
          <w:rFonts w:ascii="Arial" w:hAnsi="Arial"/>
          <w:sz w:val="22"/>
          <w:vertAlign w:val="superscript"/>
        </w:rPr>
        <w:footnoteReference w:id="73"/>
      </w:r>
      <w:r>
        <w:rPr>
          <w:rFonts w:ascii="Arial" w:hAnsi="Arial"/>
          <w:sz w:val="22"/>
        </w:rPr>
        <w:t xml:space="preserve">, mas a</w:t>
      </w:r>
      <w:r>
        <w:rPr>
          <w:rFonts w:ascii="Arial" w:hAnsi="Arial"/>
          <w:sz w:val="22"/>
        </w:rPr>
        <w:t xml:space="preserve"> </w:t>
      </w:r>
      <w:r>
        <w:rPr>
          <w:rFonts w:ascii="Arial" w:hAnsi="Arial"/>
          <w:sz w:val="22"/>
        </w:rPr>
        <w:t xml:space="preserve">pergunta que interessa não é essa: é se a desvantagem poderia ser obra de algo que o</w:t>
      </w:r>
      <w:r>
        <w:rPr>
          <w:rFonts w:ascii="Arial" w:hAnsi="Arial"/>
          <w:sz w:val="22"/>
        </w:rPr>
        <w:t xml:space="preserve"> </w:t>
      </w:r>
      <w:r>
        <w:rPr>
          <w:rFonts w:ascii="Arial" w:hAnsi="Arial"/>
          <w:sz w:val="22"/>
        </w:rPr>
        <w:t xml:space="preserve">modelo não viu. O E-value responde quanto um confundidor omitido teria de ser forte para</w:t>
      </w:r>
      <w:r>
        <w:rPr>
          <w:rFonts w:ascii="Arial" w:hAnsi="Arial"/>
          <w:sz w:val="22"/>
        </w:rPr>
        <w:t xml:space="preserve"> </w:t>
      </w:r>
      <w:r>
        <w:rPr>
          <w:rFonts w:ascii="Arial" w:hAnsi="Arial"/>
          <w:sz w:val="22"/>
        </w:rPr>
        <w:t xml:space="preserve">anular o resultado, e aqui ele vale</w:t>
      </w:r>
      <w:r>
        <w:rPr>
          <w:rFonts w:ascii="Arial" w:hAnsi="Arial"/>
          <w:sz w:val="22"/>
        </w:rPr>
        <w:t xml:space="preserve"> </w:t>
      </w:r>
      <w:r>
        <w:rPr>
          <w:rFonts w:ascii="Arial" w:hAnsi="Arial"/>
          <w:b/>
          <w:bCs/>
          <w:sz w:val="22"/>
        </w:rPr>
        <w:t xml:space="preserve">1,5</w:t>
      </w:r>
      <w:r>
        <w:rPr>
          <w:rFonts w:ascii="Arial" w:hAnsi="Arial"/>
          <w:sz w:val="22"/>
        </w:rPr>
        <w:t xml:space="preserve">: seria preciso uma</w:t>
      </w:r>
      <w:r>
        <w:rPr>
          <w:rFonts w:ascii="Arial" w:hAnsi="Arial"/>
          <w:sz w:val="22"/>
        </w:rPr>
        <w:t xml:space="preserve"> </w:t>
      </w:r>
      <w:r>
        <w:rPr>
          <w:rFonts w:ascii="Arial" w:hAnsi="Arial"/>
          <w:sz w:val="22"/>
        </w:rPr>
        <w:t xml:space="preserve">característica não medida associada tanto a ser negro quanto a ocupar cargo qualificado</w:t>
      </w:r>
      <w:r>
        <w:rPr>
          <w:rFonts w:ascii="Arial" w:hAnsi="Arial"/>
          <w:sz w:val="22"/>
        </w:rPr>
        <w:t xml:space="preserve"> </w:t>
      </w:r>
      <w:r>
        <w:rPr>
          <w:rFonts w:ascii="Arial" w:hAnsi="Arial"/>
          <w:sz w:val="22"/>
        </w:rPr>
        <w:t xml:space="preserve">com razão de risco de pelo menos 1,5 em ambas as pontas (com o desfecho comum, a</w:t>
      </w:r>
      <w:r>
        <w:rPr>
          <w:rFonts w:ascii="Arial" w:hAnsi="Arial"/>
          <w:sz w:val="22"/>
        </w:rPr>
        <w:t xml:space="preserve"> </w:t>
      </w:r>
      <w:r>
        <w:rPr>
          <w:rFonts w:ascii="Arial" w:hAnsi="Arial"/>
          <w:sz w:val="22"/>
        </w:rPr>
        <w:t xml:space="preserve">razão de chances é convertida em razão de risco pela raiz quadrada). É uma associação</w:t>
      </w:r>
      <w:r>
        <w:rPr>
          <w:rFonts w:ascii="Arial" w:hAnsi="Arial"/>
          <w:sz w:val="22"/>
        </w:rPr>
        <w:t xml:space="preserve"> </w:t>
      </w:r>
      <w:r>
        <w:rPr>
          <w:rFonts w:ascii="Arial" w:hAnsi="Arial"/>
          <w:sz w:val="22"/>
        </w:rPr>
        <w:t xml:space="preserve">modesta — a escolaridade, sozinha, tem efeito muito maior sobre o acesso —, e por isso o</w:t>
      </w:r>
      <w:r>
        <w:rPr>
          <w:rFonts w:ascii="Arial" w:hAnsi="Arial"/>
          <w:sz w:val="22"/>
        </w:rPr>
        <w:t xml:space="preserve"> </w:t>
      </w:r>
      <w:r>
        <w:rPr>
          <w:rFonts w:ascii="Arial" w:hAnsi="Arial"/>
          <w:sz w:val="22"/>
        </w:rPr>
        <w:t xml:space="preserve">E-value não basta para descartar viés: o que sustenta o resultado é ele sobreviver ao</w:t>
      </w:r>
      <w:r>
        <w:rPr>
          <w:rFonts w:ascii="Arial" w:hAnsi="Arial"/>
          <w:sz w:val="22"/>
        </w:rPr>
        <w:t xml:space="preserve"> </w:t>
      </w:r>
      <w:r>
        <w:rPr>
          <w:rFonts w:ascii="Arial" w:hAnsi="Arial"/>
          <w:sz w:val="22"/>
        </w:rPr>
        <w:t xml:space="preserve">contexto de bairro e ao teste de Konfound do modelo de renda. Por fim,</w:t>
      </w:r>
      <w:r>
        <w:rPr>
          <w:rFonts w:ascii="Arial" w:hAnsi="Arial"/>
          <w:sz w:val="22"/>
        </w:rPr>
        <w:t xml:space="preserve"> </w:t>
      </w:r>
      <w:r>
        <w:rPr>
          <w:rFonts w:ascii="Arial" w:hAnsi="Arial"/>
          <w:sz w:val="22"/>
        </w:rPr>
        <w:t xml:space="preserve">o logit com efeitos fixos de UF e erro-padrão agrupado por UPA (última coluna da</w:t>
      </w:r>
      <w:r>
        <w:rPr>
          <w:rFonts w:ascii="Arial" w:hAnsi="Arial"/>
          <w:sz w:val="22"/>
        </w:rPr>
        <w:t xml:space="preserve"> </w:t>
      </w:r>
      <w:r>
        <w:rPr>
          <w:rFonts w:ascii="Arial" w:hAnsi="Arial"/>
          <w:sz w:val="22"/>
        </w:rPr>
        <w:t xml:space="preserve">Tabela 7) reproduz os OR a partir do A2 (cargo qualificado: 0,796 contra 0,814); no A1, sem o contexto do bairro, dá 0,728 contra 0,805, porque sem o intercepto de UPA o contexto omitido é absorvido pelo coeficiente racial. Com o contexto do bairro no modelo, a conclusão não depende da hipótese de efeitos aleatórios.</w:t>
      </w:r>
    </w:p>
    <w:bookmarkStart w:id="77" w:name="fig:glmm_or"/>
    <w:p>
      <w:pPr>
        <w:pStyle w:val="CaptionedFigure"/>
        <w:keepNext/>
        <w:keepLines/>
      </w:pPr>
      <w:r>
        <w:rPr>
          <w:rFonts w:ascii="Arial" w:hAnsi="Arial"/>
          <w:sz w:val="22"/>
        </w:rPr>
        <w:drawing>
          <wp:inline>
            <wp:extent cx="5465445" cy="2536151"/>
            <wp:effectExtent b="0" l="0" r="0" t="0"/>
            <wp:docPr descr="" title="" id="75" name="Picture"/>
            <a:graphic>
              <a:graphicData uri="http://schemas.openxmlformats.org/drawingml/2006/picture">
                <pic:pic>
                  <pic:nvPicPr>
                    <pic:cNvPr descr="outputs/figures/fig_glmm_or.png" id="76" name="Picture"/>
                    <pic:cNvPicPr>
                      <a:picLocks noChangeArrowheads="1" noChangeAspect="1"/>
                    </pic:cNvPicPr>
                  </pic:nvPicPr>
                  <pic:blipFill>
                    <a:blip r:embed="rId74"/>
                    <a:stretch>
                      <a:fillRect/>
                    </a:stretch>
                  </pic:blipFill>
                  <pic:spPr bwMode="auto">
                    <a:xfrm>
                      <a:off x="0" y="0"/>
                      <a:ext cx="5465445" cy="2536151"/>
                    </a:xfrm>
                    <a:prstGeom prst="rect">
                      <a:avLst/>
                    </a:prstGeom>
                    <a:noFill/>
                    <a:ln w="9525">
                      <a:noFill/>
                      <a:headEnd/>
                      <a:tailEnd/>
                    </a:ln>
                  </pic:spPr>
                </pic:pic>
              </a:graphicData>
            </a:graphic>
          </wp:inline>
        </w:drawing>
      </w:r>
    </w:p>
    <w:p>
      <w:pPr>
        <w:pStyle w:val="ImageCaption"/>
        <w:keepNext/>
        <w:keepLines/>
        <w:spacing w:line="240" w:lineRule="auto" w:before="240" w:after="40"/>
        <w:ind w:firstLine="0"/>
        <w:jc w:val="both"/>
      </w:pPr>
      <w:r>
        <w:rPr>
          <w:rFonts w:ascii="Arial" w:hAnsi="Arial"/>
          <w:sz w:val="22"/>
        </w:rPr>
        <w:t xml:space="preserve">Figura 6. A porta é mais estreita para trabalhadores negros — e estreita ainda mais no</w:t>
      </w:r>
      <w:r>
        <w:rPr>
          <w:rFonts w:ascii="Arial" w:hAnsi="Arial"/>
          <w:sz w:val="22"/>
        </w:rPr>
        <w:t xml:space="preserve"> </w:t>
      </w:r>
      <w:r>
        <w:rPr>
          <w:rFonts w:ascii="Arial" w:hAnsi="Arial"/>
          <w:sz w:val="22"/>
        </w:rPr>
        <w:t xml:space="preserve">topo da renda. Razão de chances de acesso (negro</w:t>
      </w:r>
      <w:r>
        <w:rPr>
          <w:rFonts w:ascii="Arial" w:hAnsi="Arial"/>
          <w:sz w:val="22"/>
        </w:rPr>
        <w:t xml:space="preserve"> </w:t>
      </w:r>
      <w:r>
        <w:rPr>
          <w:rFonts w:ascii="Arial" w:hAnsi="Arial"/>
          <w:sz w:val="22"/>
        </w:rPr>
        <w:t xml:space="preserve">vs.</w:t>
      </w:r>
      <w:r>
        <w:rPr>
          <w:rFonts w:ascii="Arial" w:hAnsi="Arial"/>
          <w:sz w:val="22"/>
        </w:rPr>
        <w:t xml:space="preserve"> branco do mesmo bairro) com</w:t>
      </w:r>
      <w:r>
        <w:rPr>
          <w:rFonts w:ascii="Arial" w:hAnsi="Arial"/>
          <w:sz w:val="22"/>
        </w:rPr>
        <w:t xml:space="preserve"> </w:t>
      </w:r>
      <w:r>
        <w:rPr>
          <w:rFonts w:ascii="Arial" w:hAnsi="Arial"/>
          <w:sz w:val="22"/>
        </w:rPr>
        <w:t xml:space="preserve">IC 95%, por desfecho e degrau; em azul, o modelo com contexto de bairro (A2).</w:t>
      </w:r>
    </w:p>
    <w:bookmarkEnd w:id="77"/>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Figura 6: cada ponto é uma razão de chances e a linha horizontal, seu intervalo de confiança de 95%; a linha tracejada em 1 marca a paridade, de modo que quanto mais à esquerda, maior a desvantagem. Os blocos são os três desfechos e, dentro de cada um, os modelos; em azul, o A2, que compara pessoas do mesmo bairro.</w:t>
      </w:r>
    </w:p>
    <w:bookmarkStart w:id="78" w:name="tab:glmm_glassceil"/>
    <w:p>
      <w:pPr>
        <w:pStyle w:val="TableCaption"/>
        <w:keepNext/>
        <w:keepLines/>
        <w:spacing w:line="240" w:lineRule="auto" w:before="240" w:after="40"/>
        <w:ind w:firstLine="0"/>
        <w:jc w:val="both"/>
      </w:pPr>
      <w:r>
        <w:rPr>
          <w:rFonts w:ascii="Arial" w:hAnsi="Arial"/>
          <w:sz w:val="22"/>
        </w:rPr>
        <w:t xml:space="preserve">Tabela 7. GLMM logístico (lme4::</w:t>
      </w:r>
      <w:r>
        <w:rPr>
          <w:rStyle w:val="VerbatimChar"/>
          <w:rFonts w:ascii="Arial" w:hAnsi="Arial"/>
          <w:sz w:val="22"/>
        </w:rPr>
        <w:t xml:space="preserve">glmer</w:t>
      </w:r>
      <w:r>
        <w:rPr>
          <w:rFonts w:ascii="Arial" w:hAnsi="Arial"/>
          <w:sz w:val="22"/>
        </w:rPr>
        <w:t xml:space="preserve">, intercepto aleatório de UPA e efeitos fixos de UF) — teto de vidro ocupacional e salarial.</w:t>
      </w:r>
      <w:r>
        <w:rPr>
          <w:rFonts w:ascii="Arial" w:hAnsi="Arial"/>
          <w:sz w:val="22"/>
        </w:rPr>
        <w:t xml:space="preserve"> </w:t>
      </w:r>
      <w:r>
        <w:rPr>
          <w:rFonts w:ascii="Arial" w:hAnsi="Arial"/>
          <w:sz w:val="22"/>
        </w:rPr>
        <w:t xml:space="preserve">Odds ratio</w:t>
      </w:r>
      <w:r>
        <w:rPr>
          <w:rFonts w:ascii="Arial" w:hAnsi="Arial"/>
          <w:sz w:val="22"/>
        </w:rPr>
        <w:t xml:space="preserve"> </w:t>
      </w:r>
      <w:r>
        <w:rPr>
          <w:rFonts w:ascii="Arial" w:hAnsi="Arial"/>
          <w:sz w:val="22"/>
        </w:rPr>
        <w:t xml:space="preserve">do coeficiente</w:t>
      </w:r>
      <w:r>
        <w:rPr>
          <w:rFonts w:ascii="Arial" w:hAnsi="Arial"/>
          <w:sz w:val="22"/>
        </w:rPr>
        <w:t xml:space="preserve"> </w:t>
      </w:r>
      <w:r>
        <w:rPr>
          <w:rStyle w:val="VerbatimChar"/>
          <w:rFonts w:ascii="Arial" w:hAnsi="Arial"/>
          <w:sz w:val="22"/>
        </w:rPr>
        <w:t xml:space="preserve">negro</w:t>
      </w:r>
      <w:r>
        <w:rPr>
          <w:rFonts w:ascii="Arial" w:hAnsi="Arial"/>
          <w:sz w:val="22"/>
        </w:rPr>
        <w:t xml:space="preserve"> </w:t>
      </w:r>
      <w:r>
        <w:rPr>
          <w:rFonts w:ascii="Arial" w:hAnsi="Arial"/>
          <w:sz w:val="22"/>
        </w:rPr>
        <w:t xml:space="preserve">com IC 95%, efeito marginal médio (AME: diferença média de probabilidade predita, em pontos percentuais), ICC da UPA</w:t>
      </w:r>
      <w:r>
        <w:rPr>
          <w:rFonts w:ascii="Arial" w:hAnsi="Arial"/>
          <w:sz w:val="22"/>
        </w:rPr>
        <w:t xml:space="preserve"> </w:t>
      </w:r>
      <m:oMath>
        <m:r>
          <m:rPr>
            <m:sty m:val="p"/>
          </m:rPr>
          <m:t>=</m:t>
        </m:r>
        <m:sSup>
          <m:e>
            <m:r>
              <m:t>τ</m:t>
            </m:r>
          </m:e>
          <m:sup>
            <m:r>
              <m:t>2</m:t>
            </m:r>
          </m:sup>
        </m:sSup>
        <m:r>
          <m:rPr>
            <m:sty m:val="p"/>
          </m:rPr>
          <m:t>/</m:t>
        </m:r>
        <m:r>
          <m:rPr>
            <m:sty m:val="p"/>
          </m:rPr>
          <m:t>(</m:t>
        </m:r>
        <m:sSup>
          <m:e>
            <m:r>
              <m:t>τ</m:t>
            </m:r>
          </m:e>
          <m:sup>
            <m:r>
              <m:t>2</m:t>
            </m:r>
          </m:sup>
        </m:sSup>
        <m:r>
          <m:rPr>
            <m:sty m:val="p"/>
          </m:rPr>
          <m:t>+</m:t>
        </m:r>
        <m:sSup>
          <m:e>
            <m:r>
              <m:t>π</m:t>
            </m:r>
          </m:e>
          <m:sup>
            <m:r>
              <m:t>2</m:t>
            </m:r>
          </m:sup>
        </m:sSup>
        <m:r>
          <m:rPr>
            <m:sty m:val="p"/>
          </m:rPr>
          <m:t>/</m:t>
        </m:r>
        <m:r>
          <m:t>3</m:t>
        </m:r>
        <m:r>
          <m:rPr>
            <m:sty m:val="p"/>
          </m:rPr>
          <m:t>)</m:t>
        </m:r>
      </m:oMath>
      <w:r>
        <w:rPr>
          <w:rFonts w:ascii="Arial" w:hAnsi="Arial"/>
          <w:sz w:val="22"/>
        </w:rPr>
        <w:t xml:space="preserve"> </w:t>
      </w:r>
      <w:r>
        <w:rPr>
          <w:rFonts w:ascii="Arial" w:hAnsi="Arial"/>
          <w:sz w:val="22"/>
        </w:rPr>
        <w:t xml:space="preserve">e E-value</w:t>
      </w:r>
      <w:r>
        <w:rPr>
          <w:rFonts w:ascii="Arial" w:hAnsi="Arial"/>
          <w:sz w:val="22"/>
        </w:rPr>
        <w:t xml:space="preserve"> </w:t>
      </w:r>
      <w:r>
        <w:rPr>
          <w:rFonts w:ascii="Arial" w:hAnsi="Arial"/>
          <w:sz w:val="22"/>
        </w:rPr>
        <w:t xml:space="preserve">(VanderWeele; Ding, 2017)</w:t>
      </w:r>
      <w:r>
        <w:rPr>
          <w:rFonts w:ascii="Arial" w:hAnsi="Arial"/>
          <w:sz w:val="22"/>
        </w:rPr>
        <w:t xml:space="preserve">. Coluna final: OR do logit com efeitos fixos de UF e erro-padrão agrupado por UPA (robustez). População completa da PEA com renda positiva (</w:t>
      </w:r>
      <m:oMath>
        <m:r>
          <m:t>N</m:t>
        </m:r>
        <m:r>
          <m:rPr>
            <m:sty m:val="p"/>
          </m:rPr>
          <m:t>=</m:t>
        </m:r>
        <m:r>
          <m:t>7.699</m:t>
        </m:r>
        <m:r>
          <m:t>.273</m:t>
        </m:r>
      </m:oMath>
      <w:r>
        <w:rPr>
          <w:rFonts w:ascii="Arial" w:hAnsi="Arial"/>
          <w:sz w:val="22"/>
        </w:rPr>
        <w:t xml:space="preserve">; 41.454 UPAs). A3 acrescenta o vínculo (formalidade, setor público, conta própria, doméstico), que é desfecho da própria discriminação: limite inferior. Todos os OR com</w:t>
      </w:r>
      <w:r>
        <w:rPr>
          <w:rFonts w:ascii="Arial" w:hAnsi="Arial"/>
          <w:sz w:val="22"/>
        </w:rPr>
        <w:t xml:space="preserve"> </w:t>
      </w:r>
      <m:oMath>
        <m:r>
          <m:t>p</m:t>
        </m:r>
        <m:r>
          <m:rPr>
            <m:sty m:val="p"/>
          </m:rPr>
          <m:t>&lt;</m:t>
        </m:r>
        <m:r>
          <m:t>0</m:t>
        </m:r>
        <m:r>
          <m:rPr>
            <m:sty m:val="p"/>
          </m:rPr>
          <m:t>,</m:t>
        </m:r>
        <m:r>
          <m:t>001</m:t>
        </m:r>
      </m:oMath>
      <w:r>
        <w:rPr>
          <w:rFonts w:ascii="Arial" w:hAnsi="Arial"/>
          <w:sz w:val="22"/>
        </w:rPr>
        <w:t xml:space="preserve">; com</w:t>
      </w:r>
      <w:r>
        <w:rPr>
          <w:rFonts w:ascii="Arial" w:hAnsi="Arial"/>
          <w:sz w:val="22"/>
        </w:rPr>
        <w:t xml:space="preserve"> </w:t>
      </w:r>
      <m:oMath>
        <m:r>
          <m:t>N</m:t>
        </m:r>
      </m:oMath>
      <w:r>
        <w:rPr>
          <w:rFonts w:ascii="Arial" w:hAnsi="Arial"/>
          <w:sz w:val="22"/>
        </w:rPr>
        <w:t xml:space="preserve"> </w:t>
      </w:r>
      <w:r>
        <w:rPr>
          <w:rFonts w:ascii="Arial" w:hAnsi="Arial"/>
          <w:sz w:val="22"/>
        </w:rPr>
        <w:t xml:space="preserve">desta ordem, a inferência relevante está nos IC e nos E-values.</w:t>
      </w:r>
    </w:p>
    <w:tbl>
      <w:tblPr>
        <w:tblStyle w:val="Table"/>
        <w:tblW w:type="auto" w:w="0"/>
        <w:tblLayout w:type="fixed"/>
        <w:tblLook w:firstRow="1" w:lastRow="0" w:firstColumn="0" w:lastColumn="0" w:noHBand="0" w:noVBand="0" w:val="0020"/>
        <w:tblCaption w:val="Tabela 7. GLMM logístico (lme4::glmer, intercepto aleatório de UPA e efeitos fixos de UF) — teto de vidro ocupacional e salarial. Odds ratio do coeficiente negro com IC 95%, efeito marginal médio (AME: diferença média de probabilidade predita, em pontos percentuais), ICC da UPA =\tau^2/(\tau^2+\pi^2/3) e E-value (VanderWeele; Ding, 2017). Coluna final: OR do logit com efeitos fixos de UF e erro-padrão agrupado por UPA (robustez). População completa da PEA com renda positiva (N = 7.699.273; 41.454 UPAs). A3 acrescenta o vínculo (formalidade, setor público, conta própria, doméstico), que é desfecho da própria discriminação: limite inferior. Todos os OR com p&lt;0{,}001; com N desta ordem, a inferência relevante está nos IC e nos E-values."/>
        <w:tblBorders>
          <w:top w:val="nil"/>
          <w:left w:val="nil"/>
          <w:bottom w:val="nil"/>
          <w:right w:val="nil"/>
          <w:insideH w:val="nil"/>
          <w:insideV w:val="nil"/>
        </w:tblBorders>
      </w:tblPr>
      <w:tblGrid>
        <w:gridCol w:w="1388"/>
        <w:gridCol w:w="2045"/>
        <w:gridCol w:w="1299"/>
        <w:gridCol w:w="812"/>
        <w:gridCol w:w="719"/>
        <w:gridCol w:w="905"/>
        <w:gridCol w:w="905"/>
        <w:gridCol w:w="998"/>
      </w:tblGrid>
      <w:tr>
        <w:trPr>
          <w:tblHeader w:val="on"/>
          <w:cantSplit/>
        </w:trPr>
        <w:tc>
          <w:tcPr>
            <w:tcW w:type="dxa" w:w="1388"/>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Desfecho</w:t>
            </w:r>
          </w:p>
        </w:tc>
        <w:tc>
          <w:tcPr>
            <w:tcW w:type="dxa" w:w="2045"/>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Modelo</w:t>
            </w:r>
          </w:p>
        </w:tc>
        <w:tc>
          <w:tcPr>
            <w:tcW w:type="dxa" w:w="1299"/>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OR (IC 95%)</w:t>
            </w:r>
          </w:p>
        </w:tc>
        <w:tc>
          <w:tcPr>
            <w:tcW w:type="dxa" w:w="812"/>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AME (p.p.)</w:t>
            </w:r>
          </w:p>
        </w:tc>
        <w:tc>
          <w:tcPr>
            <w:tcW w:type="dxa" w:w="719"/>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ICC</w:t>
            </w:r>
            <m:oMath>
              <m:sSub>
                <m:e>
                  <m:r>
                    <m:t>​</m:t>
                  </m:r>
                </m:e>
                <m:sub>
                  <m:r>
                    <m:rPr>
                      <m:nor/>
                      <m:sty m:val="p"/>
                    </m:rPr>
                    <m:t>UPA</m:t>
                  </m:r>
                </m:sub>
              </m:sSub>
            </m:oMath>
          </w:p>
        </w:tc>
        <w:tc>
          <w:tcPr>
            <w:tcW w:type="dxa" w:w="905"/>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E-value</w:t>
            </w:r>
          </w:p>
        </w:tc>
        <w:tc>
          <w:tcPr>
            <w:tcW w:type="dxa" w:w="905"/>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E-value (IC)</w:t>
            </w:r>
          </w:p>
        </w:tc>
        <w:tc>
          <w:tcPr>
            <w:tcW w:type="dxa" w:w="998"/>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OR logit-FE</w:t>
            </w:r>
          </w:p>
        </w:tc>
      </w:tr>
      <w:tr>
        <w:trPr>
          <w:cantSplit/>
        </w:trPr>
        <w:tc>
          <w:tcPr>
            <w:tcW w:type="dxa" w:w="1388"/>
          </w:tcPr>
          <w:p>
            <w:pPr>
              <w:pStyle w:val="Compact"/>
              <w:keepNext/>
              <w:spacing w:line="240" w:lineRule="auto" w:after="0"/>
              <w:ind w:firstLine="0"/>
              <w:jc w:val="left"/>
            </w:pPr>
            <w:r>
              <w:rPr>
                <w:rFonts w:ascii="Arial" w:hAnsi="Arial"/>
                <w:b w:val="0"/>
                <w:sz w:val="16"/>
              </w:rPr>
              <w:t xml:space="preserve">Cargo qualificado (CBO 1–4)</w:t>
            </w:r>
          </w:p>
        </w:tc>
        <w:tc>
          <w:tcPr>
            <w:tcW w:type="dxa" w:w="2045"/>
          </w:tcPr>
          <w:p>
            <w:pPr>
              <w:pStyle w:val="Compact"/>
              <w:keepNext/>
              <w:spacing w:line="240" w:lineRule="auto" w:after="0"/>
              <w:ind w:firstLine="0"/>
              <w:jc w:val="left"/>
            </w:pPr>
            <w:r>
              <w:rPr>
                <w:rFonts w:ascii="Arial" w:hAnsi="Arial"/>
                <w:b w:val="0"/>
                <w:sz w:val="16"/>
              </w:rPr>
              <w:t xml:space="preserve">A1 individual + UF</w:t>
            </w:r>
          </w:p>
        </w:tc>
        <w:tc>
          <w:tcPr>
            <w:tcW w:type="dxa" w:w="1299"/>
          </w:tcPr>
          <w:p>
            <w:pPr>
              <w:pStyle w:val="Compact"/>
              <w:keepNext/>
              <w:spacing w:line="240" w:lineRule="auto" w:after="0"/>
              <w:ind w:firstLine="0"/>
              <w:jc w:val="left"/>
            </w:pPr>
            <w:r>
              <w:rPr>
                <w:rFonts w:ascii="Arial" w:hAnsi="Arial"/>
                <w:b w:val="0"/>
                <w:sz w:val="16"/>
              </w:rPr>
              <w:t xml:space="preserve">0,805 [0,801; 0,809]</w:t>
            </w:r>
          </w:p>
        </w:tc>
        <w:tc>
          <w:tcPr>
            <w:tcW w:type="dxa" w:w="812"/>
          </w:tcPr>
          <w:p>
            <w:pPr>
              <w:pStyle w:val="Compact"/>
              <w:keepNext/>
              <w:spacing w:line="240" w:lineRule="auto" w:after="0"/>
              <w:ind w:firstLine="0"/>
              <w:jc w:val="right"/>
            </w:pPr>
            <w:r>
              <w:rPr>
                <w:rFonts w:ascii="Arial" w:hAnsi="Arial"/>
                <w:b w:val="0"/>
                <w:sz w:val="16"/>
              </w:rPr>
              <w:t xml:space="preserve">−2,75</w:t>
            </w:r>
          </w:p>
        </w:tc>
        <w:tc>
          <w:tcPr>
            <w:tcW w:type="dxa" w:w="719"/>
          </w:tcPr>
          <w:p>
            <w:pPr>
              <w:pStyle w:val="Compact"/>
              <w:keepNext/>
              <w:spacing w:line="240" w:lineRule="auto" w:after="0"/>
              <w:ind w:firstLine="0"/>
              <w:jc w:val="right"/>
            </w:pPr>
            <w:r>
              <w:rPr>
                <w:rFonts w:ascii="Arial" w:hAnsi="Arial"/>
                <w:b w:val="0"/>
                <w:sz w:val="16"/>
              </w:rPr>
              <w:t xml:space="preserve">0,087</w:t>
            </w:r>
          </w:p>
        </w:tc>
        <w:tc>
          <w:tcPr>
            <w:tcW w:type="dxa" w:w="905"/>
          </w:tcPr>
          <w:p>
            <w:pPr>
              <w:pStyle w:val="Compact"/>
              <w:keepNext/>
              <w:spacing w:line="240" w:lineRule="auto" w:after="0"/>
              <w:ind w:firstLine="0"/>
              <w:jc w:val="right"/>
            </w:pPr>
            <w:r>
              <w:rPr>
                <w:rFonts w:ascii="Arial" w:hAnsi="Arial"/>
                <w:b w:val="0"/>
                <w:sz w:val="16"/>
              </w:rPr>
              <w:t xml:space="preserve">1,47</w:t>
            </w:r>
          </w:p>
        </w:tc>
        <w:tc>
          <w:tcPr>
            <w:tcW w:type="dxa" w:w="905"/>
          </w:tcPr>
          <w:p>
            <w:pPr>
              <w:pStyle w:val="Compact"/>
              <w:keepNext/>
              <w:spacing w:line="240" w:lineRule="auto" w:after="0"/>
              <w:ind w:firstLine="0"/>
              <w:jc w:val="right"/>
            </w:pPr>
            <w:r>
              <w:rPr>
                <w:rFonts w:ascii="Arial" w:hAnsi="Arial"/>
                <w:b w:val="0"/>
                <w:sz w:val="16"/>
              </w:rPr>
              <w:t xml:space="preserve">1,47</w:t>
            </w:r>
          </w:p>
        </w:tc>
        <w:tc>
          <w:tcPr>
            <w:tcW w:type="dxa" w:w="998"/>
          </w:tcPr>
          <w:p>
            <w:pPr>
              <w:pStyle w:val="Compact"/>
              <w:keepNext/>
              <w:spacing w:line="240" w:lineRule="auto" w:after="0"/>
              <w:ind w:firstLine="0"/>
              <w:jc w:val="right"/>
            </w:pPr>
            <w:r>
              <w:rPr>
                <w:rFonts w:ascii="Arial" w:hAnsi="Arial"/>
                <w:b w:val="0"/>
                <w:sz w:val="16"/>
              </w:rPr>
              <w:t xml:space="preserve">0,728</w:t>
            </w:r>
          </w:p>
        </w:tc>
      </w:tr>
      <w:tr>
        <w:trPr>
          <w:cantSplit/>
        </w:trPr>
        <w:tc>
          <w:tcPr>
            <w:tcW w:type="dxa" w:w="1388"/>
          </w:tcPr>
          <w:p>
            <w:pPr>
              <w:pStyle w:val="Compact"/>
              <w:keepNext/>
              <w:spacing w:line="240" w:lineRule="auto" w:after="0"/>
              <w:ind w:firstLine="0"/>
              <w:jc w:val="left"/>
            </w:pPr>
          </w:p>
        </w:tc>
        <w:tc>
          <w:tcPr>
            <w:tcW w:type="dxa" w:w="2045"/>
          </w:tcPr>
          <w:p>
            <w:pPr>
              <w:pStyle w:val="Compact"/>
              <w:keepNext/>
              <w:spacing w:line="240" w:lineRule="auto" w:after="0"/>
              <w:ind w:firstLine="0"/>
              <w:jc w:val="left"/>
            </w:pPr>
            <w:r>
              <w:rPr>
                <w:rFonts w:ascii="Arial" w:hAnsi="Arial"/>
                <w:b w:val="0"/>
                <w:sz w:val="16"/>
              </w:rPr>
              <w:t xml:space="preserve">A2 + contexto do bairro</w:t>
            </w:r>
          </w:p>
        </w:tc>
        <w:tc>
          <w:tcPr>
            <w:tcW w:type="dxa" w:w="1299"/>
          </w:tcPr>
          <w:p>
            <w:pPr>
              <w:pStyle w:val="Compact"/>
              <w:keepNext/>
              <w:spacing w:line="240" w:lineRule="auto" w:after="0"/>
              <w:ind w:firstLine="0"/>
              <w:jc w:val="left"/>
            </w:pPr>
            <w:r>
              <w:rPr>
                <w:rFonts w:ascii="Arial" w:hAnsi="Arial"/>
                <w:b w:val="0"/>
                <w:sz w:val="16"/>
              </w:rPr>
              <w:t xml:space="preserve">0,814 [0,810; 0,818]</w:t>
            </w:r>
          </w:p>
        </w:tc>
        <w:tc>
          <w:tcPr>
            <w:tcW w:type="dxa" w:w="812"/>
          </w:tcPr>
          <w:p>
            <w:pPr>
              <w:pStyle w:val="Compact"/>
              <w:keepNext/>
              <w:spacing w:line="240" w:lineRule="auto" w:after="0"/>
              <w:ind w:firstLine="0"/>
              <w:jc w:val="right"/>
            </w:pPr>
            <w:r>
              <w:rPr>
                <w:rFonts w:ascii="Arial" w:hAnsi="Arial"/>
                <w:b w:val="0"/>
                <w:sz w:val="16"/>
              </w:rPr>
              <w:t xml:space="preserve">−2,60</w:t>
            </w:r>
          </w:p>
        </w:tc>
        <w:tc>
          <w:tcPr>
            <w:tcW w:type="dxa" w:w="719"/>
          </w:tcPr>
          <w:p>
            <w:pPr>
              <w:pStyle w:val="Compact"/>
              <w:keepNext/>
              <w:spacing w:line="240" w:lineRule="auto" w:after="0"/>
              <w:ind w:firstLine="0"/>
              <w:jc w:val="right"/>
            </w:pPr>
            <w:r>
              <w:rPr>
                <w:rFonts w:ascii="Arial" w:hAnsi="Arial"/>
                <w:b w:val="0"/>
                <w:sz w:val="16"/>
              </w:rPr>
              <w:t xml:space="preserve">0,054</w:t>
            </w:r>
          </w:p>
        </w:tc>
        <w:tc>
          <w:tcPr>
            <w:tcW w:type="dxa" w:w="905"/>
          </w:tcPr>
          <w:p>
            <w:pPr>
              <w:pStyle w:val="Compact"/>
              <w:keepNext/>
              <w:spacing w:line="240" w:lineRule="auto" w:after="0"/>
              <w:ind w:firstLine="0"/>
              <w:jc w:val="right"/>
            </w:pPr>
            <w:r>
              <w:rPr>
                <w:rFonts w:ascii="Arial" w:hAnsi="Arial"/>
                <w:b w:val="0"/>
                <w:sz w:val="16"/>
              </w:rPr>
              <w:t xml:space="preserve">1,46</w:t>
            </w:r>
          </w:p>
        </w:tc>
        <w:tc>
          <w:tcPr>
            <w:tcW w:type="dxa" w:w="905"/>
          </w:tcPr>
          <w:p>
            <w:pPr>
              <w:pStyle w:val="Compact"/>
              <w:keepNext/>
              <w:spacing w:line="240" w:lineRule="auto" w:after="0"/>
              <w:ind w:firstLine="0"/>
              <w:jc w:val="right"/>
            </w:pPr>
            <w:r>
              <w:rPr>
                <w:rFonts w:ascii="Arial" w:hAnsi="Arial"/>
                <w:b w:val="0"/>
                <w:sz w:val="16"/>
              </w:rPr>
              <w:t xml:space="preserve">1,45</w:t>
            </w:r>
          </w:p>
        </w:tc>
        <w:tc>
          <w:tcPr>
            <w:tcW w:type="dxa" w:w="998"/>
          </w:tcPr>
          <w:p>
            <w:pPr>
              <w:pStyle w:val="Compact"/>
              <w:keepNext/>
              <w:spacing w:line="240" w:lineRule="auto" w:after="0"/>
              <w:ind w:firstLine="0"/>
              <w:jc w:val="right"/>
            </w:pPr>
            <w:r>
              <w:rPr>
                <w:rFonts w:ascii="Arial" w:hAnsi="Arial"/>
                <w:b w:val="0"/>
                <w:sz w:val="16"/>
              </w:rPr>
              <w:t xml:space="preserve">0,796</w:t>
            </w:r>
          </w:p>
        </w:tc>
      </w:tr>
      <w:tr>
        <w:trPr>
          <w:cantSplit/>
        </w:trPr>
        <w:tc>
          <w:tcPr>
            <w:tcW w:type="dxa" w:w="1388"/>
          </w:tcPr>
          <w:p>
            <w:pPr>
              <w:pStyle w:val="Compact"/>
              <w:keepNext/>
              <w:spacing w:line="240" w:lineRule="auto" w:after="0"/>
              <w:ind w:firstLine="0"/>
              <w:jc w:val="left"/>
            </w:pPr>
          </w:p>
        </w:tc>
        <w:tc>
          <w:tcPr>
            <w:tcW w:type="dxa" w:w="2045"/>
          </w:tcPr>
          <w:p>
            <w:pPr>
              <w:pStyle w:val="Compact"/>
              <w:keepNext/>
              <w:spacing w:line="240" w:lineRule="auto" w:after="0"/>
              <w:ind w:firstLine="0"/>
              <w:jc w:val="left"/>
            </w:pPr>
            <w:r>
              <w:rPr>
                <w:rFonts w:ascii="Arial" w:hAnsi="Arial"/>
                <w:b w:val="0"/>
                <w:sz w:val="16"/>
              </w:rPr>
              <w:t xml:space="preserve">A3 + vínculo (limite inf.)</w:t>
            </w:r>
          </w:p>
        </w:tc>
        <w:tc>
          <w:tcPr>
            <w:tcW w:type="dxa" w:w="1299"/>
          </w:tcPr>
          <w:p>
            <w:pPr>
              <w:pStyle w:val="Compact"/>
              <w:keepNext/>
              <w:spacing w:line="240" w:lineRule="auto" w:after="0"/>
              <w:ind w:firstLine="0"/>
              <w:jc w:val="left"/>
            </w:pPr>
            <w:r>
              <w:rPr>
                <w:rFonts w:ascii="Arial" w:hAnsi="Arial"/>
                <w:b w:val="0"/>
                <w:sz w:val="16"/>
              </w:rPr>
              <w:t xml:space="preserve">0,791 [0,787; 0,794]</w:t>
            </w:r>
          </w:p>
        </w:tc>
        <w:tc>
          <w:tcPr>
            <w:tcW w:type="dxa" w:w="812"/>
          </w:tcPr>
          <w:p>
            <w:pPr>
              <w:pStyle w:val="Compact"/>
              <w:keepNext/>
              <w:spacing w:line="240" w:lineRule="auto" w:after="0"/>
              <w:ind w:firstLine="0"/>
              <w:jc w:val="right"/>
            </w:pPr>
            <w:r>
              <w:rPr>
                <w:rFonts w:ascii="Arial" w:hAnsi="Arial"/>
                <w:b w:val="0"/>
                <w:sz w:val="16"/>
              </w:rPr>
              <w:t xml:space="preserve">−2,66</w:t>
            </w:r>
          </w:p>
        </w:tc>
        <w:tc>
          <w:tcPr>
            <w:tcW w:type="dxa" w:w="719"/>
          </w:tcPr>
          <w:p>
            <w:pPr>
              <w:pStyle w:val="Compact"/>
              <w:keepNext/>
              <w:spacing w:line="240" w:lineRule="auto" w:after="0"/>
              <w:ind w:firstLine="0"/>
              <w:jc w:val="right"/>
            </w:pPr>
            <w:r>
              <w:rPr>
                <w:rFonts w:ascii="Arial" w:hAnsi="Arial"/>
                <w:b w:val="0"/>
                <w:sz w:val="16"/>
              </w:rPr>
              <w:t xml:space="preserve">0,054</w:t>
            </w:r>
          </w:p>
        </w:tc>
        <w:tc>
          <w:tcPr>
            <w:tcW w:type="dxa" w:w="905"/>
          </w:tcPr>
          <w:p>
            <w:pPr>
              <w:pStyle w:val="Compact"/>
              <w:keepNext/>
              <w:spacing w:line="240" w:lineRule="auto" w:after="0"/>
              <w:ind w:firstLine="0"/>
              <w:jc w:val="right"/>
            </w:pPr>
            <w:r>
              <w:rPr>
                <w:rFonts w:ascii="Arial" w:hAnsi="Arial"/>
                <w:b w:val="0"/>
                <w:sz w:val="16"/>
              </w:rPr>
              <w:t xml:space="preserve">1,50</w:t>
            </w:r>
          </w:p>
        </w:tc>
        <w:tc>
          <w:tcPr>
            <w:tcW w:type="dxa" w:w="905"/>
          </w:tcPr>
          <w:p>
            <w:pPr>
              <w:pStyle w:val="Compact"/>
              <w:keepNext/>
              <w:spacing w:line="240" w:lineRule="auto" w:after="0"/>
              <w:ind w:firstLine="0"/>
              <w:jc w:val="right"/>
            </w:pPr>
            <w:r>
              <w:rPr>
                <w:rFonts w:ascii="Arial" w:hAnsi="Arial"/>
                <w:b w:val="0"/>
                <w:sz w:val="16"/>
              </w:rPr>
              <w:t xml:space="preserve">1,49</w:t>
            </w:r>
          </w:p>
        </w:tc>
        <w:tc>
          <w:tcPr>
            <w:tcW w:type="dxa" w:w="998"/>
          </w:tcPr>
          <w:p>
            <w:pPr>
              <w:pStyle w:val="Compact"/>
              <w:keepNext/>
              <w:spacing w:line="240" w:lineRule="auto" w:after="0"/>
              <w:ind w:firstLine="0"/>
              <w:jc w:val="right"/>
            </w:pPr>
            <w:r>
              <w:rPr>
                <w:rFonts w:ascii="Arial" w:hAnsi="Arial"/>
                <w:b w:val="0"/>
                <w:sz w:val="16"/>
              </w:rPr>
              <w:t xml:space="preserve">0,796</w:t>
            </w:r>
          </w:p>
        </w:tc>
      </w:tr>
      <w:tr>
        <w:trPr>
          <w:cantSplit/>
        </w:trPr>
        <w:tc>
          <w:tcPr>
            <w:tcW w:type="dxa" w:w="1388"/>
          </w:tcPr>
          <w:p>
            <w:pPr>
              <w:pStyle w:val="Compact"/>
              <w:keepNext/>
              <w:spacing w:line="240" w:lineRule="auto" w:after="0"/>
              <w:ind w:firstLine="0"/>
              <w:jc w:val="left"/>
            </w:pPr>
          </w:p>
        </w:tc>
        <w:tc>
          <w:tcPr>
            <w:tcW w:type="dxa" w:w="2045"/>
          </w:tcPr>
          <w:p>
            <w:pPr>
              <w:pStyle w:val="Compact"/>
              <w:keepNext/>
              <w:spacing w:line="240" w:lineRule="auto" w:after="0"/>
              <w:ind w:firstLine="0"/>
              <w:jc w:val="left"/>
            </w:pPr>
            <w:r>
              <w:rPr>
                <w:rFonts w:ascii="Arial" w:hAnsi="Arial"/>
                <w:b w:val="0"/>
                <w:sz w:val="16"/>
              </w:rPr>
              <w:t xml:space="preserve">A4 + negro×credencial</w:t>
            </w:r>
          </w:p>
        </w:tc>
        <w:tc>
          <w:tcPr>
            <w:tcW w:type="dxa" w:w="1299"/>
          </w:tcPr>
          <w:p>
            <w:pPr>
              <w:pStyle w:val="Compact"/>
              <w:keepNext/>
              <w:spacing w:line="240" w:lineRule="auto" w:after="0"/>
              <w:ind w:firstLine="0"/>
              <w:jc w:val="left"/>
            </w:pPr>
            <w:r>
              <w:rPr>
                <w:rFonts w:ascii="Arial" w:hAnsi="Arial"/>
                <w:b w:val="0"/>
                <w:sz w:val="16"/>
              </w:rPr>
              <w:t xml:space="preserve">0,785 [0,781; 0,789]</w:t>
            </w:r>
          </w:p>
        </w:tc>
        <w:tc>
          <w:tcPr>
            <w:tcW w:type="dxa" w:w="812"/>
          </w:tcPr>
          <w:p>
            <w:pPr>
              <w:pStyle w:val="Compact"/>
              <w:keepNext/>
              <w:spacing w:line="240" w:lineRule="auto" w:after="0"/>
              <w:ind w:firstLine="0"/>
              <w:jc w:val="right"/>
            </w:pPr>
            <w:r>
              <w:rPr>
                <w:rFonts w:ascii="Arial" w:hAnsi="Arial"/>
                <w:b w:val="0"/>
                <w:sz w:val="16"/>
              </w:rPr>
              <w:t xml:space="preserve">−2,66</w:t>
            </w:r>
          </w:p>
        </w:tc>
        <w:tc>
          <w:tcPr>
            <w:tcW w:type="dxa" w:w="719"/>
          </w:tcPr>
          <w:p>
            <w:pPr>
              <w:pStyle w:val="Compact"/>
              <w:keepNext/>
              <w:spacing w:line="240" w:lineRule="auto" w:after="0"/>
              <w:ind w:firstLine="0"/>
              <w:jc w:val="right"/>
            </w:pPr>
            <w:r>
              <w:rPr>
                <w:rFonts w:ascii="Arial" w:hAnsi="Arial"/>
                <w:b w:val="0"/>
                <w:sz w:val="16"/>
              </w:rPr>
              <w:t xml:space="preserve">0,054</w:t>
            </w:r>
          </w:p>
        </w:tc>
        <w:tc>
          <w:tcPr>
            <w:tcW w:type="dxa" w:w="905"/>
          </w:tcPr>
          <w:p>
            <w:pPr>
              <w:pStyle w:val="Compact"/>
              <w:keepNext/>
              <w:spacing w:line="240" w:lineRule="auto" w:after="0"/>
              <w:ind w:firstLine="0"/>
              <w:jc w:val="right"/>
            </w:pPr>
            <w:r>
              <w:rPr>
                <w:rFonts w:ascii="Arial" w:hAnsi="Arial"/>
                <w:b w:val="0"/>
                <w:sz w:val="16"/>
              </w:rPr>
              <w:t xml:space="preserve">1,51</w:t>
            </w:r>
          </w:p>
        </w:tc>
        <w:tc>
          <w:tcPr>
            <w:tcW w:type="dxa" w:w="905"/>
          </w:tcPr>
          <w:p>
            <w:pPr>
              <w:pStyle w:val="Compact"/>
              <w:keepNext/>
              <w:spacing w:line="240" w:lineRule="auto" w:after="0"/>
              <w:ind w:firstLine="0"/>
              <w:jc w:val="right"/>
            </w:pPr>
            <w:r>
              <w:rPr>
                <w:rFonts w:ascii="Arial" w:hAnsi="Arial"/>
                <w:b w:val="0"/>
                <w:sz w:val="16"/>
              </w:rPr>
              <w:t xml:space="preserve">1,50</w:t>
            </w:r>
          </w:p>
        </w:tc>
        <w:tc>
          <w:tcPr>
            <w:tcW w:type="dxa" w:w="998"/>
          </w:tcPr>
          <w:p>
            <w:pPr>
              <w:pStyle w:val="Compact"/>
              <w:keepNext/>
              <w:spacing w:line="240" w:lineRule="auto" w:after="0"/>
              <w:ind w:firstLine="0"/>
              <w:jc w:val="right"/>
            </w:pPr>
            <w:r>
              <w:rPr>
                <w:rFonts w:ascii="Arial" w:hAnsi="Arial"/>
                <w:b w:val="0"/>
                <w:sz w:val="16"/>
              </w:rPr>
              <w:t xml:space="preserve">0,792</w:t>
            </w:r>
          </w:p>
        </w:tc>
      </w:tr>
      <w:tr>
        <w:trPr>
          <w:cantSplit/>
        </w:trPr>
        <w:tc>
          <w:tcPr>
            <w:tcW w:type="dxa" w:w="1388"/>
          </w:tcPr>
          <w:p>
            <w:pPr>
              <w:pStyle w:val="Compact"/>
              <w:keepNext/>
              <w:spacing w:line="240" w:lineRule="auto" w:after="0"/>
              <w:ind w:firstLine="0"/>
              <w:jc w:val="left"/>
            </w:pPr>
            <w:r>
              <w:rPr>
                <w:rFonts w:ascii="Arial" w:hAnsi="Arial"/>
                <w:b w:val="0"/>
                <w:sz w:val="16"/>
              </w:rPr>
              <w:t xml:space="preserve">Top 20% de renda</w:t>
            </w:r>
          </w:p>
        </w:tc>
        <w:tc>
          <w:tcPr>
            <w:tcW w:type="dxa" w:w="2045"/>
          </w:tcPr>
          <w:p>
            <w:pPr>
              <w:pStyle w:val="Compact"/>
              <w:keepNext/>
              <w:spacing w:line="240" w:lineRule="auto" w:after="0"/>
              <w:ind w:firstLine="0"/>
              <w:jc w:val="left"/>
            </w:pPr>
            <w:r>
              <w:rPr>
                <w:rFonts w:ascii="Arial" w:hAnsi="Arial"/>
                <w:b w:val="0"/>
                <w:sz w:val="16"/>
              </w:rPr>
              <w:t xml:space="preserve">A1 individual + UF</w:t>
            </w:r>
          </w:p>
        </w:tc>
        <w:tc>
          <w:tcPr>
            <w:tcW w:type="dxa" w:w="1299"/>
          </w:tcPr>
          <w:p>
            <w:pPr>
              <w:pStyle w:val="Compact"/>
              <w:keepNext/>
              <w:spacing w:line="240" w:lineRule="auto" w:after="0"/>
              <w:ind w:firstLine="0"/>
              <w:jc w:val="left"/>
            </w:pPr>
            <w:r>
              <w:rPr>
                <w:rFonts w:ascii="Arial" w:hAnsi="Arial"/>
                <w:b w:val="0"/>
                <w:sz w:val="16"/>
              </w:rPr>
              <w:t xml:space="preserve">0,759 [0,755; 0,763]</w:t>
            </w:r>
          </w:p>
        </w:tc>
        <w:tc>
          <w:tcPr>
            <w:tcW w:type="dxa" w:w="812"/>
          </w:tcPr>
          <w:p>
            <w:pPr>
              <w:pStyle w:val="Compact"/>
              <w:keepNext/>
              <w:spacing w:line="240" w:lineRule="auto" w:after="0"/>
              <w:ind w:firstLine="0"/>
              <w:jc w:val="right"/>
            </w:pPr>
            <w:r>
              <w:rPr>
                <w:rFonts w:ascii="Arial" w:hAnsi="Arial"/>
                <w:b w:val="0"/>
                <w:sz w:val="16"/>
              </w:rPr>
              <w:t xml:space="preserve">−2,91</w:t>
            </w:r>
          </w:p>
        </w:tc>
        <w:tc>
          <w:tcPr>
            <w:tcW w:type="dxa" w:w="719"/>
          </w:tcPr>
          <w:p>
            <w:pPr>
              <w:pStyle w:val="Compact"/>
              <w:keepNext/>
              <w:spacing w:line="240" w:lineRule="auto" w:after="0"/>
              <w:ind w:firstLine="0"/>
              <w:jc w:val="right"/>
            </w:pPr>
            <w:r>
              <w:rPr>
                <w:rFonts w:ascii="Arial" w:hAnsi="Arial"/>
                <w:b w:val="0"/>
                <w:sz w:val="16"/>
              </w:rPr>
              <w:t xml:space="preserve">0,159</w:t>
            </w:r>
          </w:p>
        </w:tc>
        <w:tc>
          <w:tcPr>
            <w:tcW w:type="dxa" w:w="905"/>
          </w:tcPr>
          <w:p>
            <w:pPr>
              <w:pStyle w:val="Compact"/>
              <w:keepNext/>
              <w:spacing w:line="240" w:lineRule="auto" w:after="0"/>
              <w:ind w:firstLine="0"/>
              <w:jc w:val="right"/>
            </w:pPr>
            <w:r>
              <w:rPr>
                <w:rFonts w:ascii="Arial" w:hAnsi="Arial"/>
                <w:b w:val="0"/>
                <w:sz w:val="16"/>
              </w:rPr>
              <w:t xml:space="preserve">1,56</w:t>
            </w:r>
          </w:p>
        </w:tc>
        <w:tc>
          <w:tcPr>
            <w:tcW w:type="dxa" w:w="905"/>
          </w:tcPr>
          <w:p>
            <w:pPr>
              <w:pStyle w:val="Compact"/>
              <w:keepNext/>
              <w:spacing w:line="240" w:lineRule="auto" w:after="0"/>
              <w:ind w:firstLine="0"/>
              <w:jc w:val="right"/>
            </w:pPr>
            <w:r>
              <w:rPr>
                <w:rFonts w:ascii="Arial" w:hAnsi="Arial"/>
                <w:b w:val="0"/>
                <w:sz w:val="16"/>
              </w:rPr>
              <w:t xml:space="preserve">1,55</w:t>
            </w:r>
          </w:p>
        </w:tc>
        <w:tc>
          <w:tcPr>
            <w:tcW w:type="dxa" w:w="998"/>
          </w:tcPr>
          <w:p>
            <w:pPr>
              <w:pStyle w:val="Compact"/>
              <w:keepNext/>
              <w:spacing w:line="240" w:lineRule="auto" w:after="0"/>
              <w:ind w:firstLine="0"/>
              <w:jc w:val="right"/>
            </w:pPr>
            <w:r>
              <w:rPr>
                <w:rFonts w:ascii="Arial" w:hAnsi="Arial"/>
                <w:b w:val="0"/>
                <w:sz w:val="16"/>
              </w:rPr>
              <w:t xml:space="preserve">0,638</w:t>
            </w:r>
          </w:p>
        </w:tc>
      </w:tr>
      <w:tr>
        <w:trPr>
          <w:cantSplit/>
        </w:trPr>
        <w:tc>
          <w:tcPr>
            <w:tcW w:type="dxa" w:w="1388"/>
          </w:tcPr>
          <w:p>
            <w:pPr>
              <w:pStyle w:val="Compact"/>
              <w:keepNext/>
              <w:spacing w:line="240" w:lineRule="auto" w:after="0"/>
              <w:ind w:firstLine="0"/>
              <w:jc w:val="left"/>
            </w:pPr>
          </w:p>
        </w:tc>
        <w:tc>
          <w:tcPr>
            <w:tcW w:type="dxa" w:w="2045"/>
          </w:tcPr>
          <w:p>
            <w:pPr>
              <w:pStyle w:val="Compact"/>
              <w:keepNext/>
              <w:spacing w:line="240" w:lineRule="auto" w:after="0"/>
              <w:ind w:firstLine="0"/>
              <w:jc w:val="left"/>
            </w:pPr>
            <w:r>
              <w:rPr>
                <w:rFonts w:ascii="Arial" w:hAnsi="Arial"/>
                <w:b w:val="0"/>
                <w:sz w:val="16"/>
              </w:rPr>
              <w:t xml:space="preserve">A2 + contexto do bairro</w:t>
            </w:r>
          </w:p>
        </w:tc>
        <w:tc>
          <w:tcPr>
            <w:tcW w:type="dxa" w:w="1299"/>
          </w:tcPr>
          <w:p>
            <w:pPr>
              <w:pStyle w:val="Compact"/>
              <w:keepNext/>
              <w:spacing w:line="240" w:lineRule="auto" w:after="0"/>
              <w:ind w:firstLine="0"/>
              <w:jc w:val="left"/>
            </w:pPr>
            <w:r>
              <w:rPr>
                <w:rFonts w:ascii="Arial" w:hAnsi="Arial"/>
                <w:b w:val="0"/>
                <w:sz w:val="16"/>
              </w:rPr>
              <w:t xml:space="preserve">0,769 [0,765; 0,773]</w:t>
            </w:r>
          </w:p>
        </w:tc>
        <w:tc>
          <w:tcPr>
            <w:tcW w:type="dxa" w:w="812"/>
          </w:tcPr>
          <w:p>
            <w:pPr>
              <w:pStyle w:val="Compact"/>
              <w:keepNext/>
              <w:spacing w:line="240" w:lineRule="auto" w:after="0"/>
              <w:ind w:firstLine="0"/>
              <w:jc w:val="right"/>
            </w:pPr>
            <w:r>
              <w:rPr>
                <w:rFonts w:ascii="Arial" w:hAnsi="Arial"/>
                <w:b w:val="0"/>
                <w:sz w:val="16"/>
              </w:rPr>
              <w:t xml:space="preserve">−2,77</w:t>
            </w:r>
          </w:p>
        </w:tc>
        <w:tc>
          <w:tcPr>
            <w:tcW w:type="dxa" w:w="719"/>
          </w:tcPr>
          <w:p>
            <w:pPr>
              <w:pStyle w:val="Compact"/>
              <w:keepNext/>
              <w:spacing w:line="240" w:lineRule="auto" w:after="0"/>
              <w:ind w:firstLine="0"/>
              <w:jc w:val="right"/>
            </w:pPr>
            <w:r>
              <w:rPr>
                <w:rFonts w:ascii="Arial" w:hAnsi="Arial"/>
                <w:b w:val="0"/>
                <w:sz w:val="16"/>
              </w:rPr>
              <w:t xml:space="preserve">0,083</w:t>
            </w:r>
          </w:p>
        </w:tc>
        <w:tc>
          <w:tcPr>
            <w:tcW w:type="dxa" w:w="905"/>
          </w:tcPr>
          <w:p>
            <w:pPr>
              <w:pStyle w:val="Compact"/>
              <w:keepNext/>
              <w:spacing w:line="240" w:lineRule="auto" w:after="0"/>
              <w:ind w:firstLine="0"/>
              <w:jc w:val="right"/>
            </w:pPr>
            <w:r>
              <w:rPr>
                <w:rFonts w:ascii="Arial" w:hAnsi="Arial"/>
                <w:b w:val="0"/>
                <w:sz w:val="16"/>
              </w:rPr>
              <w:t xml:space="preserve">1,54</w:t>
            </w:r>
          </w:p>
        </w:tc>
        <w:tc>
          <w:tcPr>
            <w:tcW w:type="dxa" w:w="905"/>
          </w:tcPr>
          <w:p>
            <w:pPr>
              <w:pStyle w:val="Compact"/>
              <w:keepNext/>
              <w:spacing w:line="240" w:lineRule="auto" w:after="0"/>
              <w:ind w:firstLine="0"/>
              <w:jc w:val="right"/>
            </w:pPr>
            <w:r>
              <w:rPr>
                <w:rFonts w:ascii="Arial" w:hAnsi="Arial"/>
                <w:b w:val="0"/>
                <w:sz w:val="16"/>
              </w:rPr>
              <w:t xml:space="preserve">1,53</w:t>
            </w:r>
          </w:p>
        </w:tc>
        <w:tc>
          <w:tcPr>
            <w:tcW w:type="dxa" w:w="998"/>
          </w:tcPr>
          <w:p>
            <w:pPr>
              <w:pStyle w:val="Compact"/>
              <w:keepNext/>
              <w:spacing w:line="240" w:lineRule="auto" w:after="0"/>
              <w:ind w:firstLine="0"/>
              <w:jc w:val="right"/>
            </w:pPr>
            <w:r>
              <w:rPr>
                <w:rFonts w:ascii="Arial" w:hAnsi="Arial"/>
                <w:b w:val="0"/>
                <w:sz w:val="16"/>
              </w:rPr>
              <w:t xml:space="preserve">0,756</w:t>
            </w:r>
          </w:p>
        </w:tc>
      </w:tr>
      <w:tr>
        <w:trPr>
          <w:cantSplit/>
        </w:trPr>
        <w:tc>
          <w:tcPr>
            <w:tcW w:type="dxa" w:w="1388"/>
          </w:tcPr>
          <w:p>
            <w:pPr>
              <w:pStyle w:val="Compact"/>
              <w:keepNext/>
              <w:spacing w:line="240" w:lineRule="auto" w:after="0"/>
              <w:ind w:firstLine="0"/>
              <w:jc w:val="left"/>
            </w:pPr>
          </w:p>
        </w:tc>
        <w:tc>
          <w:tcPr>
            <w:tcW w:type="dxa" w:w="2045"/>
          </w:tcPr>
          <w:p>
            <w:pPr>
              <w:pStyle w:val="Compact"/>
              <w:keepNext/>
              <w:spacing w:line="240" w:lineRule="auto" w:after="0"/>
              <w:ind w:firstLine="0"/>
              <w:jc w:val="left"/>
            </w:pPr>
            <w:r>
              <w:rPr>
                <w:rFonts w:ascii="Arial" w:hAnsi="Arial"/>
                <w:b w:val="0"/>
                <w:sz w:val="16"/>
              </w:rPr>
              <w:t xml:space="preserve">A3 + vínculo (limite inf.)</w:t>
            </w:r>
          </w:p>
        </w:tc>
        <w:tc>
          <w:tcPr>
            <w:tcW w:type="dxa" w:w="1299"/>
          </w:tcPr>
          <w:p>
            <w:pPr>
              <w:pStyle w:val="Compact"/>
              <w:keepNext/>
              <w:spacing w:line="240" w:lineRule="auto" w:after="0"/>
              <w:ind w:firstLine="0"/>
              <w:jc w:val="left"/>
            </w:pPr>
            <w:r>
              <w:rPr>
                <w:rFonts w:ascii="Arial" w:hAnsi="Arial"/>
                <w:b w:val="0"/>
                <w:sz w:val="16"/>
              </w:rPr>
              <w:t xml:space="preserve">0,755 [0,751; 0,759]</w:t>
            </w:r>
          </w:p>
        </w:tc>
        <w:tc>
          <w:tcPr>
            <w:tcW w:type="dxa" w:w="812"/>
          </w:tcPr>
          <w:p>
            <w:pPr>
              <w:pStyle w:val="Compact"/>
              <w:keepNext/>
              <w:spacing w:line="240" w:lineRule="auto" w:after="0"/>
              <w:ind w:firstLine="0"/>
              <w:jc w:val="right"/>
            </w:pPr>
            <w:r>
              <w:rPr>
                <w:rFonts w:ascii="Arial" w:hAnsi="Arial"/>
                <w:b w:val="0"/>
                <w:sz w:val="16"/>
              </w:rPr>
              <w:t xml:space="preserve">−2,80</w:t>
            </w:r>
          </w:p>
        </w:tc>
        <w:tc>
          <w:tcPr>
            <w:tcW w:type="dxa" w:w="719"/>
          </w:tcPr>
          <w:p>
            <w:pPr>
              <w:pStyle w:val="Compact"/>
              <w:keepNext/>
              <w:spacing w:line="240" w:lineRule="auto" w:after="0"/>
              <w:ind w:firstLine="0"/>
              <w:jc w:val="right"/>
            </w:pPr>
            <w:r>
              <w:rPr>
                <w:rFonts w:ascii="Arial" w:hAnsi="Arial"/>
                <w:b w:val="0"/>
                <w:sz w:val="16"/>
              </w:rPr>
              <w:t xml:space="preserve">0,084</w:t>
            </w:r>
          </w:p>
        </w:tc>
        <w:tc>
          <w:tcPr>
            <w:tcW w:type="dxa" w:w="905"/>
          </w:tcPr>
          <w:p>
            <w:pPr>
              <w:pStyle w:val="Compact"/>
              <w:keepNext/>
              <w:spacing w:line="240" w:lineRule="auto" w:after="0"/>
              <w:ind w:firstLine="0"/>
              <w:jc w:val="right"/>
            </w:pPr>
            <w:r>
              <w:rPr>
                <w:rFonts w:ascii="Arial" w:hAnsi="Arial"/>
                <w:b w:val="0"/>
                <w:sz w:val="16"/>
              </w:rPr>
              <w:t xml:space="preserve">1,57</w:t>
            </w:r>
          </w:p>
        </w:tc>
        <w:tc>
          <w:tcPr>
            <w:tcW w:type="dxa" w:w="905"/>
          </w:tcPr>
          <w:p>
            <w:pPr>
              <w:pStyle w:val="Compact"/>
              <w:keepNext/>
              <w:spacing w:line="240" w:lineRule="auto" w:after="0"/>
              <w:ind w:firstLine="0"/>
              <w:jc w:val="right"/>
            </w:pPr>
            <w:r>
              <w:rPr>
                <w:rFonts w:ascii="Arial" w:hAnsi="Arial"/>
                <w:b w:val="0"/>
                <w:sz w:val="16"/>
              </w:rPr>
              <w:t xml:space="preserve">1,56</w:t>
            </w:r>
          </w:p>
        </w:tc>
        <w:tc>
          <w:tcPr>
            <w:tcW w:type="dxa" w:w="998"/>
          </w:tcPr>
          <w:p>
            <w:pPr>
              <w:pStyle w:val="Compact"/>
              <w:keepNext/>
              <w:spacing w:line="240" w:lineRule="auto" w:after="0"/>
              <w:ind w:firstLine="0"/>
              <w:jc w:val="right"/>
            </w:pPr>
            <w:r>
              <w:rPr>
                <w:rFonts w:ascii="Arial" w:hAnsi="Arial"/>
                <w:b w:val="0"/>
                <w:sz w:val="16"/>
              </w:rPr>
              <w:t xml:space="preserve">0,756</w:t>
            </w:r>
          </w:p>
        </w:tc>
      </w:tr>
      <w:tr>
        <w:trPr>
          <w:cantSplit/>
        </w:trPr>
        <w:tc>
          <w:tcPr>
            <w:tcW w:type="dxa" w:w="1388"/>
          </w:tcPr>
          <w:p>
            <w:pPr>
              <w:pStyle w:val="Compact"/>
              <w:keepNext/>
              <w:spacing w:line="240" w:lineRule="auto" w:after="0"/>
              <w:ind w:firstLine="0"/>
              <w:jc w:val="left"/>
            </w:pPr>
          </w:p>
        </w:tc>
        <w:tc>
          <w:tcPr>
            <w:tcW w:type="dxa" w:w="2045"/>
          </w:tcPr>
          <w:p>
            <w:pPr>
              <w:pStyle w:val="Compact"/>
              <w:keepNext/>
              <w:spacing w:line="240" w:lineRule="auto" w:after="0"/>
              <w:ind w:firstLine="0"/>
              <w:jc w:val="left"/>
            </w:pPr>
            <w:r>
              <w:rPr>
                <w:rFonts w:ascii="Arial" w:hAnsi="Arial"/>
                <w:b w:val="0"/>
                <w:sz w:val="16"/>
              </w:rPr>
              <w:t xml:space="preserve">A4 + negro×credencial</w:t>
            </w:r>
          </w:p>
        </w:tc>
        <w:tc>
          <w:tcPr>
            <w:tcW w:type="dxa" w:w="1299"/>
          </w:tcPr>
          <w:p>
            <w:pPr>
              <w:pStyle w:val="Compact"/>
              <w:keepNext/>
              <w:spacing w:line="240" w:lineRule="auto" w:after="0"/>
              <w:ind w:firstLine="0"/>
              <w:jc w:val="left"/>
            </w:pPr>
            <w:r>
              <w:rPr>
                <w:rFonts w:ascii="Arial" w:hAnsi="Arial"/>
                <w:b w:val="0"/>
                <w:sz w:val="16"/>
              </w:rPr>
              <w:t xml:space="preserve">0,719 [0,714; 0,723]</w:t>
            </w:r>
          </w:p>
        </w:tc>
        <w:tc>
          <w:tcPr>
            <w:tcW w:type="dxa" w:w="812"/>
          </w:tcPr>
          <w:p>
            <w:pPr>
              <w:pStyle w:val="Compact"/>
              <w:keepNext/>
              <w:spacing w:line="240" w:lineRule="auto" w:after="0"/>
              <w:ind w:firstLine="0"/>
              <w:jc w:val="right"/>
            </w:pPr>
            <w:r>
              <w:rPr>
                <w:rFonts w:ascii="Arial" w:hAnsi="Arial"/>
                <w:b w:val="0"/>
                <w:sz w:val="16"/>
              </w:rPr>
              <w:t xml:space="preserve">−2,79</w:t>
            </w:r>
          </w:p>
        </w:tc>
        <w:tc>
          <w:tcPr>
            <w:tcW w:type="dxa" w:w="719"/>
          </w:tcPr>
          <w:p>
            <w:pPr>
              <w:pStyle w:val="Compact"/>
              <w:keepNext/>
              <w:spacing w:line="240" w:lineRule="auto" w:after="0"/>
              <w:ind w:firstLine="0"/>
              <w:jc w:val="right"/>
            </w:pPr>
            <w:r>
              <w:rPr>
                <w:rFonts w:ascii="Arial" w:hAnsi="Arial"/>
                <w:b w:val="0"/>
                <w:sz w:val="16"/>
              </w:rPr>
              <w:t xml:space="preserve">0,084</w:t>
            </w:r>
          </w:p>
        </w:tc>
        <w:tc>
          <w:tcPr>
            <w:tcW w:type="dxa" w:w="905"/>
          </w:tcPr>
          <w:p>
            <w:pPr>
              <w:pStyle w:val="Compact"/>
              <w:keepNext/>
              <w:spacing w:line="240" w:lineRule="auto" w:after="0"/>
              <w:ind w:firstLine="0"/>
              <w:jc w:val="right"/>
            </w:pPr>
            <w:r>
              <w:rPr>
                <w:rFonts w:ascii="Arial" w:hAnsi="Arial"/>
                <w:b w:val="0"/>
                <w:sz w:val="16"/>
              </w:rPr>
              <w:t xml:space="preserve">1,64</w:t>
            </w:r>
          </w:p>
        </w:tc>
        <w:tc>
          <w:tcPr>
            <w:tcW w:type="dxa" w:w="905"/>
          </w:tcPr>
          <w:p>
            <w:pPr>
              <w:pStyle w:val="Compact"/>
              <w:keepNext/>
              <w:spacing w:line="240" w:lineRule="auto" w:after="0"/>
              <w:ind w:firstLine="0"/>
              <w:jc w:val="right"/>
            </w:pPr>
            <w:r>
              <w:rPr>
                <w:rFonts w:ascii="Arial" w:hAnsi="Arial"/>
                <w:b w:val="0"/>
                <w:sz w:val="16"/>
              </w:rPr>
              <w:t xml:space="preserve">1,63</w:t>
            </w:r>
          </w:p>
        </w:tc>
        <w:tc>
          <w:tcPr>
            <w:tcW w:type="dxa" w:w="998"/>
          </w:tcPr>
          <w:p>
            <w:pPr>
              <w:pStyle w:val="Compact"/>
              <w:keepNext/>
              <w:spacing w:line="240" w:lineRule="auto" w:after="0"/>
              <w:ind w:firstLine="0"/>
              <w:jc w:val="right"/>
            </w:pPr>
            <w:r>
              <w:rPr>
                <w:rFonts w:ascii="Arial" w:hAnsi="Arial"/>
                <w:b w:val="0"/>
                <w:sz w:val="16"/>
              </w:rPr>
              <w:t xml:space="preserve">0,713</w:t>
            </w:r>
          </w:p>
        </w:tc>
      </w:tr>
      <w:tr>
        <w:trPr>
          <w:cantSplit/>
        </w:trPr>
        <w:tc>
          <w:tcPr>
            <w:tcW w:type="dxa" w:w="1388"/>
          </w:tcPr>
          <w:p>
            <w:pPr>
              <w:pStyle w:val="Compact"/>
              <w:keepNext/>
              <w:spacing w:line="240" w:lineRule="auto" w:after="0"/>
              <w:ind w:firstLine="0"/>
              <w:jc w:val="left"/>
            </w:pPr>
            <w:r>
              <w:rPr>
                <w:rFonts w:ascii="Arial" w:hAnsi="Arial"/>
                <w:b w:val="0"/>
                <w:sz w:val="16"/>
              </w:rPr>
              <w:t xml:space="preserve">Top 10% de renda</w:t>
            </w:r>
          </w:p>
        </w:tc>
        <w:tc>
          <w:tcPr>
            <w:tcW w:type="dxa" w:w="2045"/>
          </w:tcPr>
          <w:p>
            <w:pPr>
              <w:pStyle w:val="Compact"/>
              <w:keepNext/>
              <w:spacing w:line="240" w:lineRule="auto" w:after="0"/>
              <w:ind w:firstLine="0"/>
              <w:jc w:val="left"/>
            </w:pPr>
            <w:r>
              <w:rPr>
                <w:rFonts w:ascii="Arial" w:hAnsi="Arial"/>
                <w:b w:val="0"/>
                <w:sz w:val="16"/>
              </w:rPr>
              <w:t xml:space="preserve">A1 individual + UF</w:t>
            </w:r>
          </w:p>
        </w:tc>
        <w:tc>
          <w:tcPr>
            <w:tcW w:type="dxa" w:w="1299"/>
          </w:tcPr>
          <w:p>
            <w:pPr>
              <w:pStyle w:val="Compact"/>
              <w:keepNext/>
              <w:spacing w:line="240" w:lineRule="auto" w:after="0"/>
              <w:ind w:firstLine="0"/>
              <w:jc w:val="left"/>
            </w:pPr>
            <w:r>
              <w:rPr>
                <w:rFonts w:ascii="Arial" w:hAnsi="Arial"/>
                <w:b w:val="0"/>
                <w:sz w:val="16"/>
              </w:rPr>
              <w:t xml:space="preserve">0,748 [0,743; 0,753]</w:t>
            </w:r>
          </w:p>
        </w:tc>
        <w:tc>
          <w:tcPr>
            <w:tcW w:type="dxa" w:w="812"/>
          </w:tcPr>
          <w:p>
            <w:pPr>
              <w:pStyle w:val="Compact"/>
              <w:keepNext/>
              <w:spacing w:line="240" w:lineRule="auto" w:after="0"/>
              <w:ind w:firstLine="0"/>
              <w:jc w:val="right"/>
            </w:pPr>
            <w:r>
              <w:rPr>
                <w:rFonts w:ascii="Arial" w:hAnsi="Arial"/>
                <w:b w:val="0"/>
                <w:sz w:val="16"/>
              </w:rPr>
              <w:t xml:space="preserve">−1,77</w:t>
            </w:r>
          </w:p>
        </w:tc>
        <w:tc>
          <w:tcPr>
            <w:tcW w:type="dxa" w:w="719"/>
          </w:tcPr>
          <w:p>
            <w:pPr>
              <w:pStyle w:val="Compact"/>
              <w:keepNext/>
              <w:spacing w:line="240" w:lineRule="auto" w:after="0"/>
              <w:ind w:firstLine="0"/>
              <w:jc w:val="right"/>
            </w:pPr>
            <w:r>
              <w:rPr>
                <w:rFonts w:ascii="Arial" w:hAnsi="Arial"/>
                <w:b w:val="0"/>
                <w:sz w:val="16"/>
              </w:rPr>
              <w:t xml:space="preserve">0,221</w:t>
            </w:r>
          </w:p>
        </w:tc>
        <w:tc>
          <w:tcPr>
            <w:tcW w:type="dxa" w:w="905"/>
          </w:tcPr>
          <w:p>
            <w:pPr>
              <w:pStyle w:val="Compact"/>
              <w:keepNext/>
              <w:spacing w:line="240" w:lineRule="auto" w:after="0"/>
              <w:ind w:firstLine="0"/>
              <w:jc w:val="right"/>
            </w:pPr>
            <w:r>
              <w:rPr>
                <w:rFonts w:ascii="Arial" w:hAnsi="Arial"/>
                <w:b w:val="0"/>
                <w:sz w:val="16"/>
              </w:rPr>
              <w:t xml:space="preserve">2,01</w:t>
            </w:r>
          </w:p>
        </w:tc>
        <w:tc>
          <w:tcPr>
            <w:tcW w:type="dxa" w:w="905"/>
          </w:tcPr>
          <w:p>
            <w:pPr>
              <w:pStyle w:val="Compact"/>
              <w:keepNext/>
              <w:spacing w:line="240" w:lineRule="auto" w:after="0"/>
              <w:ind w:firstLine="0"/>
              <w:jc w:val="right"/>
            </w:pPr>
            <w:r>
              <w:rPr>
                <w:rFonts w:ascii="Arial" w:hAnsi="Arial"/>
                <w:b w:val="0"/>
                <w:sz w:val="16"/>
              </w:rPr>
              <w:t xml:space="preserve">1,99</w:t>
            </w:r>
          </w:p>
        </w:tc>
        <w:tc>
          <w:tcPr>
            <w:tcW w:type="dxa" w:w="998"/>
          </w:tcPr>
          <w:p>
            <w:pPr>
              <w:pStyle w:val="Compact"/>
              <w:keepNext/>
              <w:spacing w:line="240" w:lineRule="auto" w:after="0"/>
              <w:ind w:firstLine="0"/>
              <w:jc w:val="right"/>
            </w:pPr>
            <w:r>
              <w:rPr>
                <w:rFonts w:ascii="Arial" w:hAnsi="Arial"/>
                <w:b w:val="0"/>
                <w:sz w:val="16"/>
              </w:rPr>
              <w:t xml:space="preserve">0,577</w:t>
            </w:r>
          </w:p>
        </w:tc>
      </w:tr>
      <w:tr>
        <w:trPr>
          <w:cantSplit/>
        </w:trPr>
        <w:tc>
          <w:tcPr>
            <w:tcW w:type="dxa" w:w="1388"/>
          </w:tcPr>
          <w:p>
            <w:pPr>
              <w:pStyle w:val="Compact"/>
              <w:keepNext/>
              <w:spacing w:line="240" w:lineRule="auto" w:after="0"/>
              <w:ind w:firstLine="0"/>
              <w:jc w:val="left"/>
            </w:pPr>
          </w:p>
        </w:tc>
        <w:tc>
          <w:tcPr>
            <w:tcW w:type="dxa" w:w="2045"/>
          </w:tcPr>
          <w:p>
            <w:pPr>
              <w:pStyle w:val="Compact"/>
              <w:keepNext/>
              <w:spacing w:line="240" w:lineRule="auto" w:after="0"/>
              <w:ind w:firstLine="0"/>
              <w:jc w:val="left"/>
            </w:pPr>
            <w:r>
              <w:rPr>
                <w:rFonts w:ascii="Arial" w:hAnsi="Arial"/>
                <w:b w:val="0"/>
                <w:sz w:val="16"/>
              </w:rPr>
              <w:t xml:space="preserve">A2 + contexto do bairro</w:t>
            </w:r>
          </w:p>
        </w:tc>
        <w:tc>
          <w:tcPr>
            <w:tcW w:type="dxa" w:w="1299"/>
          </w:tcPr>
          <w:p>
            <w:pPr>
              <w:pStyle w:val="Compact"/>
              <w:keepNext/>
              <w:spacing w:line="240" w:lineRule="auto" w:after="0"/>
              <w:ind w:firstLine="0"/>
              <w:jc w:val="left"/>
            </w:pPr>
            <w:r>
              <w:rPr>
                <w:rFonts w:ascii="Arial" w:hAnsi="Arial"/>
                <w:b w:val="0"/>
                <w:sz w:val="16"/>
              </w:rPr>
              <w:t xml:space="preserve">0,761 [0,756; 0,766]</w:t>
            </w:r>
          </w:p>
        </w:tc>
        <w:tc>
          <w:tcPr>
            <w:tcW w:type="dxa" w:w="812"/>
          </w:tcPr>
          <w:p>
            <w:pPr>
              <w:pStyle w:val="Compact"/>
              <w:keepNext/>
              <w:spacing w:line="240" w:lineRule="auto" w:after="0"/>
              <w:ind w:firstLine="0"/>
              <w:jc w:val="right"/>
            </w:pPr>
            <w:r>
              <w:rPr>
                <w:rFonts w:ascii="Arial" w:hAnsi="Arial"/>
                <w:b w:val="0"/>
                <w:sz w:val="16"/>
              </w:rPr>
              <w:t xml:space="preserve">−1,66</w:t>
            </w:r>
          </w:p>
        </w:tc>
        <w:tc>
          <w:tcPr>
            <w:tcW w:type="dxa" w:w="719"/>
          </w:tcPr>
          <w:p>
            <w:pPr>
              <w:pStyle w:val="Compact"/>
              <w:keepNext/>
              <w:spacing w:line="240" w:lineRule="auto" w:after="0"/>
              <w:ind w:firstLine="0"/>
              <w:jc w:val="right"/>
            </w:pPr>
            <w:r>
              <w:rPr>
                <w:rFonts w:ascii="Arial" w:hAnsi="Arial"/>
                <w:b w:val="0"/>
                <w:sz w:val="16"/>
              </w:rPr>
              <w:t xml:space="preserve">0,116</w:t>
            </w:r>
          </w:p>
        </w:tc>
        <w:tc>
          <w:tcPr>
            <w:tcW w:type="dxa" w:w="905"/>
          </w:tcPr>
          <w:p>
            <w:pPr>
              <w:pStyle w:val="Compact"/>
              <w:keepNext/>
              <w:spacing w:line="240" w:lineRule="auto" w:after="0"/>
              <w:ind w:firstLine="0"/>
              <w:jc w:val="right"/>
            </w:pPr>
            <w:r>
              <w:rPr>
                <w:rFonts w:ascii="Arial" w:hAnsi="Arial"/>
                <w:b w:val="0"/>
                <w:sz w:val="16"/>
              </w:rPr>
              <w:t xml:space="preserve">1,96</w:t>
            </w:r>
          </w:p>
        </w:tc>
        <w:tc>
          <w:tcPr>
            <w:tcW w:type="dxa" w:w="905"/>
          </w:tcPr>
          <w:p>
            <w:pPr>
              <w:pStyle w:val="Compact"/>
              <w:keepNext/>
              <w:spacing w:line="240" w:lineRule="auto" w:after="0"/>
              <w:ind w:firstLine="0"/>
              <w:jc w:val="right"/>
            </w:pPr>
            <w:r>
              <w:rPr>
                <w:rFonts w:ascii="Arial" w:hAnsi="Arial"/>
                <w:b w:val="0"/>
                <w:sz w:val="16"/>
              </w:rPr>
              <w:t xml:space="preserve">1,94</w:t>
            </w:r>
          </w:p>
        </w:tc>
        <w:tc>
          <w:tcPr>
            <w:tcW w:type="dxa" w:w="998"/>
          </w:tcPr>
          <w:p>
            <w:pPr>
              <w:pStyle w:val="Compact"/>
              <w:keepNext/>
              <w:spacing w:line="240" w:lineRule="auto" w:after="0"/>
              <w:ind w:firstLine="0"/>
              <w:jc w:val="right"/>
            </w:pPr>
            <w:r>
              <w:rPr>
                <w:rFonts w:ascii="Arial" w:hAnsi="Arial"/>
                <w:b w:val="0"/>
                <w:sz w:val="16"/>
              </w:rPr>
              <w:t xml:space="preserve">0,739</w:t>
            </w:r>
          </w:p>
        </w:tc>
      </w:tr>
      <w:tr>
        <w:trPr>
          <w:cantSplit/>
        </w:trPr>
        <w:tc>
          <w:tcPr>
            <w:tcW w:type="dxa" w:w="1388"/>
          </w:tcPr>
          <w:p>
            <w:pPr>
              <w:pStyle w:val="Compact"/>
              <w:keepNext/>
              <w:spacing w:line="240" w:lineRule="auto" w:after="0"/>
              <w:ind w:firstLine="0"/>
              <w:jc w:val="left"/>
            </w:pPr>
          </w:p>
        </w:tc>
        <w:tc>
          <w:tcPr>
            <w:tcW w:type="dxa" w:w="2045"/>
          </w:tcPr>
          <w:p>
            <w:pPr>
              <w:pStyle w:val="Compact"/>
              <w:keepNext/>
              <w:spacing w:line="240" w:lineRule="auto" w:after="0"/>
              <w:ind w:firstLine="0"/>
              <w:jc w:val="left"/>
            </w:pPr>
            <w:r>
              <w:rPr>
                <w:rFonts w:ascii="Arial" w:hAnsi="Arial"/>
                <w:b w:val="0"/>
                <w:sz w:val="16"/>
              </w:rPr>
              <w:t xml:space="preserve">A3 + vínculo (limite inf.)</w:t>
            </w:r>
          </w:p>
        </w:tc>
        <w:tc>
          <w:tcPr>
            <w:tcW w:type="dxa" w:w="1299"/>
          </w:tcPr>
          <w:p>
            <w:pPr>
              <w:pStyle w:val="Compact"/>
              <w:keepNext/>
              <w:spacing w:line="240" w:lineRule="auto" w:after="0"/>
              <w:ind w:firstLine="0"/>
              <w:jc w:val="left"/>
            </w:pPr>
            <w:r>
              <w:rPr>
                <w:rFonts w:ascii="Arial" w:hAnsi="Arial"/>
                <w:b w:val="0"/>
                <w:sz w:val="16"/>
              </w:rPr>
              <w:t xml:space="preserve">0,740 [0,735; 0,745]</w:t>
            </w:r>
          </w:p>
        </w:tc>
        <w:tc>
          <w:tcPr>
            <w:tcW w:type="dxa" w:w="812"/>
          </w:tcPr>
          <w:p>
            <w:pPr>
              <w:pStyle w:val="Compact"/>
              <w:keepNext/>
              <w:spacing w:line="240" w:lineRule="auto" w:after="0"/>
              <w:ind w:firstLine="0"/>
              <w:jc w:val="right"/>
            </w:pPr>
            <w:r>
              <w:rPr>
                <w:rFonts w:ascii="Arial" w:hAnsi="Arial"/>
                <w:b w:val="0"/>
                <w:sz w:val="16"/>
              </w:rPr>
              <w:t xml:space="preserve">−1,73</w:t>
            </w:r>
          </w:p>
        </w:tc>
        <w:tc>
          <w:tcPr>
            <w:tcW w:type="dxa" w:w="719"/>
          </w:tcPr>
          <w:p>
            <w:pPr>
              <w:pStyle w:val="Compact"/>
              <w:keepNext/>
              <w:spacing w:line="240" w:lineRule="auto" w:after="0"/>
              <w:ind w:firstLine="0"/>
              <w:jc w:val="right"/>
            </w:pPr>
            <w:r>
              <w:rPr>
                <w:rFonts w:ascii="Arial" w:hAnsi="Arial"/>
                <w:b w:val="0"/>
                <w:sz w:val="16"/>
              </w:rPr>
              <w:t xml:space="preserve">0,117</w:t>
            </w:r>
          </w:p>
        </w:tc>
        <w:tc>
          <w:tcPr>
            <w:tcW w:type="dxa" w:w="905"/>
          </w:tcPr>
          <w:p>
            <w:pPr>
              <w:pStyle w:val="Compact"/>
              <w:keepNext/>
              <w:spacing w:line="240" w:lineRule="auto" w:after="0"/>
              <w:ind w:firstLine="0"/>
              <w:jc w:val="right"/>
            </w:pPr>
            <w:r>
              <w:rPr>
                <w:rFonts w:ascii="Arial" w:hAnsi="Arial"/>
                <w:b w:val="0"/>
                <w:sz w:val="16"/>
              </w:rPr>
              <w:t xml:space="preserve">2,04</w:t>
            </w:r>
          </w:p>
        </w:tc>
        <w:tc>
          <w:tcPr>
            <w:tcW w:type="dxa" w:w="905"/>
          </w:tcPr>
          <w:p>
            <w:pPr>
              <w:pStyle w:val="Compact"/>
              <w:keepNext/>
              <w:spacing w:line="240" w:lineRule="auto" w:after="0"/>
              <w:ind w:firstLine="0"/>
              <w:jc w:val="right"/>
            </w:pPr>
            <w:r>
              <w:rPr>
                <w:rFonts w:ascii="Arial" w:hAnsi="Arial"/>
                <w:b w:val="0"/>
                <w:sz w:val="16"/>
              </w:rPr>
              <w:t xml:space="preserve">2,02</w:t>
            </w:r>
          </w:p>
        </w:tc>
        <w:tc>
          <w:tcPr>
            <w:tcW w:type="dxa" w:w="998"/>
          </w:tcPr>
          <w:p>
            <w:pPr>
              <w:pStyle w:val="Compact"/>
              <w:keepNext/>
              <w:spacing w:line="240" w:lineRule="auto" w:after="0"/>
              <w:ind w:firstLine="0"/>
              <w:jc w:val="right"/>
            </w:pPr>
            <w:r>
              <w:rPr>
                <w:rFonts w:ascii="Arial" w:hAnsi="Arial"/>
                <w:b w:val="0"/>
                <w:sz w:val="16"/>
              </w:rPr>
              <w:t xml:space="preserve">0,739</w:t>
            </w:r>
          </w:p>
        </w:tc>
      </w:tr>
      <w:tr>
        <w:trPr>
          <w:cantSplit/>
        </w:trPr>
        <w:tc>
          <w:tcPr>
            <w:tcW w:type="dxa" w:w="1388"/>
            <w:tcBorders>
              <w:top w:val="nil"/>
              <w:left w:val="nil"/>
              <w:bottom w:val="single" w:sz="8" w:color="000000"/>
              <w:right w:val="nil"/>
            </w:tcBorders>
          </w:tcPr>
          <w:p>
            <w:pPr>
              <w:pStyle w:val="Compact"/>
              <w:keepNext/>
              <w:spacing w:line="240" w:lineRule="auto" w:after="0"/>
              <w:ind w:firstLine="0"/>
              <w:jc w:val="left"/>
            </w:pPr>
          </w:p>
        </w:tc>
        <w:tc>
          <w:tcPr>
            <w:tcW w:type="dxa" w:w="2045"/>
            <w:tcBorders>
              <w:top w:val="nil"/>
              <w:left w:val="nil"/>
              <w:bottom w:val="single" w:sz="8" w:color="000000"/>
              <w:right w:val="nil"/>
            </w:tcBorders>
          </w:tcPr>
          <w:p>
            <w:pPr>
              <w:pStyle w:val="Compact"/>
              <w:keepNext/>
              <w:spacing w:line="240" w:lineRule="auto" w:after="0"/>
              <w:ind w:firstLine="0"/>
              <w:jc w:val="left"/>
            </w:pPr>
            <w:r>
              <w:rPr>
                <w:rFonts w:ascii="Arial" w:hAnsi="Arial"/>
                <w:b w:val="0"/>
                <w:sz w:val="16"/>
              </w:rPr>
              <w:t xml:space="preserve">A4 + negro×credencial</w:t>
            </w:r>
          </w:p>
        </w:tc>
        <w:tc>
          <w:tcPr>
            <w:tcW w:type="dxa" w:w="1299"/>
            <w:tcBorders>
              <w:top w:val="nil"/>
              <w:left w:val="nil"/>
              <w:bottom w:val="single" w:sz="8" w:color="000000"/>
              <w:right w:val="nil"/>
            </w:tcBorders>
          </w:tcPr>
          <w:p>
            <w:pPr>
              <w:pStyle w:val="Compact"/>
              <w:keepNext/>
              <w:spacing w:line="240" w:lineRule="auto" w:after="0"/>
              <w:ind w:firstLine="0"/>
              <w:jc w:val="left"/>
            </w:pPr>
            <w:r>
              <w:rPr>
                <w:rFonts w:ascii="Arial" w:hAnsi="Arial"/>
                <w:b w:val="0"/>
                <w:sz w:val="16"/>
              </w:rPr>
              <w:t xml:space="preserve">0,668 [0,662; 0,674]</w:t>
            </w:r>
          </w:p>
        </w:tc>
        <w:tc>
          <w:tcPr>
            <w:tcW w:type="dxa" w:w="812"/>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−1,71</w:t>
            </w:r>
          </w:p>
        </w:tc>
        <w:tc>
          <w:tcPr>
            <w:tcW w:type="dxa" w:w="719"/>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0,117</w:t>
            </w:r>
          </w:p>
        </w:tc>
        <w:tc>
          <w:tcPr>
            <w:tcW w:type="dxa" w:w="905"/>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2,36</w:t>
            </w:r>
          </w:p>
        </w:tc>
        <w:tc>
          <w:tcPr>
            <w:tcW w:type="dxa" w:w="905"/>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2,33</w:t>
            </w:r>
          </w:p>
        </w:tc>
        <w:tc>
          <w:tcPr>
            <w:tcW w:type="dxa" w:w="998"/>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0,659</w:t>
            </w:r>
          </w:p>
        </w:tc>
      </w:tr>
    </w:tbl>
    <w:bookmarkEnd w:id="78"/>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OR</w:t>
      </w:r>
      <w:r>
        <w:rPr>
          <w:rFonts w:ascii="Arial" w:hAnsi="Arial"/>
          <w:sz w:val="22"/>
        </w:rPr>
        <w:t xml:space="preserve"> </w:t>
      </w:r>
      <m:oMath>
        <m:r>
          <m:rPr>
            <m:sty m:val="p"/>
          </m:rPr>
          <m:t>&lt;</m:t>
        </m:r>
        <m:r>
          <m:t>1</m:t>
        </m:r>
      </m:oMath>
      <w:r>
        <w:rPr>
          <w:rFonts w:ascii="Arial" w:hAnsi="Arial"/>
          <w:sz w:val="22"/>
        </w:rPr>
        <w:t xml:space="preserve"> </w:t>
      </w:r>
      <w:r>
        <w:rPr>
          <w:rFonts w:ascii="Arial" w:hAnsi="Arial"/>
          <w:sz w:val="22"/>
        </w:rPr>
        <w:t xml:space="preserve">= menor chance de acesso para trabalhadores negros do que para brancos de mesmo perfil</w:t>
      </w:r>
      <w:r>
        <w:rPr>
          <w:rFonts w:ascii="Arial" w:hAnsi="Arial"/>
          <w:sz w:val="22"/>
        </w:rPr>
        <w:t xml:space="preserve"> </w:t>
      </w:r>
      <w:r>
        <w:rPr>
          <w:rFonts w:ascii="Arial" w:hAnsi="Arial"/>
          <w:sz w:val="22"/>
        </w:rPr>
        <w:t xml:space="preserve">e do mesmo bairro</w:t>
      </w:r>
      <w:r>
        <w:rPr>
          <w:rFonts w:ascii="Arial" w:hAnsi="Arial"/>
          <w:sz w:val="22"/>
        </w:rPr>
        <w:t xml:space="preserve">; quanto mais perto de zero, maior a barreira. O E-value é a força mínima de associação (razão de risco) que um confundidor não observado precisaria ter com a raça</w:t>
      </w:r>
      <w:r>
        <w:rPr>
          <w:rFonts w:ascii="Arial" w:hAnsi="Arial"/>
          <w:sz w:val="22"/>
        </w:rPr>
        <w:t xml:space="preserve"> </w:t>
      </w:r>
      <w:r>
        <w:rPr>
          <w:rFonts w:ascii="Arial" w:hAnsi="Arial"/>
          <w:sz w:val="22"/>
        </w:rPr>
        <w:t xml:space="preserve">e</w:t>
      </w:r>
      <w:r>
        <w:rPr>
          <w:rFonts w:ascii="Arial" w:hAnsi="Arial"/>
          <w:sz w:val="22"/>
        </w:rPr>
        <w:t xml:space="preserve"> </w:t>
      </w:r>
      <w:r>
        <w:rPr>
          <w:rFonts w:ascii="Arial" w:hAnsi="Arial"/>
          <w:sz w:val="22"/>
        </w:rPr>
        <w:t xml:space="preserve">com o desfecho para anular o OR; o E-value (IC) faz o mesmo para o limite do intervalo. A coluna logit-FE mostra que a conclusão não depende da hipótese de efeitos aleatórios.</w:t>
      </w:r>
    </w:p>
    <w:bookmarkStart w:id="79" w:name="tab:glmm_ajuste"/>
    <w:p>
      <w:pPr>
        <w:pStyle w:val="TableCaption"/>
        <w:keepNext/>
        <w:keepLines/>
        <w:spacing w:line="240" w:lineRule="auto" w:before="240" w:after="40"/>
        <w:ind w:firstLine="0"/>
        <w:jc w:val="both"/>
      </w:pPr>
      <w:r>
        <w:rPr>
          <w:rFonts w:ascii="Arial" w:hAnsi="Arial"/>
          <w:sz w:val="22"/>
        </w:rPr>
        <w:t xml:space="preserve">Tabela 8. GLMM logístico — ajuste e desempenho de classificação por degrau. LR vs. pooled: teste de razão de verossimilhança do A2 contra o logit sem efeito aleatório (fronteira,</w:t>
      </w:r>
      <w:r>
        <w:rPr>
          <w:rFonts w:ascii="Arial" w:hAnsi="Arial"/>
          <w:sz w:val="22"/>
        </w:rPr>
        <w:t xml:space="preserve"> </w:t>
      </w:r>
      <m:oMath>
        <m:r>
          <m:t>p</m:t>
        </m:r>
        <m:r>
          <m:rPr>
            <m:sty m:val="p"/>
          </m:rPr>
          <m:t>/</m:t>
        </m:r>
        <m:r>
          <m:t>2</m:t>
        </m:r>
      </m:oMath>
      <w:r>
        <w:rPr>
          <w:rFonts w:ascii="Arial" w:hAnsi="Arial"/>
          <w:sz w:val="22"/>
        </w:rPr>
        <w:t xml:space="preserve">); AUC com efeitos aleatórios (ajuste na amostra) e só com efeitos fixos;</w:t>
      </w:r>
      <w:r>
        <w:rPr>
          <w:rFonts w:ascii="Arial" w:hAnsi="Arial"/>
          <w:sz w:val="22"/>
        </w:rPr>
        <w:t xml:space="preserve"> </w:t>
      </w:r>
      <w:r>
        <w:rPr>
          <w:rFonts w:ascii="Arial" w:hAnsi="Arial"/>
          <w:sz w:val="22"/>
        </w:rPr>
        <w:t xml:space="preserve">cutoff</w:t>
      </w:r>
      <w:r>
        <w:rPr>
          <w:rFonts w:ascii="Arial" w:hAnsi="Arial"/>
          <w:sz w:val="22"/>
        </w:rPr>
        <w:t xml:space="preserve"> </w:t>
      </w:r>
      <w:r>
        <w:rPr>
          <w:rFonts w:ascii="Arial" w:hAnsi="Arial"/>
          <w:sz w:val="22"/>
        </w:rPr>
        <w:t xml:space="preserve">de Youden (maximiza sensibilidade</w:t>
      </w:r>
      <w:r>
        <w:rPr>
          <w:rFonts w:ascii="Arial" w:hAnsi="Arial"/>
          <w:sz w:val="22"/>
        </w:rPr>
        <w:t xml:space="preserve"> </w:t>
      </w:r>
      <m:oMath>
        <m:r>
          <m:rPr>
            <m:sty m:val="p"/>
          </m:rPr>
          <m:t>+</m:t>
        </m:r>
      </m:oMath>
      <w:r>
        <w:rPr>
          <w:rFonts w:ascii="Arial" w:hAnsi="Arial"/>
          <w:sz w:val="22"/>
        </w:rPr>
        <w:t xml:space="preserve"> </w:t>
      </w:r>
      <w:r>
        <w:rPr>
          <w:rFonts w:ascii="Arial" w:hAnsi="Arial"/>
          <w:sz w:val="22"/>
        </w:rPr>
        <w:t xml:space="preserve">especificidade) com as taxas correspondentes; Hosmer–Lemeshow em 10 decis. Modelos A1–A4 como na Tabela 7. Com</w:t>
      </w:r>
      <w:r>
        <w:rPr>
          <w:rFonts w:ascii="Arial" w:hAnsi="Arial"/>
          <w:sz w:val="22"/>
        </w:rPr>
        <w:t xml:space="preserve"> </w:t>
      </w:r>
      <m:oMath>
        <m:r>
          <m:t>N</m:t>
        </m:r>
        <m:r>
          <m:rPr>
            <m:sty m:val="p"/>
          </m:rPr>
          <m:t>=</m:t>
        </m:r>
        <m:r>
          <m:t>7</m:t>
        </m:r>
        <m:r>
          <m:rPr>
            <m:sty m:val="p"/>
          </m:rPr>
          <m:t>,</m:t>
        </m:r>
        <m:r>
          <m:t>7</m:t>
        </m:r>
      </m:oMath>
      <w:r>
        <w:rPr>
          <w:rFonts w:ascii="Arial" w:hAnsi="Arial"/>
          <w:sz w:val="22"/>
        </w:rPr>
        <w:t xml:space="preserve"> milhões qualquer desvio de calibração é</w:t>
      </w:r>
      <w:r>
        <w:rPr>
          <w:rFonts w:ascii="Arial" w:hAnsi="Arial"/>
          <w:sz w:val="22"/>
        </w:rPr>
        <w:t xml:space="preserve"> </w:t>
      </w:r>
      <w:r>
        <w:rPr>
          <w:rFonts w:ascii="Arial" w:hAnsi="Arial"/>
          <w:sz w:val="22"/>
        </w:rPr>
        <w:t xml:space="preserve">“significativo”</w:t>
      </w:r>
      <w:r>
        <w:rPr>
          <w:rFonts w:ascii="Arial" w:hAnsi="Arial"/>
          <w:sz w:val="22"/>
        </w:rPr>
        <w:t xml:space="preserve"> </w:t>
      </w:r>
      <w:r>
        <w:rPr>
          <w:rFonts w:ascii="Arial" w:hAnsi="Arial"/>
          <w:sz w:val="22"/>
        </w:rPr>
        <w:t xml:space="preserve">— o</w:t>
      </w:r>
      <w:r>
        <w:rPr>
          <w:rFonts w:ascii="Arial" w:hAnsi="Arial"/>
          <w:sz w:val="22"/>
        </w:rPr>
        <w:t xml:space="preserve"> </w:t>
      </w:r>
      <m:oMath>
        <m:sSup>
          <m:e>
            <m:r>
              <m:t>χ</m:t>
            </m:r>
          </m:e>
          <m:sup>
            <m:r>
              <m:t>2</m:t>
            </m:r>
          </m:sup>
        </m:sSup>
      </m:oMath>
      <w:r>
        <w:rPr>
          <w:rFonts w:ascii="Arial" w:hAnsi="Arial"/>
          <w:sz w:val="22"/>
        </w:rPr>
        <w:t xml:space="preserve"> </w:t>
      </w:r>
      <w:r>
        <w:rPr>
          <w:rFonts w:ascii="Arial" w:hAnsi="Arial"/>
          <w:sz w:val="22"/>
        </w:rPr>
        <w:t xml:space="preserve">deve ser lido como magnitude relativa entre degraus, não como teste (MHE, cap. 8).</w:t>
      </w:r>
    </w:p>
    <w:tbl>
      <w:tblPr>
        <w:tblStyle w:val="Table"/>
        <w:tblW w:type="auto" w:w="0"/>
        <w:tblLayout w:type="fixed"/>
        <w:tblLook w:firstRow="1" w:lastRow="0" w:firstColumn="0" w:lastColumn="0" w:noHBand="0" w:noVBand="0" w:val="0020"/>
        <w:tblCaption w:val="Tabela 8. GLMM logístico — ajuste e desempenho de classificação por degrau. LR vs. pooled: teste de razão de verossimilhança do A2 contra o logit sem efeito aleatório (fronteira, p/2); AUC com efeitos aleatórios (ajuste na amostra) e só com efeitos fixos; cutoff de Youden (maximiza sensibilidade + especificidade) com as taxas correspondentes; Hosmer–Lemeshow em 10 decis. Modelos A1–A4 como na Tabela 7. Com N = 7{,}7 milhões qualquer desvio de calibração é “significativo” — o \chi^2 deve ser lido como magnitude relativa entre degraus, não como teste (MHE, cap. 8)."/>
        <w:tblBorders>
          <w:top w:val="nil"/>
          <w:left w:val="nil"/>
          <w:bottom w:val="nil"/>
          <w:right w:val="nil"/>
          <w:insideH w:val="nil"/>
          <w:insideV w:val="nil"/>
        </w:tblBorders>
      </w:tblPr>
      <w:tblGrid>
        <w:gridCol w:w="1217"/>
        <w:gridCol w:w="774"/>
        <w:gridCol w:w="1040"/>
        <w:gridCol w:w="1040"/>
        <w:gridCol w:w="863"/>
        <w:gridCol w:w="686"/>
        <w:gridCol w:w="686"/>
        <w:gridCol w:w="774"/>
        <w:gridCol w:w="1305"/>
        <w:gridCol w:w="686"/>
      </w:tblGrid>
      <w:tr>
        <w:trPr>
          <w:tblHeader w:val="on"/>
          <w:cantSplit/>
        </w:trPr>
        <w:tc>
          <w:tcPr>
            <w:tcW w:type="dxa" w:w="1217"/>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Desfecho</w:t>
            </w:r>
          </w:p>
        </w:tc>
        <w:tc>
          <w:tcPr>
            <w:tcW w:type="dxa" w:w="774"/>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Modelo</w:t>
            </w:r>
          </w:p>
        </w:tc>
        <w:tc>
          <w:tcPr>
            <w:tcW w:type="dxa" w:w="1040"/>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−2 LL</w:t>
            </w:r>
          </w:p>
        </w:tc>
        <w:tc>
          <w:tcPr>
            <w:tcW w:type="dxa" w:w="1040"/>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AIC</w:t>
            </w:r>
          </w:p>
        </w:tc>
        <w:tc>
          <w:tcPr>
            <w:tcW w:type="dxa" w:w="863"/>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LR vs. pooled</w:t>
            </w:r>
          </w:p>
        </w:tc>
        <w:tc>
          <w:tcPr>
            <w:tcW w:type="dxa" w:w="686"/>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AUC (RE)</w:t>
            </w:r>
          </w:p>
        </w:tc>
        <w:tc>
          <w:tcPr>
            <w:tcW w:type="dxa" w:w="686"/>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AUC (FE)</w:t>
            </w:r>
          </w:p>
        </w:tc>
        <w:tc>
          <w:tcPr>
            <w:tcW w:type="dxa" w:w="774"/>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Cutoff</w:t>
            </w:r>
          </w:p>
        </w:tc>
        <w:tc>
          <w:tcPr>
            <w:tcW w:type="dxa" w:w="1305"/>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Sens./Espec.</w:t>
            </w:r>
          </w:p>
        </w:tc>
        <w:tc>
          <w:tcPr>
            <w:tcW w:type="dxa" w:w="686"/>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HL χ</w:t>
            </w:r>
            <w:r>
              <w:rPr>
                <w:rFonts w:ascii="Arial" w:hAnsi="Arial"/>
                <w:b w:val="0"/>
                <w:sz w:val="16"/>
                <w:vertAlign w:val="superscript"/>
              </w:rPr>
              <w:t xml:space="preserve">2</w:t>
            </w:r>
          </w:p>
        </w:tc>
      </w:tr>
      <w:tr>
        <w:trPr>
          <w:cantSplit/>
        </w:trPr>
        <w:tc>
          <w:tcPr>
            <w:tcW w:type="dxa" w:w="1217"/>
          </w:tcPr>
          <w:p>
            <w:pPr>
              <w:pStyle w:val="Compact"/>
              <w:keepNext/>
              <w:spacing w:line="240" w:lineRule="auto" w:after="0"/>
              <w:ind w:firstLine="0"/>
              <w:jc w:val="left"/>
            </w:pPr>
            <w:r>
              <w:rPr>
                <w:rFonts w:ascii="Arial" w:hAnsi="Arial"/>
                <w:b w:val="0"/>
                <w:sz w:val="16"/>
              </w:rPr>
              <w:t xml:space="preserve">Cargo qualificado (CBO 1–4)</w:t>
            </w:r>
          </w:p>
        </w:tc>
        <w:tc>
          <w:tcPr>
            <w:tcW w:type="dxa" w:w="774"/>
          </w:tcPr>
          <w:p>
            <w:pPr>
              <w:pStyle w:val="Compact"/>
              <w:keepNext/>
              <w:spacing w:line="240" w:lineRule="auto" w:after="0"/>
              <w:ind w:firstLine="0"/>
              <w:jc w:val="left"/>
            </w:pPr>
            <w:r>
              <w:rPr>
                <w:rFonts w:ascii="Arial" w:hAnsi="Arial"/>
                <w:b w:val="0"/>
                <w:sz w:val="16"/>
              </w:rPr>
              <w:t xml:space="preserve">A1</w:t>
            </w:r>
          </w:p>
        </w:tc>
        <w:tc>
          <w:tcPr>
            <w:tcW w:type="dxa" w:w="1040"/>
          </w:tcPr>
          <w:p>
            <w:pPr>
              <w:pStyle w:val="Compact"/>
              <w:keepNext/>
              <w:spacing w:line="240" w:lineRule="auto" w:after="0"/>
              <w:ind w:firstLine="0"/>
              <w:jc w:val="right"/>
            </w:pPr>
            <w:r>
              <w:rPr>
                <w:rFonts w:ascii="Arial" w:hAnsi="Arial"/>
                <w:b w:val="0"/>
                <w:sz w:val="16"/>
              </w:rPr>
              <w:t xml:space="preserve">6.102.483</w:t>
            </w:r>
          </w:p>
        </w:tc>
        <w:tc>
          <w:tcPr>
            <w:tcW w:type="dxa" w:w="1040"/>
          </w:tcPr>
          <w:p>
            <w:pPr>
              <w:pStyle w:val="Compact"/>
              <w:keepNext/>
              <w:spacing w:line="240" w:lineRule="auto" w:after="0"/>
              <w:ind w:firstLine="0"/>
              <w:jc w:val="right"/>
            </w:pPr>
            <w:r>
              <w:rPr>
                <w:rFonts w:ascii="Arial" w:hAnsi="Arial"/>
                <w:b w:val="0"/>
                <w:sz w:val="16"/>
              </w:rPr>
              <w:t xml:space="preserve">6.102.575</w:t>
            </w:r>
          </w:p>
        </w:tc>
        <w:tc>
          <w:tcPr>
            <w:tcW w:type="dxa" w:w="863"/>
          </w:tcPr>
          <w:p>
            <w:pPr>
              <w:pStyle w:val="Compact"/>
              <w:keepNext/>
              <w:spacing w:line="240" w:lineRule="auto" w:after="0"/>
              <w:ind w:firstLine="0"/>
              <w:jc w:val="left"/>
            </w:pPr>
            <w:r>
              <w:rPr>
                <w:rFonts w:ascii="Arial" w:hAnsi="Arial"/>
                <w:b w:val="0"/>
                <w:sz w:val="16"/>
              </w:rPr>
              <w:t xml:space="preserve">—</w:t>
            </w:r>
          </w:p>
        </w:tc>
        <w:tc>
          <w:tcPr>
            <w:tcW w:type="dxa" w:w="686"/>
          </w:tcPr>
          <w:p>
            <w:pPr>
              <w:pStyle w:val="Compact"/>
              <w:keepNext/>
              <w:spacing w:line="240" w:lineRule="auto" w:after="0"/>
              <w:ind w:firstLine="0"/>
              <w:jc w:val="right"/>
            </w:pPr>
            <w:r>
              <w:rPr>
                <w:rFonts w:ascii="Arial" w:hAnsi="Arial"/>
                <w:b w:val="0"/>
                <w:sz w:val="16"/>
              </w:rPr>
              <w:t xml:space="preserve">0,879</w:t>
            </w:r>
          </w:p>
        </w:tc>
        <w:tc>
          <w:tcPr>
            <w:tcW w:type="dxa" w:w="686"/>
          </w:tcPr>
          <w:p>
            <w:pPr>
              <w:pStyle w:val="Compact"/>
              <w:keepNext/>
              <w:spacing w:line="240" w:lineRule="auto" w:after="0"/>
              <w:ind w:firstLine="0"/>
              <w:jc w:val="right"/>
            </w:pPr>
            <w:r>
              <w:rPr>
                <w:rFonts w:ascii="Arial" w:hAnsi="Arial"/>
                <w:b w:val="0"/>
                <w:sz w:val="16"/>
              </w:rPr>
              <w:t xml:space="preserve">0,864</w:t>
            </w:r>
          </w:p>
        </w:tc>
        <w:tc>
          <w:tcPr>
            <w:tcW w:type="dxa" w:w="774"/>
          </w:tcPr>
          <w:p>
            <w:pPr>
              <w:pStyle w:val="Compact"/>
              <w:keepNext/>
              <w:spacing w:line="240" w:lineRule="auto" w:after="0"/>
              <w:ind w:firstLine="0"/>
              <w:jc w:val="right"/>
            </w:pPr>
            <w:r>
              <w:rPr>
                <w:rFonts w:ascii="Arial" w:hAnsi="Arial"/>
                <w:b w:val="0"/>
                <w:sz w:val="16"/>
              </w:rPr>
              <w:t xml:space="preserve">0,30</w:t>
            </w:r>
          </w:p>
        </w:tc>
        <w:tc>
          <w:tcPr>
            <w:tcW w:type="dxa" w:w="1305"/>
          </w:tcPr>
          <w:p>
            <w:pPr>
              <w:pStyle w:val="Compact"/>
              <w:keepNext/>
              <w:spacing w:line="240" w:lineRule="auto" w:after="0"/>
              <w:ind w:firstLine="0"/>
              <w:jc w:val="left"/>
            </w:pPr>
            <w:r>
              <w:rPr>
                <w:rFonts w:ascii="Arial" w:hAnsi="Arial"/>
                <w:b w:val="0"/>
                <w:sz w:val="16"/>
              </w:rPr>
              <w:t xml:space="preserve">0,79/0,79</w:t>
            </w:r>
          </w:p>
        </w:tc>
        <w:tc>
          <w:tcPr>
            <w:tcW w:type="dxa" w:w="686"/>
          </w:tcPr>
          <w:p>
            <w:pPr>
              <w:pStyle w:val="Compact"/>
              <w:keepNext/>
              <w:spacing w:line="240" w:lineRule="auto" w:after="0"/>
              <w:ind w:firstLine="0"/>
              <w:jc w:val="right"/>
            </w:pPr>
            <w:r>
              <w:rPr>
                <w:rFonts w:ascii="Arial" w:hAnsi="Arial"/>
                <w:b w:val="0"/>
                <w:sz w:val="16"/>
              </w:rPr>
              <w:t xml:space="preserve">2.760</w:t>
            </w:r>
          </w:p>
        </w:tc>
      </w:tr>
      <w:tr>
        <w:trPr>
          <w:cantSplit/>
        </w:trPr>
        <w:tc>
          <w:tcPr>
            <w:tcW w:type="dxa" w:w="1217"/>
          </w:tcPr>
          <w:p>
            <w:pPr>
              <w:pStyle w:val="Compact"/>
              <w:keepNext/>
              <w:spacing w:line="240" w:lineRule="auto" w:after="0"/>
              <w:ind w:firstLine="0"/>
              <w:jc w:val="left"/>
            </w:pPr>
          </w:p>
        </w:tc>
        <w:tc>
          <w:tcPr>
            <w:tcW w:type="dxa" w:w="774"/>
          </w:tcPr>
          <w:p>
            <w:pPr>
              <w:pStyle w:val="Compact"/>
              <w:keepNext/>
              <w:spacing w:line="240" w:lineRule="auto" w:after="0"/>
              <w:ind w:firstLine="0"/>
              <w:jc w:val="left"/>
            </w:pPr>
            <w:r>
              <w:rPr>
                <w:rFonts w:ascii="Arial" w:hAnsi="Arial"/>
                <w:b w:val="0"/>
                <w:sz w:val="16"/>
              </w:rPr>
              <w:t xml:space="preserve">A2</w:t>
            </w:r>
          </w:p>
        </w:tc>
        <w:tc>
          <w:tcPr>
            <w:tcW w:type="dxa" w:w="1040"/>
          </w:tcPr>
          <w:p>
            <w:pPr>
              <w:pStyle w:val="Compact"/>
              <w:keepNext/>
              <w:spacing w:line="240" w:lineRule="auto" w:after="0"/>
              <w:ind w:firstLine="0"/>
              <w:jc w:val="right"/>
            </w:pPr>
            <w:r>
              <w:rPr>
                <w:rFonts w:ascii="Arial" w:hAnsi="Arial"/>
                <w:b w:val="0"/>
                <w:sz w:val="16"/>
              </w:rPr>
              <w:t xml:space="preserve">6.088.976</w:t>
            </w:r>
          </w:p>
        </w:tc>
        <w:tc>
          <w:tcPr>
            <w:tcW w:type="dxa" w:w="1040"/>
          </w:tcPr>
          <w:p>
            <w:pPr>
              <w:pStyle w:val="Compact"/>
              <w:keepNext/>
              <w:spacing w:line="240" w:lineRule="auto" w:after="0"/>
              <w:ind w:firstLine="0"/>
              <w:jc w:val="right"/>
            </w:pPr>
            <w:r>
              <w:rPr>
                <w:rFonts w:ascii="Arial" w:hAnsi="Arial"/>
                <w:b w:val="0"/>
                <w:sz w:val="16"/>
              </w:rPr>
              <w:t xml:space="preserve">6.089.074</w:t>
            </w:r>
          </w:p>
        </w:tc>
        <w:tc>
          <w:tcPr>
            <w:tcW w:type="dxa" w:w="863"/>
          </w:tcPr>
          <w:p>
            <w:pPr>
              <w:pStyle w:val="Compact"/>
              <w:keepNext/>
              <w:spacing w:line="240" w:lineRule="auto" w:after="0"/>
              <w:ind w:firstLine="0"/>
              <w:jc w:val="right"/>
            </w:pPr>
            <w:r>
              <w:rPr>
                <w:rFonts w:ascii="Arial" w:hAnsi="Arial"/>
                <w:b w:val="0"/>
                <w:sz w:val="16"/>
              </w:rPr>
              <w:t xml:space="preserve">77.940</w:t>
            </w:r>
          </w:p>
        </w:tc>
        <w:tc>
          <w:tcPr>
            <w:tcW w:type="dxa" w:w="686"/>
          </w:tcPr>
          <w:p>
            <w:pPr>
              <w:pStyle w:val="Compact"/>
              <w:keepNext/>
              <w:spacing w:line="240" w:lineRule="auto" w:after="0"/>
              <w:ind w:firstLine="0"/>
              <w:jc w:val="right"/>
            </w:pPr>
            <w:r>
              <w:rPr>
                <w:rFonts w:ascii="Arial" w:hAnsi="Arial"/>
                <w:b w:val="0"/>
                <w:sz w:val="16"/>
              </w:rPr>
              <w:t xml:space="preserve">0,878</w:t>
            </w:r>
          </w:p>
        </w:tc>
        <w:tc>
          <w:tcPr>
            <w:tcW w:type="dxa" w:w="686"/>
          </w:tcPr>
          <w:p>
            <w:pPr>
              <w:pStyle w:val="Compact"/>
              <w:keepNext/>
              <w:spacing w:line="240" w:lineRule="auto" w:after="0"/>
              <w:ind w:firstLine="0"/>
              <w:jc w:val="right"/>
            </w:pPr>
            <w:r>
              <w:rPr>
                <w:rFonts w:ascii="Arial" w:hAnsi="Arial"/>
                <w:b w:val="0"/>
                <w:sz w:val="16"/>
              </w:rPr>
              <w:t xml:space="preserve">0,870</w:t>
            </w:r>
          </w:p>
        </w:tc>
        <w:tc>
          <w:tcPr>
            <w:tcW w:type="dxa" w:w="774"/>
          </w:tcPr>
          <w:p>
            <w:pPr>
              <w:pStyle w:val="Compact"/>
              <w:keepNext/>
              <w:spacing w:line="240" w:lineRule="auto" w:after="0"/>
              <w:ind w:firstLine="0"/>
              <w:jc w:val="right"/>
            </w:pPr>
            <w:r>
              <w:rPr>
                <w:rFonts w:ascii="Arial" w:hAnsi="Arial"/>
                <w:b w:val="0"/>
                <w:sz w:val="16"/>
              </w:rPr>
              <w:t xml:space="preserve">0,30</w:t>
            </w:r>
          </w:p>
        </w:tc>
        <w:tc>
          <w:tcPr>
            <w:tcW w:type="dxa" w:w="1305"/>
          </w:tcPr>
          <w:p>
            <w:pPr>
              <w:pStyle w:val="Compact"/>
              <w:keepNext/>
              <w:spacing w:line="240" w:lineRule="auto" w:after="0"/>
              <w:ind w:firstLine="0"/>
              <w:jc w:val="left"/>
            </w:pPr>
            <w:r>
              <w:rPr>
                <w:rFonts w:ascii="Arial" w:hAnsi="Arial"/>
                <w:b w:val="0"/>
                <w:sz w:val="16"/>
              </w:rPr>
              <w:t xml:space="preserve">0,79/0,79</w:t>
            </w:r>
          </w:p>
        </w:tc>
        <w:tc>
          <w:tcPr>
            <w:tcW w:type="dxa" w:w="686"/>
          </w:tcPr>
          <w:p>
            <w:pPr>
              <w:pStyle w:val="Compact"/>
              <w:keepNext/>
              <w:spacing w:line="240" w:lineRule="auto" w:after="0"/>
              <w:ind w:firstLine="0"/>
              <w:jc w:val="right"/>
            </w:pPr>
            <w:r>
              <w:rPr>
                <w:rFonts w:ascii="Arial" w:hAnsi="Arial"/>
                <w:b w:val="0"/>
                <w:sz w:val="16"/>
              </w:rPr>
              <w:t xml:space="preserve">2.796</w:t>
            </w:r>
          </w:p>
        </w:tc>
      </w:tr>
      <w:tr>
        <w:trPr>
          <w:cantSplit/>
        </w:trPr>
        <w:tc>
          <w:tcPr>
            <w:tcW w:type="dxa" w:w="1217"/>
          </w:tcPr>
          <w:p>
            <w:pPr>
              <w:pStyle w:val="Compact"/>
              <w:keepNext/>
              <w:spacing w:line="240" w:lineRule="auto" w:after="0"/>
              <w:ind w:firstLine="0"/>
              <w:jc w:val="left"/>
            </w:pPr>
          </w:p>
        </w:tc>
        <w:tc>
          <w:tcPr>
            <w:tcW w:type="dxa" w:w="774"/>
          </w:tcPr>
          <w:p>
            <w:pPr>
              <w:pStyle w:val="Compact"/>
              <w:keepNext/>
              <w:spacing w:line="240" w:lineRule="auto" w:after="0"/>
              <w:ind w:firstLine="0"/>
              <w:jc w:val="left"/>
            </w:pPr>
            <w:r>
              <w:rPr>
                <w:rFonts w:ascii="Arial" w:hAnsi="Arial"/>
                <w:b w:val="0"/>
                <w:sz w:val="16"/>
              </w:rPr>
              <w:t xml:space="preserve">A3</w:t>
            </w:r>
          </w:p>
        </w:tc>
        <w:tc>
          <w:tcPr>
            <w:tcW w:type="dxa" w:w="1040"/>
          </w:tcPr>
          <w:p>
            <w:pPr>
              <w:pStyle w:val="Compact"/>
              <w:keepNext/>
              <w:spacing w:line="240" w:lineRule="auto" w:after="0"/>
              <w:ind w:firstLine="0"/>
              <w:jc w:val="right"/>
            </w:pPr>
            <w:r>
              <w:rPr>
                <w:rFonts w:ascii="Arial" w:hAnsi="Arial"/>
                <w:b w:val="0"/>
                <w:sz w:val="16"/>
              </w:rPr>
              <w:t xml:space="preserve">5.457.265</w:t>
            </w:r>
          </w:p>
        </w:tc>
        <w:tc>
          <w:tcPr>
            <w:tcW w:type="dxa" w:w="1040"/>
          </w:tcPr>
          <w:p>
            <w:pPr>
              <w:pStyle w:val="Compact"/>
              <w:keepNext/>
              <w:spacing w:line="240" w:lineRule="auto" w:after="0"/>
              <w:ind w:firstLine="0"/>
              <w:jc w:val="right"/>
            </w:pPr>
            <w:r>
              <w:rPr>
                <w:rFonts w:ascii="Arial" w:hAnsi="Arial"/>
                <w:b w:val="0"/>
                <w:sz w:val="16"/>
              </w:rPr>
              <w:t xml:space="preserve">5.457.373</w:t>
            </w:r>
          </w:p>
        </w:tc>
        <w:tc>
          <w:tcPr>
            <w:tcW w:type="dxa" w:w="863"/>
          </w:tcPr>
          <w:p>
            <w:pPr>
              <w:pStyle w:val="Compact"/>
              <w:keepNext/>
              <w:spacing w:line="240" w:lineRule="auto" w:after="0"/>
              <w:ind w:firstLine="0"/>
              <w:jc w:val="left"/>
            </w:pPr>
            <w:r>
              <w:rPr>
                <w:rFonts w:ascii="Arial" w:hAnsi="Arial"/>
                <w:b w:val="0"/>
                <w:sz w:val="16"/>
              </w:rPr>
              <w:t xml:space="preserve">—</w:t>
            </w:r>
          </w:p>
        </w:tc>
        <w:tc>
          <w:tcPr>
            <w:tcW w:type="dxa" w:w="686"/>
          </w:tcPr>
          <w:p>
            <w:pPr>
              <w:pStyle w:val="Compact"/>
              <w:keepNext/>
              <w:spacing w:line="240" w:lineRule="auto" w:after="0"/>
              <w:ind w:firstLine="0"/>
              <w:jc w:val="right"/>
            </w:pPr>
            <w:r>
              <w:rPr>
                <w:rFonts w:ascii="Arial" w:hAnsi="Arial"/>
                <w:b w:val="0"/>
                <w:sz w:val="16"/>
              </w:rPr>
              <w:t xml:space="preserve">0,906</w:t>
            </w:r>
          </w:p>
        </w:tc>
        <w:tc>
          <w:tcPr>
            <w:tcW w:type="dxa" w:w="686"/>
          </w:tcPr>
          <w:p>
            <w:pPr>
              <w:pStyle w:val="Compact"/>
              <w:keepNext/>
              <w:spacing w:line="240" w:lineRule="auto" w:after="0"/>
              <w:ind w:firstLine="0"/>
              <w:jc w:val="right"/>
            </w:pPr>
            <w:r>
              <w:rPr>
                <w:rFonts w:ascii="Arial" w:hAnsi="Arial"/>
                <w:b w:val="0"/>
                <w:sz w:val="16"/>
              </w:rPr>
              <w:t xml:space="preserve">0,900</w:t>
            </w:r>
          </w:p>
        </w:tc>
        <w:tc>
          <w:tcPr>
            <w:tcW w:type="dxa" w:w="774"/>
          </w:tcPr>
          <w:p>
            <w:pPr>
              <w:pStyle w:val="Compact"/>
              <w:keepNext/>
              <w:spacing w:line="240" w:lineRule="auto" w:after="0"/>
              <w:ind w:firstLine="0"/>
              <w:jc w:val="right"/>
            </w:pPr>
            <w:r>
              <w:rPr>
                <w:rFonts w:ascii="Arial" w:hAnsi="Arial"/>
                <w:b w:val="0"/>
                <w:sz w:val="16"/>
              </w:rPr>
              <w:t xml:space="preserve">0,31</w:t>
            </w:r>
          </w:p>
        </w:tc>
        <w:tc>
          <w:tcPr>
            <w:tcW w:type="dxa" w:w="1305"/>
          </w:tcPr>
          <w:p>
            <w:pPr>
              <w:pStyle w:val="Compact"/>
              <w:keepNext/>
              <w:spacing w:line="240" w:lineRule="auto" w:after="0"/>
              <w:ind w:firstLine="0"/>
              <w:jc w:val="left"/>
            </w:pPr>
            <w:r>
              <w:rPr>
                <w:rFonts w:ascii="Arial" w:hAnsi="Arial"/>
                <w:b w:val="0"/>
                <w:sz w:val="16"/>
              </w:rPr>
              <w:t xml:space="preserve">0,83/0,82</w:t>
            </w:r>
          </w:p>
        </w:tc>
        <w:tc>
          <w:tcPr>
            <w:tcW w:type="dxa" w:w="686"/>
          </w:tcPr>
          <w:p>
            <w:pPr>
              <w:pStyle w:val="Compact"/>
              <w:keepNext/>
              <w:spacing w:line="240" w:lineRule="auto" w:after="0"/>
              <w:ind w:firstLine="0"/>
              <w:jc w:val="right"/>
            </w:pPr>
            <w:r>
              <w:rPr>
                <w:rFonts w:ascii="Arial" w:hAnsi="Arial"/>
                <w:b w:val="0"/>
                <w:sz w:val="16"/>
              </w:rPr>
              <w:t xml:space="preserve">7.982</w:t>
            </w:r>
          </w:p>
        </w:tc>
      </w:tr>
      <w:tr>
        <w:trPr>
          <w:cantSplit/>
        </w:trPr>
        <w:tc>
          <w:tcPr>
            <w:tcW w:type="dxa" w:w="1217"/>
          </w:tcPr>
          <w:p>
            <w:pPr>
              <w:pStyle w:val="Compact"/>
              <w:keepNext/>
              <w:spacing w:line="240" w:lineRule="auto" w:after="0"/>
              <w:ind w:firstLine="0"/>
              <w:jc w:val="left"/>
            </w:pPr>
          </w:p>
        </w:tc>
        <w:tc>
          <w:tcPr>
            <w:tcW w:type="dxa" w:w="774"/>
          </w:tcPr>
          <w:p>
            <w:pPr>
              <w:pStyle w:val="Compact"/>
              <w:keepNext/>
              <w:spacing w:line="240" w:lineRule="auto" w:after="0"/>
              <w:ind w:firstLine="0"/>
              <w:jc w:val="left"/>
            </w:pPr>
            <w:r>
              <w:rPr>
                <w:rFonts w:ascii="Arial" w:hAnsi="Arial"/>
                <w:b w:val="0"/>
                <w:sz w:val="16"/>
              </w:rPr>
              <w:t xml:space="preserve">A4</w:t>
            </w:r>
          </w:p>
        </w:tc>
        <w:tc>
          <w:tcPr>
            <w:tcW w:type="dxa" w:w="1040"/>
          </w:tcPr>
          <w:p>
            <w:pPr>
              <w:pStyle w:val="Compact"/>
              <w:keepNext/>
              <w:spacing w:line="240" w:lineRule="auto" w:after="0"/>
              <w:ind w:firstLine="0"/>
              <w:jc w:val="right"/>
            </w:pPr>
            <w:r>
              <w:rPr>
                <w:rFonts w:ascii="Arial" w:hAnsi="Arial"/>
                <w:b w:val="0"/>
                <w:sz w:val="16"/>
              </w:rPr>
              <w:t xml:space="preserve">5.457.207</w:t>
            </w:r>
          </w:p>
        </w:tc>
        <w:tc>
          <w:tcPr>
            <w:tcW w:type="dxa" w:w="1040"/>
          </w:tcPr>
          <w:p>
            <w:pPr>
              <w:pStyle w:val="Compact"/>
              <w:keepNext/>
              <w:spacing w:line="240" w:lineRule="auto" w:after="0"/>
              <w:ind w:firstLine="0"/>
              <w:jc w:val="right"/>
            </w:pPr>
            <w:r>
              <w:rPr>
                <w:rFonts w:ascii="Arial" w:hAnsi="Arial"/>
                <w:b w:val="0"/>
                <w:sz w:val="16"/>
              </w:rPr>
              <w:t xml:space="preserve">5.457.319</w:t>
            </w:r>
          </w:p>
        </w:tc>
        <w:tc>
          <w:tcPr>
            <w:tcW w:type="dxa" w:w="863"/>
          </w:tcPr>
          <w:p>
            <w:pPr>
              <w:pStyle w:val="Compact"/>
              <w:keepNext/>
              <w:spacing w:line="240" w:lineRule="auto" w:after="0"/>
              <w:ind w:firstLine="0"/>
              <w:jc w:val="left"/>
            </w:pPr>
            <w:r>
              <w:rPr>
                <w:rFonts w:ascii="Arial" w:hAnsi="Arial"/>
                <w:b w:val="0"/>
                <w:sz w:val="16"/>
              </w:rPr>
              <w:t xml:space="preserve">—</w:t>
            </w:r>
          </w:p>
        </w:tc>
        <w:tc>
          <w:tcPr>
            <w:tcW w:type="dxa" w:w="686"/>
          </w:tcPr>
          <w:p>
            <w:pPr>
              <w:pStyle w:val="Compact"/>
              <w:keepNext/>
              <w:spacing w:line="240" w:lineRule="auto" w:after="0"/>
              <w:ind w:firstLine="0"/>
              <w:jc w:val="right"/>
            </w:pPr>
            <w:r>
              <w:rPr>
                <w:rFonts w:ascii="Arial" w:hAnsi="Arial"/>
                <w:b w:val="0"/>
                <w:sz w:val="16"/>
              </w:rPr>
              <w:t xml:space="preserve">0,906</w:t>
            </w:r>
          </w:p>
        </w:tc>
        <w:tc>
          <w:tcPr>
            <w:tcW w:type="dxa" w:w="686"/>
          </w:tcPr>
          <w:p>
            <w:pPr>
              <w:pStyle w:val="Compact"/>
              <w:keepNext/>
              <w:spacing w:line="240" w:lineRule="auto" w:after="0"/>
              <w:ind w:firstLine="0"/>
              <w:jc w:val="right"/>
            </w:pPr>
            <w:r>
              <w:rPr>
                <w:rFonts w:ascii="Arial" w:hAnsi="Arial"/>
                <w:b w:val="0"/>
                <w:sz w:val="16"/>
              </w:rPr>
              <w:t xml:space="preserve">0,900</w:t>
            </w:r>
          </w:p>
        </w:tc>
        <w:tc>
          <w:tcPr>
            <w:tcW w:type="dxa" w:w="774"/>
          </w:tcPr>
          <w:p>
            <w:pPr>
              <w:pStyle w:val="Compact"/>
              <w:keepNext/>
              <w:spacing w:line="240" w:lineRule="auto" w:after="0"/>
              <w:ind w:firstLine="0"/>
              <w:jc w:val="right"/>
            </w:pPr>
            <w:r>
              <w:rPr>
                <w:rFonts w:ascii="Arial" w:hAnsi="Arial"/>
                <w:b w:val="0"/>
                <w:sz w:val="16"/>
              </w:rPr>
              <w:t xml:space="preserve">0,31</w:t>
            </w:r>
          </w:p>
        </w:tc>
        <w:tc>
          <w:tcPr>
            <w:tcW w:type="dxa" w:w="1305"/>
          </w:tcPr>
          <w:p>
            <w:pPr>
              <w:pStyle w:val="Compact"/>
              <w:keepNext/>
              <w:spacing w:line="240" w:lineRule="auto" w:after="0"/>
              <w:ind w:firstLine="0"/>
              <w:jc w:val="left"/>
            </w:pPr>
            <w:r>
              <w:rPr>
                <w:rFonts w:ascii="Arial" w:hAnsi="Arial"/>
                <w:b w:val="0"/>
                <w:sz w:val="16"/>
              </w:rPr>
              <w:t xml:space="preserve">0,83/0,82</w:t>
            </w:r>
          </w:p>
        </w:tc>
        <w:tc>
          <w:tcPr>
            <w:tcW w:type="dxa" w:w="686"/>
          </w:tcPr>
          <w:p>
            <w:pPr>
              <w:pStyle w:val="Compact"/>
              <w:keepNext/>
              <w:spacing w:line="240" w:lineRule="auto" w:after="0"/>
              <w:ind w:firstLine="0"/>
              <w:jc w:val="right"/>
            </w:pPr>
            <w:r>
              <w:rPr>
                <w:rFonts w:ascii="Arial" w:hAnsi="Arial"/>
                <w:b w:val="0"/>
                <w:sz w:val="16"/>
              </w:rPr>
              <w:t xml:space="preserve">7.881</w:t>
            </w:r>
          </w:p>
        </w:tc>
      </w:tr>
      <w:tr>
        <w:trPr>
          <w:cantSplit/>
        </w:trPr>
        <w:tc>
          <w:tcPr>
            <w:tcW w:type="dxa" w:w="1217"/>
          </w:tcPr>
          <w:p>
            <w:pPr>
              <w:pStyle w:val="Compact"/>
              <w:keepNext/>
              <w:spacing w:line="240" w:lineRule="auto" w:after="0"/>
              <w:ind w:firstLine="0"/>
              <w:jc w:val="left"/>
            </w:pPr>
            <w:r>
              <w:rPr>
                <w:rFonts w:ascii="Arial" w:hAnsi="Arial"/>
                <w:b w:val="0"/>
                <w:sz w:val="16"/>
              </w:rPr>
              <w:t xml:space="preserve">Top 20% de renda</w:t>
            </w:r>
          </w:p>
        </w:tc>
        <w:tc>
          <w:tcPr>
            <w:tcW w:type="dxa" w:w="774"/>
          </w:tcPr>
          <w:p>
            <w:pPr>
              <w:pStyle w:val="Compact"/>
              <w:keepNext/>
              <w:spacing w:line="240" w:lineRule="auto" w:after="0"/>
              <w:ind w:firstLine="0"/>
              <w:jc w:val="left"/>
            </w:pPr>
            <w:r>
              <w:rPr>
                <w:rFonts w:ascii="Arial" w:hAnsi="Arial"/>
                <w:b w:val="0"/>
                <w:sz w:val="16"/>
              </w:rPr>
              <w:t xml:space="preserve">A1</w:t>
            </w:r>
          </w:p>
        </w:tc>
        <w:tc>
          <w:tcPr>
            <w:tcW w:type="dxa" w:w="1040"/>
          </w:tcPr>
          <w:p>
            <w:pPr>
              <w:pStyle w:val="Compact"/>
              <w:keepNext/>
              <w:spacing w:line="240" w:lineRule="auto" w:after="0"/>
              <w:ind w:firstLine="0"/>
              <w:jc w:val="right"/>
            </w:pPr>
            <w:r>
              <w:rPr>
                <w:rFonts w:ascii="Arial" w:hAnsi="Arial"/>
                <w:b w:val="0"/>
                <w:sz w:val="16"/>
              </w:rPr>
              <w:t xml:space="preserve">5.271.208</w:t>
            </w:r>
          </w:p>
        </w:tc>
        <w:tc>
          <w:tcPr>
            <w:tcW w:type="dxa" w:w="1040"/>
          </w:tcPr>
          <w:p>
            <w:pPr>
              <w:pStyle w:val="Compact"/>
              <w:keepNext/>
              <w:spacing w:line="240" w:lineRule="auto" w:after="0"/>
              <w:ind w:firstLine="0"/>
              <w:jc w:val="right"/>
            </w:pPr>
            <w:r>
              <w:rPr>
                <w:rFonts w:ascii="Arial" w:hAnsi="Arial"/>
                <w:b w:val="0"/>
                <w:sz w:val="16"/>
              </w:rPr>
              <w:t xml:space="preserve">5.271.300</w:t>
            </w:r>
          </w:p>
        </w:tc>
        <w:tc>
          <w:tcPr>
            <w:tcW w:type="dxa" w:w="863"/>
          </w:tcPr>
          <w:p>
            <w:pPr>
              <w:pStyle w:val="Compact"/>
              <w:keepNext/>
              <w:spacing w:line="240" w:lineRule="auto" w:after="0"/>
              <w:ind w:firstLine="0"/>
              <w:jc w:val="left"/>
            </w:pPr>
            <w:r>
              <w:rPr>
                <w:rFonts w:ascii="Arial" w:hAnsi="Arial"/>
                <w:b w:val="0"/>
                <w:sz w:val="16"/>
              </w:rPr>
              <w:t xml:space="preserve">—</w:t>
            </w:r>
          </w:p>
        </w:tc>
        <w:tc>
          <w:tcPr>
            <w:tcW w:type="dxa" w:w="686"/>
          </w:tcPr>
          <w:p>
            <w:pPr>
              <w:pStyle w:val="Compact"/>
              <w:keepNext/>
              <w:spacing w:line="240" w:lineRule="auto" w:after="0"/>
              <w:ind w:firstLine="0"/>
              <w:jc w:val="right"/>
            </w:pPr>
            <w:r>
              <w:rPr>
                <w:rFonts w:ascii="Arial" w:hAnsi="Arial"/>
                <w:b w:val="0"/>
                <w:sz w:val="16"/>
              </w:rPr>
              <w:t xml:space="preserve">0,872</w:t>
            </w:r>
          </w:p>
        </w:tc>
        <w:tc>
          <w:tcPr>
            <w:tcW w:type="dxa" w:w="686"/>
          </w:tcPr>
          <w:p>
            <w:pPr>
              <w:pStyle w:val="Compact"/>
              <w:keepNext/>
              <w:spacing w:line="240" w:lineRule="auto" w:after="0"/>
              <w:ind w:firstLine="0"/>
              <w:jc w:val="right"/>
            </w:pPr>
            <w:r>
              <w:rPr>
                <w:rFonts w:ascii="Arial" w:hAnsi="Arial"/>
                <w:b w:val="0"/>
                <w:sz w:val="16"/>
              </w:rPr>
              <w:t xml:space="preserve">0,845</w:t>
            </w:r>
          </w:p>
        </w:tc>
        <w:tc>
          <w:tcPr>
            <w:tcW w:type="dxa" w:w="774"/>
          </w:tcPr>
          <w:p>
            <w:pPr>
              <w:pStyle w:val="Compact"/>
              <w:keepNext/>
              <w:spacing w:line="240" w:lineRule="auto" w:after="0"/>
              <w:ind w:firstLine="0"/>
              <w:jc w:val="right"/>
            </w:pPr>
            <w:r>
              <w:rPr>
                <w:rFonts w:ascii="Arial" w:hAnsi="Arial"/>
                <w:b w:val="0"/>
                <w:sz w:val="16"/>
              </w:rPr>
              <w:t xml:space="preserve">0,19</w:t>
            </w:r>
          </w:p>
        </w:tc>
        <w:tc>
          <w:tcPr>
            <w:tcW w:type="dxa" w:w="1305"/>
          </w:tcPr>
          <w:p>
            <w:pPr>
              <w:pStyle w:val="Compact"/>
              <w:keepNext/>
              <w:spacing w:line="240" w:lineRule="auto" w:after="0"/>
              <w:ind w:firstLine="0"/>
              <w:jc w:val="left"/>
            </w:pPr>
            <w:r>
              <w:rPr>
                <w:rFonts w:ascii="Arial" w:hAnsi="Arial"/>
                <w:b w:val="0"/>
                <w:sz w:val="16"/>
              </w:rPr>
              <w:t xml:space="preserve">0,79/0,79</w:t>
            </w:r>
          </w:p>
        </w:tc>
        <w:tc>
          <w:tcPr>
            <w:tcW w:type="dxa" w:w="686"/>
          </w:tcPr>
          <w:p>
            <w:pPr>
              <w:pStyle w:val="Compact"/>
              <w:keepNext/>
              <w:spacing w:line="240" w:lineRule="auto" w:after="0"/>
              <w:ind w:firstLine="0"/>
              <w:jc w:val="right"/>
            </w:pPr>
            <w:r>
              <w:rPr>
                <w:rFonts w:ascii="Arial" w:hAnsi="Arial"/>
                <w:b w:val="0"/>
                <w:sz w:val="16"/>
              </w:rPr>
              <w:t xml:space="preserve">9.078</w:t>
            </w:r>
          </w:p>
        </w:tc>
      </w:tr>
      <w:tr>
        <w:trPr>
          <w:cantSplit/>
        </w:trPr>
        <w:tc>
          <w:tcPr>
            <w:tcW w:type="dxa" w:w="1217"/>
          </w:tcPr>
          <w:p>
            <w:pPr>
              <w:pStyle w:val="Compact"/>
              <w:keepNext/>
              <w:spacing w:line="240" w:lineRule="auto" w:after="0"/>
              <w:ind w:firstLine="0"/>
              <w:jc w:val="left"/>
            </w:pPr>
          </w:p>
        </w:tc>
        <w:tc>
          <w:tcPr>
            <w:tcW w:type="dxa" w:w="774"/>
          </w:tcPr>
          <w:p>
            <w:pPr>
              <w:pStyle w:val="Compact"/>
              <w:keepNext/>
              <w:spacing w:line="240" w:lineRule="auto" w:after="0"/>
              <w:ind w:firstLine="0"/>
              <w:jc w:val="left"/>
            </w:pPr>
            <w:r>
              <w:rPr>
                <w:rFonts w:ascii="Arial" w:hAnsi="Arial"/>
                <w:b w:val="0"/>
                <w:sz w:val="16"/>
              </w:rPr>
              <w:t xml:space="preserve">A2</w:t>
            </w:r>
          </w:p>
        </w:tc>
        <w:tc>
          <w:tcPr>
            <w:tcW w:type="dxa" w:w="1040"/>
          </w:tcPr>
          <w:p>
            <w:pPr>
              <w:pStyle w:val="Compact"/>
              <w:keepNext/>
              <w:spacing w:line="240" w:lineRule="auto" w:after="0"/>
              <w:ind w:firstLine="0"/>
              <w:jc w:val="right"/>
            </w:pPr>
            <w:r>
              <w:rPr>
                <w:rFonts w:ascii="Arial" w:hAnsi="Arial"/>
                <w:b w:val="0"/>
                <w:sz w:val="16"/>
              </w:rPr>
              <w:t xml:space="preserve">5.251.296</w:t>
            </w:r>
          </w:p>
        </w:tc>
        <w:tc>
          <w:tcPr>
            <w:tcW w:type="dxa" w:w="1040"/>
          </w:tcPr>
          <w:p>
            <w:pPr>
              <w:pStyle w:val="Compact"/>
              <w:keepNext/>
              <w:spacing w:line="240" w:lineRule="auto" w:after="0"/>
              <w:ind w:firstLine="0"/>
              <w:jc w:val="right"/>
            </w:pPr>
            <w:r>
              <w:rPr>
                <w:rFonts w:ascii="Arial" w:hAnsi="Arial"/>
                <w:b w:val="0"/>
                <w:sz w:val="16"/>
              </w:rPr>
              <w:t xml:space="preserve">5.251.394</w:t>
            </w:r>
          </w:p>
        </w:tc>
        <w:tc>
          <w:tcPr>
            <w:tcW w:type="dxa" w:w="863"/>
          </w:tcPr>
          <w:p>
            <w:pPr>
              <w:pStyle w:val="Compact"/>
              <w:keepNext/>
              <w:spacing w:line="240" w:lineRule="auto" w:after="0"/>
              <w:ind w:firstLine="0"/>
              <w:jc w:val="right"/>
            </w:pPr>
            <w:r>
              <w:rPr>
                <w:rFonts w:ascii="Arial" w:hAnsi="Arial"/>
                <w:b w:val="0"/>
                <w:sz w:val="16"/>
              </w:rPr>
              <w:t xml:space="preserve">108.283</w:t>
            </w:r>
          </w:p>
        </w:tc>
        <w:tc>
          <w:tcPr>
            <w:tcW w:type="dxa" w:w="686"/>
          </w:tcPr>
          <w:p>
            <w:pPr>
              <w:pStyle w:val="Compact"/>
              <w:keepNext/>
              <w:spacing w:line="240" w:lineRule="auto" w:after="0"/>
              <w:ind w:firstLine="0"/>
              <w:jc w:val="right"/>
            </w:pPr>
            <w:r>
              <w:rPr>
                <w:rFonts w:ascii="Arial" w:hAnsi="Arial"/>
                <w:b w:val="0"/>
                <w:sz w:val="16"/>
              </w:rPr>
              <w:t xml:space="preserve">0,872</w:t>
            </w:r>
          </w:p>
        </w:tc>
        <w:tc>
          <w:tcPr>
            <w:tcW w:type="dxa" w:w="686"/>
          </w:tcPr>
          <w:p>
            <w:pPr>
              <w:pStyle w:val="Compact"/>
              <w:keepNext/>
              <w:spacing w:line="240" w:lineRule="auto" w:after="0"/>
              <w:ind w:firstLine="0"/>
              <w:jc w:val="right"/>
            </w:pPr>
            <w:r>
              <w:rPr>
                <w:rFonts w:ascii="Arial" w:hAnsi="Arial"/>
                <w:b w:val="0"/>
                <w:sz w:val="16"/>
              </w:rPr>
              <w:t xml:space="preserve">0,859</w:t>
            </w:r>
          </w:p>
        </w:tc>
        <w:tc>
          <w:tcPr>
            <w:tcW w:type="dxa" w:w="774"/>
          </w:tcPr>
          <w:p>
            <w:pPr>
              <w:pStyle w:val="Compact"/>
              <w:keepNext/>
              <w:spacing w:line="240" w:lineRule="auto" w:after="0"/>
              <w:ind w:firstLine="0"/>
              <w:jc w:val="right"/>
            </w:pPr>
            <w:r>
              <w:rPr>
                <w:rFonts w:ascii="Arial" w:hAnsi="Arial"/>
                <w:b w:val="0"/>
                <w:sz w:val="16"/>
              </w:rPr>
              <w:t xml:space="preserve">0,19</w:t>
            </w:r>
          </w:p>
        </w:tc>
        <w:tc>
          <w:tcPr>
            <w:tcW w:type="dxa" w:w="1305"/>
          </w:tcPr>
          <w:p>
            <w:pPr>
              <w:pStyle w:val="Compact"/>
              <w:keepNext/>
              <w:spacing w:line="240" w:lineRule="auto" w:after="0"/>
              <w:ind w:firstLine="0"/>
              <w:jc w:val="left"/>
            </w:pPr>
            <w:r>
              <w:rPr>
                <w:rFonts w:ascii="Arial" w:hAnsi="Arial"/>
                <w:b w:val="0"/>
                <w:sz w:val="16"/>
              </w:rPr>
              <w:t xml:space="preserve">0,79/0,79</w:t>
            </w:r>
          </w:p>
        </w:tc>
        <w:tc>
          <w:tcPr>
            <w:tcW w:type="dxa" w:w="686"/>
          </w:tcPr>
          <w:p>
            <w:pPr>
              <w:pStyle w:val="Compact"/>
              <w:keepNext/>
              <w:spacing w:line="240" w:lineRule="auto" w:after="0"/>
              <w:ind w:firstLine="0"/>
              <w:jc w:val="right"/>
            </w:pPr>
            <w:r>
              <w:rPr>
                <w:rFonts w:ascii="Arial" w:hAnsi="Arial"/>
                <w:b w:val="0"/>
                <w:sz w:val="16"/>
              </w:rPr>
              <w:t xml:space="preserve">9.584</w:t>
            </w:r>
          </w:p>
        </w:tc>
      </w:tr>
      <w:tr>
        <w:trPr>
          <w:cantSplit/>
        </w:trPr>
        <w:tc>
          <w:tcPr>
            <w:tcW w:type="dxa" w:w="1217"/>
          </w:tcPr>
          <w:p>
            <w:pPr>
              <w:pStyle w:val="Compact"/>
              <w:keepNext/>
              <w:spacing w:line="240" w:lineRule="auto" w:after="0"/>
              <w:ind w:firstLine="0"/>
              <w:jc w:val="left"/>
            </w:pPr>
          </w:p>
        </w:tc>
        <w:tc>
          <w:tcPr>
            <w:tcW w:type="dxa" w:w="774"/>
          </w:tcPr>
          <w:p>
            <w:pPr>
              <w:pStyle w:val="Compact"/>
              <w:keepNext/>
              <w:spacing w:line="240" w:lineRule="auto" w:after="0"/>
              <w:ind w:firstLine="0"/>
              <w:jc w:val="left"/>
            </w:pPr>
            <w:r>
              <w:rPr>
                <w:rFonts w:ascii="Arial" w:hAnsi="Arial"/>
                <w:b w:val="0"/>
                <w:sz w:val="16"/>
              </w:rPr>
              <w:t xml:space="preserve">A3</w:t>
            </w:r>
          </w:p>
        </w:tc>
        <w:tc>
          <w:tcPr>
            <w:tcW w:type="dxa" w:w="1040"/>
          </w:tcPr>
          <w:p>
            <w:pPr>
              <w:pStyle w:val="Compact"/>
              <w:keepNext/>
              <w:spacing w:line="240" w:lineRule="auto" w:after="0"/>
              <w:ind w:firstLine="0"/>
              <w:jc w:val="right"/>
            </w:pPr>
            <w:r>
              <w:rPr>
                <w:rFonts w:ascii="Arial" w:hAnsi="Arial"/>
                <w:b w:val="0"/>
                <w:sz w:val="16"/>
              </w:rPr>
              <w:t xml:space="preserve">4.967.208</w:t>
            </w:r>
          </w:p>
        </w:tc>
        <w:tc>
          <w:tcPr>
            <w:tcW w:type="dxa" w:w="1040"/>
          </w:tcPr>
          <w:p>
            <w:pPr>
              <w:pStyle w:val="Compact"/>
              <w:keepNext/>
              <w:spacing w:line="240" w:lineRule="auto" w:after="0"/>
              <w:ind w:firstLine="0"/>
              <w:jc w:val="right"/>
            </w:pPr>
            <w:r>
              <w:rPr>
                <w:rFonts w:ascii="Arial" w:hAnsi="Arial"/>
                <w:b w:val="0"/>
                <w:sz w:val="16"/>
              </w:rPr>
              <w:t xml:space="preserve">4.967.316</w:t>
            </w:r>
          </w:p>
        </w:tc>
        <w:tc>
          <w:tcPr>
            <w:tcW w:type="dxa" w:w="863"/>
          </w:tcPr>
          <w:p>
            <w:pPr>
              <w:pStyle w:val="Compact"/>
              <w:keepNext/>
              <w:spacing w:line="240" w:lineRule="auto" w:after="0"/>
              <w:ind w:firstLine="0"/>
              <w:jc w:val="left"/>
            </w:pPr>
            <w:r>
              <w:rPr>
                <w:rFonts w:ascii="Arial" w:hAnsi="Arial"/>
                <w:b w:val="0"/>
                <w:sz w:val="16"/>
              </w:rPr>
              <w:t xml:space="preserve">—</w:t>
            </w:r>
          </w:p>
        </w:tc>
        <w:tc>
          <w:tcPr>
            <w:tcW w:type="dxa" w:w="686"/>
          </w:tcPr>
          <w:p>
            <w:pPr>
              <w:pStyle w:val="Compact"/>
              <w:keepNext/>
              <w:spacing w:line="240" w:lineRule="auto" w:after="0"/>
              <w:ind w:firstLine="0"/>
              <w:jc w:val="right"/>
            </w:pPr>
            <w:r>
              <w:rPr>
                <w:rFonts w:ascii="Arial" w:hAnsi="Arial"/>
                <w:b w:val="0"/>
                <w:sz w:val="16"/>
              </w:rPr>
              <w:t xml:space="preserve">0,886</w:t>
            </w:r>
          </w:p>
        </w:tc>
        <w:tc>
          <w:tcPr>
            <w:tcW w:type="dxa" w:w="686"/>
          </w:tcPr>
          <w:p>
            <w:pPr>
              <w:pStyle w:val="Compact"/>
              <w:keepNext/>
              <w:spacing w:line="240" w:lineRule="auto" w:after="0"/>
              <w:ind w:firstLine="0"/>
              <w:jc w:val="right"/>
            </w:pPr>
            <w:r>
              <w:rPr>
                <w:rFonts w:ascii="Arial" w:hAnsi="Arial"/>
                <w:b w:val="0"/>
                <w:sz w:val="16"/>
              </w:rPr>
              <w:t xml:space="preserve">0,875</w:t>
            </w:r>
          </w:p>
        </w:tc>
        <w:tc>
          <w:tcPr>
            <w:tcW w:type="dxa" w:w="774"/>
          </w:tcPr>
          <w:p>
            <w:pPr>
              <w:pStyle w:val="Compact"/>
              <w:keepNext/>
              <w:spacing w:line="240" w:lineRule="auto" w:after="0"/>
              <w:ind w:firstLine="0"/>
              <w:jc w:val="right"/>
            </w:pPr>
            <w:r>
              <w:rPr>
                <w:rFonts w:ascii="Arial" w:hAnsi="Arial"/>
                <w:b w:val="0"/>
                <w:sz w:val="16"/>
              </w:rPr>
              <w:t xml:space="preserve">0,19</w:t>
            </w:r>
          </w:p>
        </w:tc>
        <w:tc>
          <w:tcPr>
            <w:tcW w:type="dxa" w:w="1305"/>
          </w:tcPr>
          <w:p>
            <w:pPr>
              <w:pStyle w:val="Compact"/>
              <w:keepNext/>
              <w:spacing w:line="240" w:lineRule="auto" w:after="0"/>
              <w:ind w:firstLine="0"/>
              <w:jc w:val="left"/>
            </w:pPr>
            <w:r>
              <w:rPr>
                <w:rFonts w:ascii="Arial" w:hAnsi="Arial"/>
                <w:b w:val="0"/>
                <w:sz w:val="16"/>
              </w:rPr>
              <w:t xml:space="preserve">0,81/0,80</w:t>
            </w:r>
          </w:p>
        </w:tc>
        <w:tc>
          <w:tcPr>
            <w:tcW w:type="dxa" w:w="686"/>
          </w:tcPr>
          <w:p>
            <w:pPr>
              <w:pStyle w:val="Compact"/>
              <w:keepNext/>
              <w:spacing w:line="240" w:lineRule="auto" w:after="0"/>
              <w:ind w:firstLine="0"/>
              <w:jc w:val="right"/>
            </w:pPr>
            <w:r>
              <w:rPr>
                <w:rFonts w:ascii="Arial" w:hAnsi="Arial"/>
                <w:b w:val="0"/>
                <w:sz w:val="16"/>
              </w:rPr>
              <w:t xml:space="preserve">2.956</w:t>
            </w:r>
          </w:p>
        </w:tc>
      </w:tr>
      <w:tr>
        <w:trPr>
          <w:cantSplit/>
        </w:trPr>
        <w:tc>
          <w:tcPr>
            <w:tcW w:type="dxa" w:w="1217"/>
          </w:tcPr>
          <w:p>
            <w:pPr>
              <w:pStyle w:val="Compact"/>
              <w:keepNext/>
              <w:spacing w:line="240" w:lineRule="auto" w:after="0"/>
              <w:ind w:firstLine="0"/>
              <w:jc w:val="left"/>
            </w:pPr>
          </w:p>
        </w:tc>
        <w:tc>
          <w:tcPr>
            <w:tcW w:type="dxa" w:w="774"/>
          </w:tcPr>
          <w:p>
            <w:pPr>
              <w:pStyle w:val="Compact"/>
              <w:keepNext/>
              <w:spacing w:line="240" w:lineRule="auto" w:after="0"/>
              <w:ind w:firstLine="0"/>
              <w:jc w:val="left"/>
            </w:pPr>
            <w:r>
              <w:rPr>
                <w:rFonts w:ascii="Arial" w:hAnsi="Arial"/>
                <w:b w:val="0"/>
                <w:sz w:val="16"/>
              </w:rPr>
              <w:t xml:space="preserve">A4</w:t>
            </w:r>
          </w:p>
        </w:tc>
        <w:tc>
          <w:tcPr>
            <w:tcW w:type="dxa" w:w="1040"/>
          </w:tcPr>
          <w:p>
            <w:pPr>
              <w:pStyle w:val="Compact"/>
              <w:keepNext/>
              <w:spacing w:line="240" w:lineRule="auto" w:after="0"/>
              <w:ind w:firstLine="0"/>
              <w:jc w:val="right"/>
            </w:pPr>
            <w:r>
              <w:rPr>
                <w:rFonts w:ascii="Arial" w:hAnsi="Arial"/>
                <w:b w:val="0"/>
                <w:sz w:val="16"/>
              </w:rPr>
              <w:t xml:space="preserve">4.966.299</w:t>
            </w:r>
          </w:p>
        </w:tc>
        <w:tc>
          <w:tcPr>
            <w:tcW w:type="dxa" w:w="1040"/>
          </w:tcPr>
          <w:p>
            <w:pPr>
              <w:pStyle w:val="Compact"/>
              <w:keepNext/>
              <w:spacing w:line="240" w:lineRule="auto" w:after="0"/>
              <w:ind w:firstLine="0"/>
              <w:jc w:val="right"/>
            </w:pPr>
            <w:r>
              <w:rPr>
                <w:rFonts w:ascii="Arial" w:hAnsi="Arial"/>
                <w:b w:val="0"/>
                <w:sz w:val="16"/>
              </w:rPr>
              <w:t xml:space="preserve">4.966.411</w:t>
            </w:r>
          </w:p>
        </w:tc>
        <w:tc>
          <w:tcPr>
            <w:tcW w:type="dxa" w:w="863"/>
          </w:tcPr>
          <w:p>
            <w:pPr>
              <w:pStyle w:val="Compact"/>
              <w:keepNext/>
              <w:spacing w:line="240" w:lineRule="auto" w:after="0"/>
              <w:ind w:firstLine="0"/>
              <w:jc w:val="left"/>
            </w:pPr>
            <w:r>
              <w:rPr>
                <w:rFonts w:ascii="Arial" w:hAnsi="Arial"/>
                <w:b w:val="0"/>
                <w:sz w:val="16"/>
              </w:rPr>
              <w:t xml:space="preserve">—</w:t>
            </w:r>
          </w:p>
        </w:tc>
        <w:tc>
          <w:tcPr>
            <w:tcW w:type="dxa" w:w="686"/>
          </w:tcPr>
          <w:p>
            <w:pPr>
              <w:pStyle w:val="Compact"/>
              <w:keepNext/>
              <w:spacing w:line="240" w:lineRule="auto" w:after="0"/>
              <w:ind w:firstLine="0"/>
              <w:jc w:val="right"/>
            </w:pPr>
            <w:r>
              <w:rPr>
                <w:rFonts w:ascii="Arial" w:hAnsi="Arial"/>
                <w:b w:val="0"/>
                <w:sz w:val="16"/>
              </w:rPr>
              <w:t xml:space="preserve">0,886</w:t>
            </w:r>
          </w:p>
        </w:tc>
        <w:tc>
          <w:tcPr>
            <w:tcW w:type="dxa" w:w="686"/>
          </w:tcPr>
          <w:p>
            <w:pPr>
              <w:pStyle w:val="Compact"/>
              <w:keepNext/>
              <w:spacing w:line="240" w:lineRule="auto" w:after="0"/>
              <w:ind w:firstLine="0"/>
              <w:jc w:val="right"/>
            </w:pPr>
            <w:r>
              <w:rPr>
                <w:rFonts w:ascii="Arial" w:hAnsi="Arial"/>
                <w:b w:val="0"/>
                <w:sz w:val="16"/>
              </w:rPr>
              <w:t xml:space="preserve">0,875</w:t>
            </w:r>
          </w:p>
        </w:tc>
        <w:tc>
          <w:tcPr>
            <w:tcW w:type="dxa" w:w="774"/>
          </w:tcPr>
          <w:p>
            <w:pPr>
              <w:pStyle w:val="Compact"/>
              <w:keepNext/>
              <w:spacing w:line="240" w:lineRule="auto" w:after="0"/>
              <w:ind w:firstLine="0"/>
              <w:jc w:val="right"/>
            </w:pPr>
            <w:r>
              <w:rPr>
                <w:rFonts w:ascii="Arial" w:hAnsi="Arial"/>
                <w:b w:val="0"/>
                <w:sz w:val="16"/>
              </w:rPr>
              <w:t xml:space="preserve">0,19</w:t>
            </w:r>
          </w:p>
        </w:tc>
        <w:tc>
          <w:tcPr>
            <w:tcW w:type="dxa" w:w="1305"/>
          </w:tcPr>
          <w:p>
            <w:pPr>
              <w:pStyle w:val="Compact"/>
              <w:keepNext/>
              <w:spacing w:line="240" w:lineRule="auto" w:after="0"/>
              <w:ind w:firstLine="0"/>
              <w:jc w:val="left"/>
            </w:pPr>
            <w:r>
              <w:rPr>
                <w:rFonts w:ascii="Arial" w:hAnsi="Arial"/>
                <w:b w:val="0"/>
                <w:sz w:val="16"/>
              </w:rPr>
              <w:t xml:space="preserve">0,81/0,80</w:t>
            </w:r>
          </w:p>
        </w:tc>
        <w:tc>
          <w:tcPr>
            <w:tcW w:type="dxa" w:w="686"/>
          </w:tcPr>
          <w:p>
            <w:pPr>
              <w:pStyle w:val="Compact"/>
              <w:keepNext/>
              <w:spacing w:line="240" w:lineRule="auto" w:after="0"/>
              <w:ind w:firstLine="0"/>
              <w:jc w:val="right"/>
            </w:pPr>
            <w:r>
              <w:rPr>
                <w:rFonts w:ascii="Arial" w:hAnsi="Arial"/>
                <w:b w:val="0"/>
                <w:sz w:val="16"/>
              </w:rPr>
              <w:t xml:space="preserve">2.630</w:t>
            </w:r>
          </w:p>
        </w:tc>
      </w:tr>
      <w:tr>
        <w:trPr>
          <w:cantSplit/>
        </w:trPr>
        <w:tc>
          <w:tcPr>
            <w:tcW w:type="dxa" w:w="1217"/>
          </w:tcPr>
          <w:p>
            <w:pPr>
              <w:pStyle w:val="Compact"/>
              <w:keepNext/>
              <w:spacing w:line="240" w:lineRule="auto" w:after="0"/>
              <w:ind w:firstLine="0"/>
              <w:jc w:val="left"/>
            </w:pPr>
            <w:r>
              <w:rPr>
                <w:rFonts w:ascii="Arial" w:hAnsi="Arial"/>
                <w:b w:val="0"/>
                <w:sz w:val="16"/>
              </w:rPr>
              <w:t xml:space="preserve">Top 10% de renda</w:t>
            </w:r>
          </w:p>
        </w:tc>
        <w:tc>
          <w:tcPr>
            <w:tcW w:type="dxa" w:w="774"/>
          </w:tcPr>
          <w:p>
            <w:pPr>
              <w:pStyle w:val="Compact"/>
              <w:keepNext/>
              <w:spacing w:line="240" w:lineRule="auto" w:after="0"/>
              <w:ind w:firstLine="0"/>
              <w:jc w:val="left"/>
            </w:pPr>
            <w:r>
              <w:rPr>
                <w:rFonts w:ascii="Arial" w:hAnsi="Arial"/>
                <w:b w:val="0"/>
                <w:sz w:val="16"/>
              </w:rPr>
              <w:t xml:space="preserve">A1</w:t>
            </w:r>
          </w:p>
        </w:tc>
        <w:tc>
          <w:tcPr>
            <w:tcW w:type="dxa" w:w="1040"/>
          </w:tcPr>
          <w:p>
            <w:pPr>
              <w:pStyle w:val="Compact"/>
              <w:keepNext/>
              <w:spacing w:line="240" w:lineRule="auto" w:after="0"/>
              <w:ind w:firstLine="0"/>
              <w:jc w:val="right"/>
            </w:pPr>
            <w:r>
              <w:rPr>
                <w:rFonts w:ascii="Arial" w:hAnsi="Arial"/>
                <w:b w:val="0"/>
                <w:sz w:val="16"/>
              </w:rPr>
              <w:t xml:space="preserve">3.276.689</w:t>
            </w:r>
          </w:p>
        </w:tc>
        <w:tc>
          <w:tcPr>
            <w:tcW w:type="dxa" w:w="1040"/>
          </w:tcPr>
          <w:p>
            <w:pPr>
              <w:pStyle w:val="Compact"/>
              <w:keepNext/>
              <w:spacing w:line="240" w:lineRule="auto" w:after="0"/>
              <w:ind w:firstLine="0"/>
              <w:jc w:val="right"/>
            </w:pPr>
            <w:r>
              <w:rPr>
                <w:rFonts w:ascii="Arial" w:hAnsi="Arial"/>
                <w:b w:val="0"/>
                <w:sz w:val="16"/>
              </w:rPr>
              <w:t xml:space="preserve">3.276.781</w:t>
            </w:r>
          </w:p>
        </w:tc>
        <w:tc>
          <w:tcPr>
            <w:tcW w:type="dxa" w:w="863"/>
          </w:tcPr>
          <w:p>
            <w:pPr>
              <w:pStyle w:val="Compact"/>
              <w:keepNext/>
              <w:spacing w:line="240" w:lineRule="auto" w:after="0"/>
              <w:ind w:firstLine="0"/>
              <w:jc w:val="left"/>
            </w:pPr>
            <w:r>
              <w:rPr>
                <w:rFonts w:ascii="Arial" w:hAnsi="Arial"/>
                <w:b w:val="0"/>
                <w:sz w:val="16"/>
              </w:rPr>
              <w:t xml:space="preserve">—</w:t>
            </w:r>
          </w:p>
        </w:tc>
        <w:tc>
          <w:tcPr>
            <w:tcW w:type="dxa" w:w="686"/>
          </w:tcPr>
          <w:p>
            <w:pPr>
              <w:pStyle w:val="Compact"/>
              <w:keepNext/>
              <w:spacing w:line="240" w:lineRule="auto" w:after="0"/>
              <w:ind w:firstLine="0"/>
              <w:jc w:val="right"/>
            </w:pPr>
            <w:r>
              <w:rPr>
                <w:rFonts w:ascii="Arial" w:hAnsi="Arial"/>
                <w:b w:val="0"/>
                <w:sz w:val="16"/>
              </w:rPr>
              <w:t xml:space="preserve">0,901</w:t>
            </w:r>
          </w:p>
        </w:tc>
        <w:tc>
          <w:tcPr>
            <w:tcW w:type="dxa" w:w="686"/>
          </w:tcPr>
          <w:p>
            <w:pPr>
              <w:pStyle w:val="Compact"/>
              <w:keepNext/>
              <w:spacing w:line="240" w:lineRule="auto" w:after="0"/>
              <w:ind w:firstLine="0"/>
              <w:jc w:val="right"/>
            </w:pPr>
            <w:r>
              <w:rPr>
                <w:rFonts w:ascii="Arial" w:hAnsi="Arial"/>
                <w:b w:val="0"/>
                <w:sz w:val="16"/>
              </w:rPr>
              <w:t xml:space="preserve">0,868</w:t>
            </w:r>
          </w:p>
        </w:tc>
        <w:tc>
          <w:tcPr>
            <w:tcW w:type="dxa" w:w="774"/>
          </w:tcPr>
          <w:p>
            <w:pPr>
              <w:pStyle w:val="Compact"/>
              <w:keepNext/>
              <w:spacing w:line="240" w:lineRule="auto" w:after="0"/>
              <w:ind w:firstLine="0"/>
              <w:jc w:val="right"/>
            </w:pPr>
            <w:r>
              <w:rPr>
                <w:rFonts w:ascii="Arial" w:hAnsi="Arial"/>
                <w:b w:val="0"/>
                <w:sz w:val="16"/>
              </w:rPr>
              <w:t xml:space="preserve">0,09</w:t>
            </w:r>
          </w:p>
        </w:tc>
        <w:tc>
          <w:tcPr>
            <w:tcW w:type="dxa" w:w="1305"/>
          </w:tcPr>
          <w:p>
            <w:pPr>
              <w:pStyle w:val="Compact"/>
              <w:keepNext/>
              <w:spacing w:line="240" w:lineRule="auto" w:after="0"/>
              <w:ind w:firstLine="0"/>
              <w:jc w:val="left"/>
            </w:pPr>
            <w:r>
              <w:rPr>
                <w:rFonts w:ascii="Arial" w:hAnsi="Arial"/>
                <w:b w:val="0"/>
                <w:sz w:val="16"/>
              </w:rPr>
              <w:t xml:space="preserve">0,83/0,81</w:t>
            </w:r>
          </w:p>
        </w:tc>
        <w:tc>
          <w:tcPr>
            <w:tcW w:type="dxa" w:w="686"/>
          </w:tcPr>
          <w:p>
            <w:pPr>
              <w:pStyle w:val="Compact"/>
              <w:keepNext/>
              <w:spacing w:line="240" w:lineRule="auto" w:after="0"/>
              <w:ind w:firstLine="0"/>
              <w:jc w:val="right"/>
            </w:pPr>
            <w:r>
              <w:rPr>
                <w:rFonts w:ascii="Arial" w:hAnsi="Arial"/>
                <w:b w:val="0"/>
                <w:sz w:val="16"/>
              </w:rPr>
              <w:t xml:space="preserve">6.085</w:t>
            </w:r>
          </w:p>
        </w:tc>
      </w:tr>
      <w:tr>
        <w:trPr>
          <w:cantSplit/>
        </w:trPr>
        <w:tc>
          <w:tcPr>
            <w:tcW w:type="dxa" w:w="1217"/>
          </w:tcPr>
          <w:p>
            <w:pPr>
              <w:pStyle w:val="Compact"/>
              <w:keepNext/>
              <w:spacing w:line="240" w:lineRule="auto" w:after="0"/>
              <w:ind w:firstLine="0"/>
              <w:jc w:val="left"/>
            </w:pPr>
          </w:p>
        </w:tc>
        <w:tc>
          <w:tcPr>
            <w:tcW w:type="dxa" w:w="774"/>
          </w:tcPr>
          <w:p>
            <w:pPr>
              <w:pStyle w:val="Compact"/>
              <w:keepNext/>
              <w:spacing w:line="240" w:lineRule="auto" w:after="0"/>
              <w:ind w:firstLine="0"/>
              <w:jc w:val="left"/>
            </w:pPr>
            <w:r>
              <w:rPr>
                <w:rFonts w:ascii="Arial" w:hAnsi="Arial"/>
                <w:b w:val="0"/>
                <w:sz w:val="16"/>
              </w:rPr>
              <w:t xml:space="preserve">A2</w:t>
            </w:r>
          </w:p>
        </w:tc>
        <w:tc>
          <w:tcPr>
            <w:tcW w:type="dxa" w:w="1040"/>
          </w:tcPr>
          <w:p>
            <w:pPr>
              <w:pStyle w:val="Compact"/>
              <w:keepNext/>
              <w:spacing w:line="240" w:lineRule="auto" w:after="0"/>
              <w:ind w:firstLine="0"/>
              <w:jc w:val="right"/>
            </w:pPr>
            <w:r>
              <w:rPr>
                <w:rFonts w:ascii="Arial" w:hAnsi="Arial"/>
                <w:b w:val="0"/>
                <w:sz w:val="16"/>
              </w:rPr>
              <w:t xml:space="preserve">3.258.340</w:t>
            </w:r>
          </w:p>
        </w:tc>
        <w:tc>
          <w:tcPr>
            <w:tcW w:type="dxa" w:w="1040"/>
          </w:tcPr>
          <w:p>
            <w:pPr>
              <w:pStyle w:val="Compact"/>
              <w:keepNext/>
              <w:spacing w:line="240" w:lineRule="auto" w:after="0"/>
              <w:ind w:firstLine="0"/>
              <w:jc w:val="right"/>
            </w:pPr>
            <w:r>
              <w:rPr>
                <w:rFonts w:ascii="Arial" w:hAnsi="Arial"/>
                <w:b w:val="0"/>
                <w:sz w:val="16"/>
              </w:rPr>
              <w:t xml:space="preserve">3.258.438</w:t>
            </w:r>
          </w:p>
        </w:tc>
        <w:tc>
          <w:tcPr>
            <w:tcW w:type="dxa" w:w="863"/>
          </w:tcPr>
          <w:p>
            <w:pPr>
              <w:pStyle w:val="Compact"/>
              <w:keepNext/>
              <w:spacing w:line="240" w:lineRule="auto" w:after="0"/>
              <w:ind w:firstLine="0"/>
              <w:jc w:val="right"/>
            </w:pPr>
            <w:r>
              <w:rPr>
                <w:rFonts w:ascii="Arial" w:hAnsi="Arial"/>
                <w:b w:val="0"/>
                <w:sz w:val="16"/>
              </w:rPr>
              <w:t xml:space="preserve">80.791</w:t>
            </w:r>
          </w:p>
        </w:tc>
        <w:tc>
          <w:tcPr>
            <w:tcW w:type="dxa" w:w="686"/>
          </w:tcPr>
          <w:p>
            <w:pPr>
              <w:pStyle w:val="Compact"/>
              <w:keepNext/>
              <w:spacing w:line="240" w:lineRule="auto" w:after="0"/>
              <w:ind w:firstLine="0"/>
              <w:jc w:val="right"/>
            </w:pPr>
            <w:r>
              <w:rPr>
                <w:rFonts w:ascii="Arial" w:hAnsi="Arial"/>
                <w:b w:val="0"/>
                <w:sz w:val="16"/>
              </w:rPr>
              <w:t xml:space="preserve">0,900</w:t>
            </w:r>
          </w:p>
        </w:tc>
        <w:tc>
          <w:tcPr>
            <w:tcW w:type="dxa" w:w="686"/>
          </w:tcPr>
          <w:p>
            <w:pPr>
              <w:pStyle w:val="Compact"/>
              <w:keepNext/>
              <w:spacing w:line="240" w:lineRule="auto" w:after="0"/>
              <w:ind w:firstLine="0"/>
              <w:jc w:val="right"/>
            </w:pPr>
            <w:r>
              <w:rPr>
                <w:rFonts w:ascii="Arial" w:hAnsi="Arial"/>
                <w:b w:val="0"/>
                <w:sz w:val="16"/>
              </w:rPr>
              <w:t xml:space="preserve">0,886</w:t>
            </w:r>
          </w:p>
        </w:tc>
        <w:tc>
          <w:tcPr>
            <w:tcW w:type="dxa" w:w="774"/>
          </w:tcPr>
          <w:p>
            <w:pPr>
              <w:pStyle w:val="Compact"/>
              <w:keepNext/>
              <w:spacing w:line="240" w:lineRule="auto" w:after="0"/>
              <w:ind w:firstLine="0"/>
              <w:jc w:val="right"/>
            </w:pPr>
            <w:r>
              <w:rPr>
                <w:rFonts w:ascii="Arial" w:hAnsi="Arial"/>
                <w:b w:val="0"/>
                <w:sz w:val="16"/>
              </w:rPr>
              <w:t xml:space="preserve">0,09</w:t>
            </w:r>
          </w:p>
        </w:tc>
        <w:tc>
          <w:tcPr>
            <w:tcW w:type="dxa" w:w="1305"/>
          </w:tcPr>
          <w:p>
            <w:pPr>
              <w:pStyle w:val="Compact"/>
              <w:keepNext/>
              <w:spacing w:line="240" w:lineRule="auto" w:after="0"/>
              <w:ind w:firstLine="0"/>
              <w:jc w:val="left"/>
            </w:pPr>
            <w:r>
              <w:rPr>
                <w:rFonts w:ascii="Arial" w:hAnsi="Arial"/>
                <w:b w:val="0"/>
                <w:sz w:val="16"/>
              </w:rPr>
              <w:t xml:space="preserve">0,83/0,81</w:t>
            </w:r>
          </w:p>
        </w:tc>
        <w:tc>
          <w:tcPr>
            <w:tcW w:type="dxa" w:w="686"/>
          </w:tcPr>
          <w:p>
            <w:pPr>
              <w:pStyle w:val="Compact"/>
              <w:keepNext/>
              <w:spacing w:line="240" w:lineRule="auto" w:after="0"/>
              <w:ind w:firstLine="0"/>
              <w:jc w:val="right"/>
            </w:pPr>
            <w:r>
              <w:rPr>
                <w:rFonts w:ascii="Arial" w:hAnsi="Arial"/>
                <w:b w:val="0"/>
                <w:sz w:val="16"/>
              </w:rPr>
              <w:t xml:space="preserve">6.176</w:t>
            </w:r>
          </w:p>
        </w:tc>
      </w:tr>
      <w:tr>
        <w:trPr>
          <w:cantSplit/>
        </w:trPr>
        <w:tc>
          <w:tcPr>
            <w:tcW w:type="dxa" w:w="1217"/>
          </w:tcPr>
          <w:p>
            <w:pPr>
              <w:pStyle w:val="Compact"/>
              <w:keepNext/>
              <w:spacing w:line="240" w:lineRule="auto" w:after="0"/>
              <w:ind w:firstLine="0"/>
              <w:jc w:val="left"/>
            </w:pPr>
          </w:p>
        </w:tc>
        <w:tc>
          <w:tcPr>
            <w:tcW w:type="dxa" w:w="774"/>
          </w:tcPr>
          <w:p>
            <w:pPr>
              <w:pStyle w:val="Compact"/>
              <w:keepNext/>
              <w:spacing w:line="240" w:lineRule="auto" w:after="0"/>
              <w:ind w:firstLine="0"/>
              <w:jc w:val="left"/>
            </w:pPr>
            <w:r>
              <w:rPr>
                <w:rFonts w:ascii="Arial" w:hAnsi="Arial"/>
                <w:b w:val="0"/>
                <w:sz w:val="16"/>
              </w:rPr>
              <w:t xml:space="preserve">A3</w:t>
            </w:r>
          </w:p>
        </w:tc>
        <w:tc>
          <w:tcPr>
            <w:tcW w:type="dxa" w:w="1040"/>
          </w:tcPr>
          <w:p>
            <w:pPr>
              <w:pStyle w:val="Compact"/>
              <w:keepNext/>
              <w:spacing w:line="240" w:lineRule="auto" w:after="0"/>
              <w:ind w:firstLine="0"/>
              <w:jc w:val="right"/>
            </w:pPr>
            <w:r>
              <w:rPr>
                <w:rFonts w:ascii="Arial" w:hAnsi="Arial"/>
                <w:b w:val="0"/>
                <w:sz w:val="16"/>
              </w:rPr>
              <w:t xml:space="preserve">3.075.653</w:t>
            </w:r>
          </w:p>
        </w:tc>
        <w:tc>
          <w:tcPr>
            <w:tcW w:type="dxa" w:w="1040"/>
          </w:tcPr>
          <w:p>
            <w:pPr>
              <w:pStyle w:val="Compact"/>
              <w:keepNext/>
              <w:spacing w:line="240" w:lineRule="auto" w:after="0"/>
              <w:ind w:firstLine="0"/>
              <w:jc w:val="right"/>
            </w:pPr>
            <w:r>
              <w:rPr>
                <w:rFonts w:ascii="Arial" w:hAnsi="Arial"/>
                <w:b w:val="0"/>
                <w:sz w:val="16"/>
              </w:rPr>
              <w:t xml:space="preserve">3.075.761</w:t>
            </w:r>
          </w:p>
        </w:tc>
        <w:tc>
          <w:tcPr>
            <w:tcW w:type="dxa" w:w="863"/>
          </w:tcPr>
          <w:p>
            <w:pPr>
              <w:pStyle w:val="Compact"/>
              <w:keepNext/>
              <w:spacing w:line="240" w:lineRule="auto" w:after="0"/>
              <w:ind w:firstLine="0"/>
              <w:jc w:val="left"/>
            </w:pPr>
            <w:r>
              <w:rPr>
                <w:rFonts w:ascii="Arial" w:hAnsi="Arial"/>
                <w:b w:val="0"/>
                <w:sz w:val="16"/>
              </w:rPr>
              <w:t xml:space="preserve">—</w:t>
            </w:r>
          </w:p>
        </w:tc>
        <w:tc>
          <w:tcPr>
            <w:tcW w:type="dxa" w:w="686"/>
          </w:tcPr>
          <w:p>
            <w:pPr>
              <w:pStyle w:val="Compact"/>
              <w:keepNext/>
              <w:spacing w:line="240" w:lineRule="auto" w:after="0"/>
              <w:ind w:firstLine="0"/>
              <w:jc w:val="right"/>
            </w:pPr>
            <w:r>
              <w:rPr>
                <w:rFonts w:ascii="Arial" w:hAnsi="Arial"/>
                <w:b w:val="0"/>
                <w:sz w:val="16"/>
              </w:rPr>
              <w:t xml:space="preserve">0,913</w:t>
            </w:r>
          </w:p>
        </w:tc>
        <w:tc>
          <w:tcPr>
            <w:tcW w:type="dxa" w:w="686"/>
          </w:tcPr>
          <w:p>
            <w:pPr>
              <w:pStyle w:val="Compact"/>
              <w:keepNext/>
              <w:spacing w:line="240" w:lineRule="auto" w:after="0"/>
              <w:ind w:firstLine="0"/>
              <w:jc w:val="right"/>
            </w:pPr>
            <w:r>
              <w:rPr>
                <w:rFonts w:ascii="Arial" w:hAnsi="Arial"/>
                <w:b w:val="0"/>
                <w:sz w:val="16"/>
              </w:rPr>
              <w:t xml:space="preserve">0,900</w:t>
            </w:r>
          </w:p>
        </w:tc>
        <w:tc>
          <w:tcPr>
            <w:tcW w:type="dxa" w:w="774"/>
          </w:tcPr>
          <w:p>
            <w:pPr>
              <w:pStyle w:val="Compact"/>
              <w:keepNext/>
              <w:spacing w:line="240" w:lineRule="auto" w:after="0"/>
              <w:ind w:firstLine="0"/>
              <w:jc w:val="right"/>
            </w:pPr>
            <w:r>
              <w:rPr>
                <w:rFonts w:ascii="Arial" w:hAnsi="Arial"/>
                <w:b w:val="0"/>
                <w:sz w:val="16"/>
              </w:rPr>
              <w:t xml:space="preserve">0,10</w:t>
            </w:r>
          </w:p>
        </w:tc>
        <w:tc>
          <w:tcPr>
            <w:tcW w:type="dxa" w:w="1305"/>
          </w:tcPr>
          <w:p>
            <w:pPr>
              <w:pStyle w:val="Compact"/>
              <w:keepNext/>
              <w:spacing w:line="240" w:lineRule="auto" w:after="0"/>
              <w:ind w:firstLine="0"/>
              <w:jc w:val="left"/>
            </w:pPr>
            <w:r>
              <w:rPr>
                <w:rFonts w:ascii="Arial" w:hAnsi="Arial"/>
                <w:b w:val="0"/>
                <w:sz w:val="16"/>
              </w:rPr>
              <w:t xml:space="preserve">0,83/0,83</w:t>
            </w:r>
          </w:p>
        </w:tc>
        <w:tc>
          <w:tcPr>
            <w:tcW w:type="dxa" w:w="686"/>
          </w:tcPr>
          <w:p>
            <w:pPr>
              <w:pStyle w:val="Compact"/>
              <w:keepNext/>
              <w:spacing w:line="240" w:lineRule="auto" w:after="0"/>
              <w:ind w:firstLine="0"/>
              <w:jc w:val="right"/>
            </w:pPr>
            <w:r>
              <w:rPr>
                <w:rFonts w:ascii="Arial" w:hAnsi="Arial"/>
                <w:b w:val="0"/>
                <w:sz w:val="16"/>
              </w:rPr>
              <w:t xml:space="preserve">2.836</w:t>
            </w:r>
          </w:p>
        </w:tc>
      </w:tr>
      <w:tr>
        <w:trPr>
          <w:cantSplit/>
        </w:trPr>
        <w:tc>
          <w:tcPr>
            <w:tcW w:type="dxa" w:w="1217"/>
            <w:tcBorders>
              <w:top w:val="nil"/>
              <w:left w:val="nil"/>
              <w:bottom w:val="single" w:sz="8" w:color="000000"/>
              <w:right w:val="nil"/>
            </w:tcBorders>
          </w:tcPr>
          <w:p>
            <w:pPr>
              <w:pStyle w:val="Compact"/>
              <w:keepNext/>
              <w:spacing w:line="240" w:lineRule="auto" w:after="0"/>
              <w:ind w:firstLine="0"/>
              <w:jc w:val="left"/>
            </w:pPr>
          </w:p>
        </w:tc>
        <w:tc>
          <w:tcPr>
            <w:tcW w:type="dxa" w:w="774"/>
            <w:tcBorders>
              <w:top w:val="nil"/>
              <w:left w:val="nil"/>
              <w:bottom w:val="single" w:sz="8" w:color="000000"/>
              <w:right w:val="nil"/>
            </w:tcBorders>
          </w:tcPr>
          <w:p>
            <w:pPr>
              <w:pStyle w:val="Compact"/>
              <w:keepNext/>
              <w:spacing w:line="240" w:lineRule="auto" w:after="0"/>
              <w:ind w:firstLine="0"/>
              <w:jc w:val="left"/>
            </w:pPr>
            <w:r>
              <w:rPr>
                <w:rFonts w:ascii="Arial" w:hAnsi="Arial"/>
                <w:b w:val="0"/>
                <w:sz w:val="16"/>
              </w:rPr>
              <w:t xml:space="preserve">A4</w:t>
            </w:r>
          </w:p>
        </w:tc>
        <w:tc>
          <w:tcPr>
            <w:tcW w:type="dxa" w:w="1040"/>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3.074.632</w:t>
            </w:r>
          </w:p>
        </w:tc>
        <w:tc>
          <w:tcPr>
            <w:tcW w:type="dxa" w:w="1040"/>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3.074.744</w:t>
            </w:r>
          </w:p>
        </w:tc>
        <w:tc>
          <w:tcPr>
            <w:tcW w:type="dxa" w:w="863"/>
            <w:tcBorders>
              <w:top w:val="nil"/>
              <w:left w:val="nil"/>
              <w:bottom w:val="single" w:sz="8" w:color="000000"/>
              <w:right w:val="nil"/>
            </w:tcBorders>
          </w:tcPr>
          <w:p>
            <w:pPr>
              <w:pStyle w:val="Compact"/>
              <w:keepNext/>
              <w:spacing w:line="240" w:lineRule="auto" w:after="0"/>
              <w:ind w:firstLine="0"/>
              <w:jc w:val="left"/>
            </w:pPr>
            <w:r>
              <w:rPr>
                <w:rFonts w:ascii="Arial" w:hAnsi="Arial"/>
                <w:b w:val="0"/>
                <w:sz w:val="16"/>
              </w:rPr>
              <w:t xml:space="preserve">—</w:t>
            </w:r>
          </w:p>
        </w:tc>
        <w:tc>
          <w:tcPr>
            <w:tcW w:type="dxa" w:w="686"/>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0,913</w:t>
            </w:r>
          </w:p>
        </w:tc>
        <w:tc>
          <w:tcPr>
            <w:tcW w:type="dxa" w:w="686"/>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0,900</w:t>
            </w:r>
          </w:p>
        </w:tc>
        <w:tc>
          <w:tcPr>
            <w:tcW w:type="dxa" w:w="774"/>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0,09</w:t>
            </w:r>
          </w:p>
        </w:tc>
        <w:tc>
          <w:tcPr>
            <w:tcW w:type="dxa" w:w="1305"/>
            <w:tcBorders>
              <w:top w:val="nil"/>
              <w:left w:val="nil"/>
              <w:bottom w:val="single" w:sz="8" w:color="000000"/>
              <w:right w:val="nil"/>
            </w:tcBorders>
          </w:tcPr>
          <w:p>
            <w:pPr>
              <w:pStyle w:val="Compact"/>
              <w:keepNext/>
              <w:spacing w:line="240" w:lineRule="auto" w:after="0"/>
              <w:ind w:firstLine="0"/>
              <w:jc w:val="left"/>
            </w:pPr>
            <w:r>
              <w:rPr>
                <w:rFonts w:ascii="Arial" w:hAnsi="Arial"/>
                <w:b w:val="0"/>
                <w:sz w:val="16"/>
              </w:rPr>
              <w:t xml:space="preserve">0,85/0,82</w:t>
            </w:r>
          </w:p>
        </w:tc>
        <w:tc>
          <w:tcPr>
            <w:tcW w:type="dxa" w:w="686"/>
            <w:tcBorders>
              <w:top w:val="nil"/>
              <w:left w:val="nil"/>
              <w:bottom w:val="single" w:sz="8" w:color="000000"/>
              <w:right w:val="nil"/>
            </w:tcBorders>
          </w:tcPr>
          <w:p>
            <w:pPr>
              <w:pStyle w:val="Compact"/>
              <w:keepNext/>
              <w:spacing w:line="240" w:lineRule="auto" w:after="0"/>
              <w:ind w:firstLine="0"/>
              <w:jc w:val="right"/>
            </w:pPr>
            <w:r>
              <w:rPr>
                <w:rFonts w:ascii="Arial" w:hAnsi="Arial"/>
                <w:b w:val="0"/>
                <w:sz w:val="16"/>
              </w:rPr>
              <w:t xml:space="preserve">2.472</w:t>
            </w:r>
          </w:p>
        </w:tc>
      </w:tr>
    </w:tbl>
    <w:bookmarkEnd w:id="79"/>
    <w:p>
      <w:pPr>
        <w:pStyle w:val="BodyText"/>
        <w:spacing w:line="240" w:lineRule="auto" w:before="40" w:after="240"/>
        <w:ind w:firstLine="0"/>
        <w:jc w:val="both"/>
      </w:pPr>
      <w:r>
        <w:rPr>
          <w:rFonts w:ascii="Arial" w:hAnsi="Arial"/>
          <w:sz w:val="22"/>
        </w:rPr>
        <w:t xml:space="preserve">Fonte: Resultados originais da pesquisa.</w:t>
      </w:r>
    </w:p>
    <w:bookmarkEnd w:id="80"/>
    <w:bookmarkStart w:id="88" w:name="Xc30b935695c470ed471485b7fb71c737b555f84"/>
    <w:p>
      <w:pPr>
        <w:pStyle w:val="Ttulo2"/>
        <w:spacing w:line="360" w:lineRule="auto" w:before="280" w:after="280"/>
        <w:ind w:firstLine="709"/>
        <w:jc w:val="left"/>
      </w:pPr>
      <w:r>
        <w:rPr>
          <w:rFonts w:ascii="Arial" w:hAnsi="Arial"/>
          <w:b/>
          <w:sz w:val="22"/>
        </w:rPr>
        <w:t xml:space="preserve">Regressão Quantílica e RIF-OB: teto de vidro e</w:t>
      </w:r>
      <w:r>
        <w:rPr>
          <w:rFonts w:ascii="Arial" w:hAnsi="Arial"/>
          <w:b/>
          <w:sz w:val="22"/>
        </w:rPr>
        <w:t xml:space="preserve"> </w:t>
      </w:r>
      <w:r>
        <w:rPr>
          <w:rFonts w:ascii="Arial" w:hAnsi="Arial"/>
          <w:b/>
          <w:sz w:val="22"/>
        </w:rPr>
        <w:t xml:space="preserve">sticky floor</w:t>
      </w:r>
    </w:p>
    <w:p>
      <w:pPr>
        <w:pStyle w:val="FirstParagraph"/>
        <w:spacing w:line="360" w:lineRule="auto" w:after="0"/>
        <w:ind w:firstLine="709"/>
        <w:jc w:val="both"/>
      </w:pPr>
      <w:r>
        <w:rPr>
          <w:rFonts w:ascii="Arial" w:hAnsi="Arial"/>
          <w:sz w:val="22"/>
        </w:rPr>
        <w:t xml:space="preserve">Passada a porta, resta a escada: a penalidade é a mesma para quem ganha pouco e para quem ganha muito?</w:t>
      </w:r>
      <w:r>
        <w:rPr>
          <w:rFonts w:ascii="Arial" w:hAnsi="Arial"/>
          <w:sz w:val="22"/>
        </w:rPr>
        <w:t xml:space="preserve"> </w:t>
      </w:r>
      <w:bookmarkStart w:id="81" w:name="subsec:qr_rif"/>
      <w:bookmarkEnd w:id="81"/>
      <w:r>
        <w:rPr>
          <w:rFonts w:ascii="Arial" w:hAnsi="Arial"/>
          <w:sz w:val="22"/>
        </w:rPr>
        <w:t xml:space="preserve"> </w:t>
      </w:r>
      <w:r>
        <w:rPr>
          <w:rFonts w:ascii="Arial" w:hAnsi="Arial"/>
          <w:sz w:val="22"/>
        </w:rPr>
        <w:t xml:space="preserve">A penalidade racial é a mesma em toda a distribuição de renda? Nada obriga que seja,</w:t>
      </w:r>
      <w:r>
        <w:rPr>
          <w:rFonts w:ascii="Arial" w:hAnsi="Arial"/>
          <w:sz w:val="22"/>
        </w:rPr>
        <w:t xml:space="preserve"> </w:t>
      </w:r>
      <w:r>
        <w:rPr>
          <w:rFonts w:ascii="Arial" w:hAnsi="Arial"/>
          <w:sz w:val="22"/>
        </w:rPr>
        <w:t xml:space="preserve">e as duas possibilidades apontam para lugares diferentes. Se ela crescer rumo ao topo, o</w:t>
      </w:r>
      <w:r>
        <w:rPr>
          <w:rFonts w:ascii="Arial" w:hAnsi="Arial"/>
          <w:sz w:val="22"/>
        </w:rPr>
        <w:t xml:space="preserve"> </w:t>
      </w:r>
      <w:r>
        <w:rPr>
          <w:rFonts w:ascii="Arial" w:hAnsi="Arial"/>
          <w:sz w:val="22"/>
        </w:rPr>
        <w:t xml:space="preserve">problema é um teto de vidro: quanto mais alto se sobe, mais a cor pesa, e o alvo da</w:t>
      </w:r>
      <w:r>
        <w:rPr>
          <w:rFonts w:ascii="Arial" w:hAnsi="Arial"/>
          <w:sz w:val="22"/>
        </w:rPr>
        <w:t xml:space="preserve"> </w:t>
      </w:r>
      <w:r>
        <w:rPr>
          <w:rFonts w:ascii="Arial" w:hAnsi="Arial"/>
          <w:sz w:val="22"/>
        </w:rPr>
        <w:t xml:space="preserve">política são as posições de comando. Se for maior na base, o problema é um piso</w:t>
      </w:r>
      <w:r>
        <w:rPr>
          <w:rFonts w:ascii="Arial" w:hAnsi="Arial"/>
          <w:sz w:val="22"/>
        </w:rPr>
        <w:t xml:space="preserve"> </w:t>
      </w:r>
      <w:r>
        <w:rPr>
          <w:rFonts w:ascii="Arial" w:hAnsi="Arial"/>
          <w:sz w:val="22"/>
        </w:rPr>
        <w:t xml:space="preserve">pegajoso, e concentrar esforços nas elites profissionais erra o alvo por inteiro. Os</w:t>
      </w:r>
      <w:r>
        <w:rPr>
          <w:rFonts w:ascii="Arial" w:hAnsi="Arial"/>
          <w:sz w:val="22"/>
        </w:rPr>
        <w:t xml:space="preserve"> </w:t>
      </w:r>
      <w:r>
        <w:rPr>
          <w:rFonts w:ascii="Arial" w:hAnsi="Arial"/>
          <w:sz w:val="22"/>
        </w:rPr>
        <w:t xml:space="preserve">resultados a seguir mostram que as duas leituras estão corretas — porque respondem a</w:t>
      </w:r>
      <w:r>
        <w:rPr>
          <w:rFonts w:ascii="Arial" w:hAnsi="Arial"/>
          <w:sz w:val="22"/>
        </w:rPr>
        <w:t xml:space="preserve"> </w:t>
      </w:r>
      <w:r>
        <w:rPr>
          <w:rFonts w:ascii="Arial" w:hAnsi="Arial"/>
          <w:sz w:val="22"/>
        </w:rPr>
        <w:t xml:space="preserve">perguntas diferentes, e a subseção termina explicando por que não se contradizem.</w:t>
      </w:r>
    </w:p>
    <w:p>
      <w:pPr>
        <w:pStyle w:val="BodyText"/>
        <w:spacing w:line="360" w:lineRule="auto" w:after="0"/>
        <w:ind w:firstLine="709"/>
        <w:jc w:val="both"/>
      </w:pPr>
      <w:r>
        <w:rPr>
          <w:rFonts w:ascii="Arial" w:hAnsi="Arial"/>
          <w:sz w:val="22"/>
        </w:rPr>
        <w:t xml:space="preserve">A regressão quantílica estima o gap em cada ponto da distribuição de renda; a</w:t>
      </w:r>
      <w:r>
        <w:rPr>
          <w:rFonts w:ascii="Arial" w:hAnsi="Arial"/>
          <w:sz w:val="22"/>
        </w:rPr>
        <w:t xml:space="preserve"> </w:t>
      </w:r>
      <w:r>
        <w:rPr>
          <w:rFonts w:ascii="Arial" w:hAnsi="Arial"/>
          <w:sz w:val="22"/>
        </w:rPr>
        <w:t xml:space="preserve">RIF-OB separa, por quantil, dotação e retorno. A Tabela 9</w:t>
      </w:r>
      <w:r>
        <w:rPr>
          <w:rFonts w:ascii="Arial" w:hAnsi="Arial"/>
          <w:sz w:val="22"/>
        </w:rPr>
        <w:t xml:space="preserve"> </w:t>
      </w:r>
      <w:r>
        <w:rPr>
          <w:rFonts w:ascii="Arial" w:hAnsi="Arial"/>
          <w:sz w:val="22"/>
        </w:rPr>
        <w:t xml:space="preserve">mostra a penalidade</w:t>
      </w:r>
      <w:r>
        <w:rPr>
          <w:rFonts w:ascii="Arial" w:hAnsi="Arial"/>
          <w:sz w:val="22"/>
        </w:rPr>
        <w:t xml:space="preserve"> </w:t>
      </w:r>
      <w:r>
        <w:rPr>
          <w:rFonts w:ascii="Arial" w:hAnsi="Arial"/>
          <w:sz w:val="22"/>
        </w:rPr>
        <w:t xml:space="preserve">condicional</w:t>
      </w:r>
      <w:r>
        <w:rPr>
          <w:rFonts w:ascii="Arial" w:hAnsi="Arial"/>
          <w:sz w:val="22"/>
        </w:rPr>
        <w:t xml:space="preserve"> </w:t>
      </w:r>
      <w:r>
        <w:rPr>
          <w:rFonts w:ascii="Arial" w:hAnsi="Arial"/>
          <w:sz w:val="22"/>
        </w:rPr>
        <w:t xml:space="preserve">crescendo rumo ao topo (teto de vidro entre</w:t>
      </w:r>
      <w:r>
        <w:rPr>
          <w:rFonts w:ascii="Arial" w:hAnsi="Arial"/>
          <w:sz w:val="22"/>
        </w:rPr>
        <w:t xml:space="preserve"> </w:t>
      </w:r>
      <w:r>
        <w:rPr>
          <w:rFonts w:ascii="Arial" w:hAnsi="Arial"/>
          <w:sz w:val="22"/>
        </w:rPr>
        <w:t xml:space="preserve">pessoas de mesmo perfil); a</w:t>
      </w:r>
      <w:r>
        <w:rPr>
          <w:rFonts w:ascii="Arial" w:hAnsi="Arial"/>
          <w:sz w:val="22"/>
        </w:rPr>
        <w:t xml:space="preserve"> </w:t>
      </w:r>
      <w:r>
        <w:rPr>
          <w:rFonts w:ascii="Arial" w:hAnsi="Arial"/>
          <w:sz w:val="22"/>
        </w:rPr>
        <w:t xml:space="preserve">Tabela 10 revela o padrão complementar: o componente de retorno</w:t>
      </w:r>
      <w:r>
        <w:rPr>
          <w:rFonts w:ascii="Arial" w:hAnsi="Arial"/>
          <w:sz w:val="22"/>
        </w:rPr>
        <w:t xml:space="preserve"> </w:t>
      </w:r>
      <w:r>
        <w:rPr>
          <w:rFonts w:ascii="Arial" w:hAnsi="Arial"/>
          <w:sz w:val="22"/>
        </w:rPr>
        <w:t xml:space="preserve">(discriminação proporcional) é maior na base e</w:t>
      </w:r>
      <w:r>
        <w:rPr>
          <w:rFonts w:ascii="Arial" w:hAnsi="Arial"/>
          <w:sz w:val="22"/>
        </w:rPr>
        <w:t xml:space="preserve"> </w:t>
      </w:r>
      <w:r>
        <w:rPr>
          <w:rFonts w:ascii="Arial" w:hAnsi="Arial"/>
          <w:sz w:val="22"/>
        </w:rPr>
        <w:t xml:space="preserve">decresce</w:t>
      </w:r>
      <w:r>
        <w:rPr>
          <w:rFonts w:ascii="Arial" w:hAnsi="Arial"/>
          <w:sz w:val="22"/>
        </w:rPr>
        <w:t xml:space="preserve"> </w:t>
      </w:r>
      <w:r>
        <w:rPr>
          <w:rFonts w:ascii="Arial" w:hAnsi="Arial"/>
          <w:sz w:val="22"/>
        </w:rPr>
        <w:t xml:space="preserve">rumo ao topo</w:t>
      </w:r>
      <w:r>
        <w:rPr>
          <w:rFonts w:ascii="Arial" w:hAnsi="Arial"/>
          <w:sz w:val="22"/>
        </w:rPr>
        <w:t xml:space="preserve"> </w:t>
      </w:r>
      <w:r>
        <w:rPr>
          <w:rFonts w:ascii="Arial" w:hAnsi="Arial"/>
          <w:sz w:val="22"/>
        </w:rPr>
        <w:t xml:space="preserve">(</w:t>
      </w:r>
      <w:r>
        <w:rPr>
          <w:rFonts w:ascii="Arial" w:hAnsi="Arial"/>
          <w:sz w:val="22"/>
        </w:rPr>
        <w:t xml:space="preserve">sticky floor</w:t>
      </w:r>
      <w:r>
        <w:rPr>
          <w:rFonts w:ascii="Arial" w:hAnsi="Arial"/>
          <w:sz w:val="22"/>
        </w:rPr>
        <w:t xml:space="preserve">). Nota: na Tabela 10, Dotações</w:t>
      </w:r>
      <w:r>
        <w:rPr>
          <w:rFonts w:ascii="Arial" w:hAnsi="Arial"/>
          <w:sz w:val="22"/>
        </w:rPr>
        <w:t xml:space="preserve"> </w:t>
      </w:r>
      <m:oMath>
        <m:r>
          <m:rPr>
            <m:sty m:val="p"/>
          </m:rPr>
          <m:t>+</m:t>
        </m:r>
      </m:oMath>
      <w:r>
        <w:rPr>
          <w:rFonts w:ascii="Arial" w:hAnsi="Arial"/>
          <w:sz w:val="22"/>
        </w:rPr>
        <w:t xml:space="preserve"> </w:t>
      </w:r>
      <w:r>
        <w:rPr>
          <w:rFonts w:ascii="Arial" w:hAnsi="Arial"/>
          <w:sz w:val="22"/>
        </w:rPr>
        <w:t xml:space="preserve">Retornos</w:t>
      </w:r>
      <w:r>
        <w:rPr>
          <w:rFonts w:ascii="Arial" w:hAnsi="Arial"/>
          <w:sz w:val="22"/>
        </w:rPr>
        <w:t xml:space="preserve"> </w:t>
      </w:r>
      <m:oMath>
        <m:r>
          <m:rPr>
            <m:sty m:val="p"/>
          </m:rPr>
          <m:t>=</m:t>
        </m:r>
        <m:r>
          <m:t>100</m:t>
        </m:r>
        <m:r>
          <m:rPr>
            <m:sty m:val="p"/>
          </m:rPr>
          <m:t>%</m:t>
        </m:r>
      </m:oMath>
      <w:r>
        <w:rPr>
          <w:rFonts w:ascii="Arial" w:hAnsi="Arial"/>
          <w:sz w:val="22"/>
        </w:rPr>
        <w:t xml:space="preserve"> </w:t>
      </w:r>
      <w:r>
        <w:rPr>
          <w:rFonts w:ascii="Arial" w:hAnsi="Arial"/>
          <w:sz w:val="22"/>
        </w:rPr>
        <w:t xml:space="preserve">do gap RIF — a coluna ao lado do gap observado —,</w:t>
      </w:r>
      <w:r>
        <w:rPr>
          <w:rFonts w:ascii="Arial" w:hAnsi="Arial"/>
          <w:sz w:val="22"/>
        </w:rPr>
        <w:t xml:space="preserve"> </w:t>
      </w:r>
      <w:r>
        <w:rPr>
          <w:rFonts w:ascii="Arial" w:hAnsi="Arial"/>
          <w:sz w:val="22"/>
        </w:rPr>
        <w:t xml:space="preserve">e a coluna Retornos cai de</w:t>
      </w:r>
      <w:r>
        <w:rPr>
          <w:rFonts w:ascii="Arial" w:hAnsi="Arial"/>
          <w:sz w:val="22"/>
        </w:rPr>
        <w:t xml:space="preserve"> </w:t>
      </w:r>
      <m:oMath>
        <m:r>
          <m:t>26</m:t>
        </m:r>
        <m:r>
          <m:rPr>
            <m:sty m:val="p"/>
          </m:rPr>
          <m:t>,</m:t>
        </m:r>
        <m:r>
          <m:t>5</m:t>
        </m:r>
        <m:r>
          <m:rPr>
            <m:sty m:val="p"/>
          </m:rPr>
          <m:t>%</m:t>
        </m:r>
      </m:oMath>
      <w:r>
        <w:rPr>
          <w:rFonts w:ascii="Arial" w:hAnsi="Arial"/>
          <w:sz w:val="22"/>
        </w:rPr>
        <w:t xml:space="preserve"> </w:t>
      </w:r>
      <w:r>
        <w:rPr>
          <w:rFonts w:ascii="Arial" w:hAnsi="Arial"/>
          <w:sz w:val="22"/>
        </w:rPr>
        <w:t xml:space="preserve">(q10) a</w:t>
      </w:r>
      <w:r>
        <w:rPr>
          <w:rFonts w:ascii="Arial" w:hAnsi="Arial"/>
          <w:sz w:val="22"/>
        </w:rPr>
        <w:t xml:space="preserve"> </w:t>
      </w:r>
      <m:oMath>
        <m:r>
          <m:t>8</m:t>
        </m:r>
        <m:r>
          <m:rPr>
            <m:sty m:val="p"/>
          </m:rPr>
          <m:t>,</m:t>
        </m:r>
        <m:r>
          <m:t>9</m:t>
        </m:r>
        <m:r>
          <m:rPr>
            <m:sty m:val="p"/>
          </m:rPr>
          <m:t>%</m:t>
        </m:r>
      </m:oMath>
      <w:r>
        <w:rPr>
          <w:rFonts w:ascii="Arial" w:hAnsi="Arial"/>
          <w:sz w:val="22"/>
        </w:rPr>
        <w:t xml:space="preserve"> </w:t>
      </w:r>
      <w:r>
        <w:rPr>
          <w:rFonts w:ascii="Arial" w:hAnsi="Arial"/>
          <w:sz w:val="22"/>
        </w:rPr>
        <w:t xml:space="preserve">(q90):</w:t>
      </w:r>
      <w:r>
        <w:rPr>
          <w:rFonts w:ascii="Arial" w:hAnsi="Arial"/>
          <w:sz w:val="22"/>
        </w:rPr>
        <w:t xml:space="preserve"> </w:t>
      </w:r>
      <w:r>
        <w:rPr>
          <w:rFonts w:ascii="Arial" w:hAnsi="Arial"/>
          <w:sz w:val="22"/>
        </w:rPr>
        <w:t xml:space="preserve">a parcela não explicada pesa mais na base. Como a RIF usa os controles da</w:t>
      </w:r>
      <w:r>
        <w:rPr>
          <w:rFonts w:ascii="Arial" w:hAnsi="Arial"/>
          <w:sz w:val="22"/>
        </w:rPr>
        <w:t xml:space="preserve"> </w:t>
      </w:r>
      <w:r>
        <w:rPr>
          <w:rFonts w:ascii="Arial" w:hAnsi="Arial"/>
          <w:sz w:val="22"/>
        </w:rPr>
        <w:t xml:space="preserve">Oaxaca–Blinder</w:t>
      </w:r>
      <w:r>
        <w:rPr>
          <w:rFonts w:ascii="Arial" w:hAnsi="Arial"/>
          <w:sz w:val="22"/>
        </w:rPr>
        <w:t xml:space="preserve"> </w:t>
      </w:r>
      <w:r>
        <w:rPr>
          <w:rFonts w:ascii="Arial" w:hAnsi="Arial"/>
          <w:sz w:val="22"/>
        </w:rPr>
        <w:t xml:space="preserve">sem</w:t>
      </w:r>
      <w:r>
        <w:rPr>
          <w:rFonts w:ascii="Arial" w:hAnsi="Arial"/>
          <w:sz w:val="22"/>
        </w:rPr>
        <w:t xml:space="preserve"> </w:t>
      </w:r>
      <w:r>
        <w:rPr>
          <w:rFonts w:ascii="Arial" w:hAnsi="Arial"/>
          <w:sz w:val="22"/>
        </w:rPr>
        <w:t xml:space="preserve">ocupação, sua parcela de retornos na mediana</w:t>
      </w:r>
      <w:r>
        <w:rPr>
          <w:rFonts w:ascii="Arial" w:hAnsi="Arial"/>
          <w:sz w:val="22"/>
        </w:rPr>
        <w:t xml:space="preserve"> </w:t>
      </w:r>
      <w:r>
        <w:rPr>
          <w:rFonts w:ascii="Arial" w:hAnsi="Arial"/>
          <w:sz w:val="22"/>
        </w:rPr>
        <w:t xml:space="preserve">(</w:t>
      </w:r>
      <m:oMath>
        <m:r>
          <m:t>20</m:t>
        </m:r>
        <m:r>
          <m:rPr>
            <m:sty m:val="p"/>
          </m:rPr>
          <m:t>,</m:t>
        </m:r>
        <m:r>
          <m:t>6</m:t>
        </m:r>
        <m:r>
          <m:rPr>
            <m:sty m:val="p"/>
          </m:rPr>
          <m:t>%</m:t>
        </m:r>
      </m:oMath>
      <w:r>
        <w:rPr>
          <w:rFonts w:ascii="Arial" w:hAnsi="Arial"/>
          <w:sz w:val="22"/>
        </w:rPr>
        <w:t xml:space="preserve">) se compara aos</w:t>
      </w:r>
      <w:r>
        <w:rPr>
          <w:rFonts w:ascii="Arial" w:hAnsi="Arial"/>
          <w:sz w:val="22"/>
        </w:rPr>
        <w:t xml:space="preserve"> </w:t>
      </w:r>
      <m:oMath>
        <m:r>
          <m:t>17</m:t>
        </m:r>
        <m:r>
          <m:rPr>
            <m:sty m:val="p"/>
          </m:rPr>
          <m:t>,</m:t>
        </m:r>
        <m:r>
          <m:t>9</m:t>
        </m:r>
        <m:r>
          <m:rPr>
            <m:sty m:val="p"/>
          </m:rPr>
          <m:t>%</m:t>
        </m:r>
      </m:oMath>
      <w:r>
        <w:rPr>
          <w:rFonts w:ascii="Arial" w:hAnsi="Arial"/>
          <w:sz w:val="22"/>
        </w:rPr>
        <w:t xml:space="preserve"> </w:t>
      </w:r>
      <w:r>
        <w:rPr>
          <w:rFonts w:ascii="Arial" w:hAnsi="Arial"/>
          <w:sz w:val="22"/>
        </w:rPr>
        <w:t xml:space="preserve">da especificação (A)</w:t>
      </w:r>
      <w:r>
        <w:rPr>
          <w:rFonts w:ascii="Arial" w:hAnsi="Arial"/>
          <w:sz w:val="22"/>
        </w:rPr>
        <w:t xml:space="preserve"> </w:t>
      </w:r>
      <w:r>
        <w:rPr>
          <w:rFonts w:ascii="Arial" w:hAnsi="Arial"/>
          <w:sz w:val="22"/>
        </w:rPr>
        <w:t xml:space="preserve">da Tabela 6, e não aos</w:t>
      </w:r>
      <w:r>
        <w:rPr>
          <w:rFonts w:ascii="Arial" w:hAnsi="Arial"/>
          <w:sz w:val="22"/>
        </w:rPr>
        <w:t xml:space="preserve"> </w:t>
      </w:r>
      <m:oMath>
        <m:r>
          <m:t>15</m:t>
        </m:r>
        <m:r>
          <m:rPr>
            <m:sty m:val="p"/>
          </m:rPr>
          <m:t>,</m:t>
        </m:r>
        <m:r>
          <m:t>4</m:t>
        </m:r>
        <m:r>
          <m:rPr>
            <m:sty m:val="p"/>
          </m:rPr>
          <m:t>%</m:t>
        </m:r>
      </m:oMath>
      <w:r>
        <w:rPr>
          <w:rFonts w:ascii="Arial" w:hAnsi="Arial"/>
          <w:sz w:val="22"/>
        </w:rPr>
        <w:t xml:space="preserve"> </w:t>
      </w:r>
      <w:r>
        <w:rPr>
          <w:rFonts w:ascii="Arial" w:hAnsi="Arial"/>
          <w:sz w:val="22"/>
        </w:rPr>
        <w:t xml:space="preserve">da (B), que trata a</w:t>
      </w:r>
      <w:r>
        <w:rPr>
          <w:rFonts w:ascii="Arial" w:hAnsi="Arial"/>
          <w:sz w:val="22"/>
        </w:rPr>
        <w:t xml:space="preserve"> </w:t>
      </w:r>
      <w:r>
        <w:rPr>
          <w:rFonts w:ascii="Arial" w:hAnsi="Arial"/>
          <w:sz w:val="22"/>
        </w:rPr>
        <w:t xml:space="preserve">ocupação como característica. O q25 pede cautela: ele cai sobre o salário mínimo,</w:t>
      </w:r>
      <w:r>
        <w:rPr>
          <w:rFonts w:ascii="Arial" w:hAnsi="Arial"/>
          <w:sz w:val="22"/>
        </w:rPr>
        <w:t xml:space="preserve"> </w:t>
      </w:r>
      <w:r>
        <w:rPr>
          <w:rFonts w:ascii="Arial" w:hAnsi="Arial"/>
          <w:sz w:val="22"/>
        </w:rPr>
        <w:t xml:space="preserve">onde muitos trabalhadores têm exatamente a mesma renda. Num ponto de massa assim a</w:t>
      </w:r>
      <w:r>
        <w:rPr>
          <w:rFonts w:ascii="Arial" w:hAnsi="Arial"/>
          <w:sz w:val="22"/>
        </w:rPr>
        <w:t xml:space="preserve"> </w:t>
      </w:r>
      <w:r>
        <w:rPr>
          <w:rFonts w:ascii="Arial" w:hAnsi="Arial"/>
          <w:sz w:val="22"/>
        </w:rPr>
        <w:t xml:space="preserve">densidade que a RIF usa não é bem definida e depende da largura de banda do</w:t>
      </w:r>
      <w:r>
        <w:rPr>
          <w:rFonts w:ascii="Arial" w:hAnsi="Arial"/>
          <w:sz w:val="22"/>
        </w:rPr>
        <w:t xml:space="preserve"> </w:t>
      </w:r>
      <w:r>
        <w:rPr>
          <w:rFonts w:ascii="Arial" w:hAnsi="Arial"/>
          <w:sz w:val="22"/>
        </w:rPr>
        <w:t xml:space="preserve">kernel</w:t>
      </w:r>
      <w:r>
        <w:rPr>
          <w:rFonts w:ascii="Arial" w:hAnsi="Arial"/>
          <w:sz w:val="22"/>
        </w:rPr>
        <w:t xml:space="preserve">; por isso, no q25, o gap que a RIF decompõe fica bem abaixo do</w:t>
      </w:r>
      <w:r>
        <w:rPr>
          <w:rFonts w:ascii="Arial" w:hAnsi="Arial"/>
          <w:sz w:val="22"/>
        </w:rPr>
        <w:t xml:space="preserve"> </w:t>
      </w:r>
      <w:r>
        <w:rPr>
          <w:rFonts w:ascii="Arial" w:hAnsi="Arial"/>
          <w:sz w:val="22"/>
        </w:rPr>
        <w:t xml:space="preserve">observado. As parcelas de dotações e retornos, que são razões, não dependem dessa</w:t>
      </w:r>
      <w:r>
        <w:rPr>
          <w:rFonts w:ascii="Arial" w:hAnsi="Arial"/>
          <w:sz w:val="22"/>
        </w:rPr>
        <w:t xml:space="preserve"> </w:t>
      </w:r>
      <w:r>
        <w:rPr>
          <w:rFonts w:ascii="Arial" w:hAnsi="Arial"/>
          <w:sz w:val="22"/>
        </w:rPr>
        <w:t xml:space="preserve">escolha — a densidade escala as duas pelo mesmo fator —, e o padrão do q10 ao q90</w:t>
      </w:r>
      <w:r>
        <w:rPr>
          <w:rFonts w:ascii="Arial" w:hAnsi="Arial"/>
          <w:sz w:val="22"/>
        </w:rPr>
        <w:t xml:space="preserve"> </w:t>
      </w:r>
      <w:r>
        <w:rPr>
          <w:rFonts w:ascii="Arial" w:hAnsi="Arial"/>
          <w:sz w:val="22"/>
        </w:rPr>
        <w:t xml:space="preserve">também não.</w:t>
      </w:r>
    </w:p>
    <w:p>
      <w:pPr>
        <w:pStyle w:val="BodyText"/>
        <w:spacing w:line="360" w:lineRule="auto" w:after="0"/>
        <w:ind w:firstLine="709"/>
        <w:jc w:val="both"/>
      </w:pPr>
      <w:r>
        <w:rPr>
          <w:rFonts w:ascii="Arial" w:hAnsi="Arial"/>
          <w:b/>
          <w:bCs/>
          <w:sz w:val="22"/>
        </w:rPr>
        <w:t xml:space="preserve">Por sexo.</w:t>
      </w:r>
      <w:r>
        <w:rPr>
          <w:rFonts w:ascii="Arial" w:hAnsi="Arial"/>
          <w:sz w:val="22"/>
        </w:rPr>
        <w:t xml:space="preserve"> </w:t>
      </w:r>
      <w:r>
        <w:rPr>
          <w:rFonts w:ascii="Arial" w:hAnsi="Arial"/>
          <w:sz w:val="22"/>
        </w:rPr>
        <w:t xml:space="preserve">As colunas por sexo da Tabela 9 mostram que o padrão não é o mesmo para todos: entre homens, a penalidade cresce de 3,9% (q10) para 9,0% (q90); entre mulheres, a penalidade é maior nas duas pontas — 4,9% no q10, 4,3% na mediana e 7,3% no q90 —, de modo que ao teto de vidro se soma um piso pegajoso</w:t>
      </w:r>
      <w:r>
        <w:rPr>
          <w:rFonts w:ascii="Arial" w:hAnsi="Arial"/>
          <w:sz w:val="22"/>
        </w:rPr>
        <w:t xml:space="preserve"> </w:t>
      </w:r>
      <w:r>
        <w:rPr>
          <w:rFonts w:ascii="Arial" w:hAnsi="Arial"/>
          <w:sz w:val="22"/>
        </w:rPr>
        <w:t xml:space="preserve">condicional</w:t>
      </w:r>
      <w:r>
        <w:rPr>
          <w:rFonts w:ascii="Arial" w:hAnsi="Arial"/>
          <w:sz w:val="22"/>
        </w:rPr>
        <w:t xml:space="preserve">.</w:t>
      </w:r>
    </w:p>
    <w:p>
      <w:pPr>
        <w:pStyle w:val="BodyText"/>
        <w:spacing w:line="360" w:lineRule="auto" w:after="0"/>
        <w:ind w:firstLine="709"/>
        <w:jc w:val="both"/>
      </w:pPr>
      <w:r>
        <w:rPr>
          <w:rFonts w:ascii="Arial" w:hAnsi="Arial"/>
          <w:b/>
          <w:bCs/>
          <w:sz w:val="22"/>
        </w:rPr>
        <w:t xml:space="preserve">Por que os dois padrões não se contradizem.</w:t>
      </w:r>
      <w:r>
        <w:rPr>
          <w:rFonts w:ascii="Arial" w:hAnsi="Arial"/>
          <w:sz w:val="22"/>
        </w:rPr>
        <w:t xml:space="preserve"> </w:t>
      </w:r>
      <w:r>
        <w:rPr>
          <w:rFonts w:ascii="Arial" w:hAnsi="Arial"/>
          <w:sz w:val="22"/>
        </w:rPr>
        <w:t xml:space="preserve">A regressão quantílica</w:t>
      </w:r>
      <w:r>
        <w:rPr>
          <w:rFonts w:ascii="Arial" w:hAnsi="Arial"/>
          <w:sz w:val="22"/>
        </w:rPr>
        <w:t xml:space="preserve"> </w:t>
      </w:r>
      <w:r>
        <w:rPr>
          <w:rFonts w:ascii="Arial" w:hAnsi="Arial"/>
          <w:sz w:val="22"/>
        </w:rPr>
        <w:t xml:space="preserve">estima quantis</w:t>
      </w:r>
      <w:r>
        <w:rPr>
          <w:rFonts w:ascii="Arial" w:hAnsi="Arial"/>
          <w:sz w:val="22"/>
        </w:rPr>
        <w:t xml:space="preserve"> </w:t>
      </w:r>
      <w:r>
        <w:rPr>
          <w:rFonts w:ascii="Arial" w:hAnsi="Arial"/>
          <w:sz w:val="22"/>
        </w:rPr>
        <w:t xml:space="preserve">condicionais</w:t>
      </w:r>
      <w:r>
        <w:rPr>
          <w:rFonts w:ascii="Arial" w:hAnsi="Arial"/>
          <w:sz w:val="22"/>
        </w:rPr>
        <w:t xml:space="preserve">:</w:t>
      </w:r>
      <w:r>
        <w:rPr>
          <w:rFonts w:ascii="Arial" w:hAnsi="Arial"/>
          <w:sz w:val="22"/>
        </w:rPr>
        <w:t xml:space="preserve"> </w:t>
      </w:r>
      <m:oMath>
        <m:acc>
          <m:accPr>
            <m:chr m:val="̂"/>
          </m:accPr>
          <m:e>
            <m:r>
              <m:t>β</m:t>
            </m:r>
          </m:e>
        </m:acc>
        <m:r>
          <m:rPr>
            <m:sty m:val="p"/>
          </m:rPr>
          <m:t>(</m:t>
        </m:r>
        <m:r>
          <m:t>τ</m:t>
        </m:r>
        <m:r>
          <m:rPr>
            <m:sty m:val="p"/>
          </m:rPr>
          <m:t>)</m:t>
        </m:r>
      </m:oMath>
      <w:r>
        <w:rPr>
          <w:rFonts w:ascii="Arial" w:hAnsi="Arial"/>
          <w:sz w:val="22"/>
        </w:rPr>
        <w:t xml:space="preserve"> </w:t>
      </w:r>
      <w:r>
        <w:rPr>
          <w:rFonts w:ascii="Arial" w:hAnsi="Arial"/>
          <w:sz w:val="22"/>
        </w:rPr>
        <w:t xml:space="preserve">compara negros e brancos na</w:t>
      </w:r>
      <w:r>
        <w:rPr>
          <w:rFonts w:ascii="Arial" w:hAnsi="Arial"/>
          <w:sz w:val="22"/>
        </w:rPr>
        <w:t xml:space="preserve"> </w:t>
      </w:r>
      <w:r>
        <w:rPr>
          <w:rFonts w:ascii="Arial" w:hAnsi="Arial"/>
          <w:sz w:val="22"/>
        </w:rPr>
        <w:t xml:space="preserve">mesma posição</w:t>
      </w:r>
      <w:r>
        <w:rPr>
          <w:rFonts w:ascii="Arial" w:hAnsi="Arial"/>
          <w:sz w:val="22"/>
        </w:rPr>
        <w:t xml:space="preserve"> </w:t>
      </w:r>
      <w:r>
        <w:rPr>
          <w:rFonts w:ascii="Arial" w:hAnsi="Arial"/>
          <w:sz w:val="22"/>
        </w:rPr>
        <w:t xml:space="preserve">dentro</w:t>
      </w:r>
      <w:r>
        <w:rPr>
          <w:rFonts w:ascii="Arial" w:hAnsi="Arial"/>
          <w:sz w:val="22"/>
        </w:rPr>
        <w:t xml:space="preserve"> </w:t>
      </w:r>
      <w:r>
        <w:rPr>
          <w:rFonts w:ascii="Arial" w:hAnsi="Arial"/>
          <w:sz w:val="22"/>
        </w:rPr>
        <w:t xml:space="preserve">da distribuição de pessoas com o mesmo perfil observável.</w:t>
      </w:r>
      <w:r>
        <w:rPr>
          <w:rFonts w:ascii="Arial" w:hAnsi="Arial"/>
          <w:sz w:val="22"/>
        </w:rPr>
        <w:t xml:space="preserve"> </w:t>
      </w:r>
      <w:r>
        <w:rPr>
          <w:rFonts w:ascii="Arial" w:hAnsi="Arial"/>
          <w:sz w:val="22"/>
        </w:rPr>
        <w:t xml:space="preserve">O crescimento de</w:t>
      </w:r>
      <w:r>
        <w:rPr>
          <w:rFonts w:ascii="Arial" w:hAnsi="Arial"/>
          <w:sz w:val="22"/>
        </w:rPr>
        <w:t xml:space="preserve"> </w:t>
      </w:r>
      <m:oMath>
        <m:r>
          <m:rPr>
            <m:sty m:val="p"/>
          </m:rPr>
          <m:t>|</m:t>
        </m:r>
        <m:acc>
          <m:accPr>
            <m:chr m:val="̂"/>
          </m:accPr>
          <m:e>
            <m:r>
              <m:t>β</m:t>
            </m:r>
          </m:e>
        </m:acc>
        <m:r>
          <m:rPr>
            <m:sty m:val="p"/>
          </m:rPr>
          <m:t>(</m:t>
        </m:r>
        <m:r>
          <m:t>τ</m:t>
        </m:r>
        <m:r>
          <m:rPr>
            <m:sty m:val="p"/>
          </m:rPr>
          <m:t>)</m:t>
        </m:r>
        <m:r>
          <m:rPr>
            <m:sty m:val="p"/>
          </m:rPr>
          <m:t>|</m:t>
        </m:r>
      </m:oMath>
      <w:r>
        <w:rPr>
          <w:rFonts w:ascii="Arial" w:hAnsi="Arial"/>
          <w:sz w:val="22"/>
        </w:rPr>
        <w:t xml:space="preserve"> </w:t>
      </w:r>
      <w:r>
        <w:rPr>
          <w:rFonts w:ascii="Arial" w:hAnsi="Arial"/>
          <w:sz w:val="22"/>
        </w:rPr>
        <w:t xml:space="preserve">ao longo de</w:t>
      </w:r>
      <w:r>
        <w:rPr>
          <w:rFonts w:ascii="Arial" w:hAnsi="Arial"/>
          <w:sz w:val="22"/>
        </w:rPr>
        <w:t xml:space="preserve"> </w:t>
      </w:r>
      <m:oMath>
        <m:r>
          <m:t>τ</m:t>
        </m:r>
      </m:oMath>
      <w:r>
        <w:rPr>
          <w:rFonts w:ascii="Arial" w:hAnsi="Arial"/>
          <w:sz w:val="22"/>
        </w:rPr>
        <w:t xml:space="preserve"> </w:t>
      </w:r>
      <w:r>
        <w:rPr>
          <w:rFonts w:ascii="Arial" w:hAnsi="Arial"/>
          <w:sz w:val="22"/>
        </w:rPr>
        <w:t xml:space="preserve">significa que a dispersão</w:t>
      </w:r>
      <w:r>
        <w:rPr>
          <w:rFonts w:ascii="Arial" w:hAnsi="Arial"/>
          <w:sz w:val="22"/>
        </w:rPr>
        <w:t xml:space="preserve"> </w:t>
      </w:r>
      <w:r>
        <w:rPr>
          <w:rFonts w:ascii="Arial" w:hAnsi="Arial"/>
          <w:sz w:val="22"/>
        </w:rPr>
        <w:t xml:space="preserve">condicional do rendimento é maior entre brancos —</w:t>
      </w:r>
      <w:r>
        <w:rPr>
          <w:rFonts w:ascii="Arial" w:hAnsi="Arial"/>
          <w:sz w:val="22"/>
        </w:rPr>
        <w:t xml:space="preserve"> </w:t>
      </w:r>
      <w:r>
        <w:rPr>
          <w:rFonts w:ascii="Arial" w:hAnsi="Arial"/>
          <w:sz w:val="22"/>
        </w:rPr>
        <w:t xml:space="preserve">fanning out</w:t>
      </w:r>
      <w:r>
        <w:rPr>
          <w:rFonts w:ascii="Arial" w:hAnsi="Arial"/>
          <w:sz w:val="22"/>
        </w:rPr>
        <w:t xml:space="preserve"> </w:t>
      </w:r>
      <w:r>
        <w:rPr>
          <w:rFonts w:ascii="Arial" w:hAnsi="Arial"/>
          <w:sz w:val="22"/>
        </w:rPr>
        <w:t xml:space="preserve">na linguagem de</w:t>
      </w:r>
      <w:r>
        <w:rPr>
          <w:rFonts w:ascii="Arial" w:hAnsi="Arial"/>
          <w:sz w:val="22"/>
        </w:rPr>
        <w:t xml:space="preserve"> </w:t>
      </w:r>
      <w:r>
        <w:rPr>
          <w:rFonts w:ascii="Arial" w:hAnsi="Arial"/>
          <w:sz w:val="22"/>
        </w:rPr>
        <w:t xml:space="preserve">Angrist; Pischke (2009)</w:t>
      </w:r>
      <w:r>
        <w:rPr>
          <w:rFonts w:ascii="Arial" w:hAnsi="Arial"/>
          <w:sz w:val="22"/>
        </w:rPr>
        <w:t xml:space="preserve"> </w:t>
      </w:r>
      <w:r>
        <w:rPr>
          <w:rFonts w:ascii="Arial" w:hAnsi="Arial"/>
          <w:sz w:val="22"/>
        </w:rPr>
        <w:t xml:space="preserve">—, e não que</w:t>
      </w:r>
      <w:r>
        <w:rPr>
          <w:rFonts w:ascii="Arial" w:hAnsi="Arial"/>
          <w:sz w:val="22"/>
        </w:rPr>
        <w:t xml:space="preserve"> </w:t>
      </w:r>
      <w:r>
        <w:rPr>
          <w:rFonts w:ascii="Arial" w:hAnsi="Arial"/>
          <w:sz w:val="22"/>
        </w:rPr>
        <w:t xml:space="preserve">“os negros do topo sofrem mais”</w:t>
      </w:r>
      <w:r>
        <w:rPr>
          <w:rFonts w:ascii="Arial" w:hAnsi="Arial"/>
          <w:sz w:val="22"/>
        </w:rPr>
        <w:t xml:space="preserve">: quantis não</w:t>
      </w:r>
      <w:r>
        <w:rPr>
          <w:rFonts w:ascii="Arial" w:hAnsi="Arial"/>
          <w:sz w:val="22"/>
        </w:rPr>
        <w:t xml:space="preserve"> </w:t>
      </w:r>
      <w:r>
        <w:rPr>
          <w:rFonts w:ascii="Arial" w:hAnsi="Arial"/>
          <w:sz w:val="22"/>
        </w:rPr>
        <w:t xml:space="preserve">seguem indivíduos, e a leitura em termos de pessoas exigiria invariância de posto, que</w:t>
      </w:r>
      <w:r>
        <w:rPr>
          <w:rFonts w:ascii="Arial" w:hAnsi="Arial"/>
          <w:sz w:val="22"/>
        </w:rPr>
        <w:t xml:space="preserve"> </w:t>
      </w:r>
      <w:r>
        <w:rPr>
          <w:rFonts w:ascii="Arial" w:hAnsi="Arial"/>
          <w:sz w:val="22"/>
        </w:rPr>
        <w:t xml:space="preserve">não se testa aqui. A RIF-OB, ao contrário, decompõe quantis</w:t>
      </w:r>
      <w:r>
        <w:rPr>
          <w:rFonts w:ascii="Arial" w:hAnsi="Arial"/>
          <w:sz w:val="22"/>
        </w:rPr>
        <w:t xml:space="preserve"> </w:t>
      </w:r>
      <w:r>
        <w:rPr>
          <w:rFonts w:ascii="Arial" w:hAnsi="Arial"/>
          <w:sz w:val="22"/>
        </w:rPr>
        <w:t xml:space="preserve">incondicionais</w:t>
      </w:r>
      <w:r>
        <w:rPr>
          <w:rFonts w:ascii="Arial" w:hAnsi="Arial"/>
          <w:sz w:val="22"/>
        </w:rPr>
        <w:t xml:space="preserve"> </w:t>
      </w:r>
      <w:r>
        <w:rPr>
          <w:rFonts w:ascii="Arial" w:hAnsi="Arial"/>
          <w:sz w:val="22"/>
        </w:rPr>
        <w:t xml:space="preserve">da</w:t>
      </w:r>
      <w:r>
        <w:rPr>
          <w:rFonts w:ascii="Arial" w:hAnsi="Arial"/>
          <w:sz w:val="22"/>
        </w:rPr>
        <w:t xml:space="preserve"> </w:t>
      </w:r>
      <w:r>
        <w:rPr>
          <w:rFonts w:ascii="Arial" w:hAnsi="Arial"/>
          <w:sz w:val="22"/>
        </w:rPr>
        <w:t xml:space="preserve">distribuição de renda</w:t>
      </w:r>
      <w:r>
        <w:rPr>
          <w:rFonts w:ascii="Arial" w:hAnsi="Arial"/>
          <w:sz w:val="22"/>
        </w:rPr>
        <w:t xml:space="preserve"> </w:t>
      </w:r>
      <w:r>
        <w:rPr>
          <w:rFonts w:ascii="Arial" w:hAnsi="Arial"/>
          <w:sz w:val="22"/>
        </w:rPr>
        <w:t xml:space="preserve">(Firpo; Fortin; Lemieux, 2018)</w:t>
      </w:r>
      <w:r>
        <w:rPr>
          <w:rFonts w:ascii="Arial" w:hAnsi="Arial"/>
          <w:sz w:val="22"/>
        </w:rPr>
        <w:t xml:space="preserve">: responde</w:t>
      </w:r>
      <w:r>
        <w:rPr>
          <w:rFonts w:ascii="Arial" w:hAnsi="Arial"/>
          <w:sz w:val="22"/>
        </w:rPr>
        <w:t xml:space="preserve"> </w:t>
      </w:r>
      <w:r>
        <w:rPr>
          <w:rFonts w:ascii="Arial" w:hAnsi="Arial"/>
          <w:sz w:val="22"/>
        </w:rPr>
        <w:t xml:space="preserve">“de que é feito o gap no q10 da renda</w:t>
      </w:r>
      <w:r>
        <w:rPr>
          <w:rFonts w:ascii="Arial" w:hAnsi="Arial"/>
          <w:sz w:val="22"/>
        </w:rPr>
        <w:t xml:space="preserve"> </w:t>
      </w:r>
      <w:r>
        <w:rPr>
          <w:rFonts w:ascii="Arial" w:hAnsi="Arial"/>
          <w:sz w:val="22"/>
        </w:rPr>
        <w:t xml:space="preserve">do país”</w:t>
      </w:r>
      <w:r>
        <w:rPr>
          <w:rFonts w:ascii="Arial" w:hAnsi="Arial"/>
          <w:sz w:val="22"/>
        </w:rPr>
        <w:t xml:space="preserve">. Como a composição observável concentra negros na base, a parcela de retornos</w:t>
      </w:r>
      <w:r>
        <w:rPr>
          <w:rFonts w:ascii="Arial" w:hAnsi="Arial"/>
          <w:sz w:val="22"/>
        </w:rPr>
        <w:t xml:space="preserve"> </w:t>
      </w:r>
      <w:r>
        <w:rPr>
          <w:rFonts w:ascii="Arial" w:hAnsi="Arial"/>
          <w:sz w:val="22"/>
        </w:rPr>
        <w:t xml:space="preserve">é maior ali; e como há mais dispersão condicional no topo, o coeficiente condicional</w:t>
      </w:r>
      <w:r>
        <w:rPr>
          <w:rFonts w:ascii="Arial" w:hAnsi="Arial"/>
          <w:sz w:val="22"/>
        </w:rPr>
        <w:t xml:space="preserve"> </w:t>
      </w:r>
      <w:r>
        <w:rPr>
          <w:rFonts w:ascii="Arial" w:hAnsi="Arial"/>
          <w:sz w:val="22"/>
        </w:rPr>
        <w:t xml:space="preserve">cresce com</w:t>
      </w:r>
      <w:r>
        <w:rPr>
          <w:rFonts w:ascii="Arial" w:hAnsi="Arial"/>
          <w:sz w:val="22"/>
        </w:rPr>
        <w:t xml:space="preserve"> </w:t>
      </w:r>
      <m:oMath>
        <m:r>
          <m:t>τ</m:t>
        </m:r>
      </m:oMath>
      <w:r>
        <w:rPr>
          <w:rFonts w:ascii="Arial" w:hAnsi="Arial"/>
          <w:sz w:val="22"/>
        </w:rPr>
        <w:t xml:space="preserve">. Os dois resultados são complementares — um é sobre o</w:t>
      </w:r>
      <w:r>
        <w:rPr>
          <w:rFonts w:ascii="Arial" w:hAnsi="Arial"/>
          <w:sz w:val="22"/>
        </w:rPr>
        <w:t xml:space="preserve"> </w:t>
      </w:r>
      <w:r>
        <w:rPr>
          <w:rFonts w:ascii="Arial" w:hAnsi="Arial"/>
          <w:sz w:val="22"/>
        </w:rPr>
        <w:t xml:space="preserve">preço</w:t>
      </w:r>
      <w:r>
        <w:rPr>
          <w:rFonts w:ascii="Arial" w:hAnsi="Arial"/>
          <w:sz w:val="22"/>
        </w:rPr>
        <w:t xml:space="preserve"> </w:t>
      </w:r>
      <w:r>
        <w:rPr>
          <w:rFonts w:ascii="Arial" w:hAnsi="Arial"/>
          <w:sz w:val="22"/>
        </w:rPr>
        <w:t xml:space="preserve">pago a características, o outro sobre a</w:t>
      </w:r>
      <w:r>
        <w:rPr>
          <w:rFonts w:ascii="Arial" w:hAnsi="Arial"/>
          <w:sz w:val="22"/>
        </w:rPr>
        <w:t xml:space="preserve"> </w:t>
      </w:r>
      <w:r>
        <w:rPr>
          <w:rFonts w:ascii="Arial" w:hAnsi="Arial"/>
          <w:sz w:val="22"/>
        </w:rPr>
        <w:t xml:space="preserve">distribuição</w:t>
      </w:r>
      <w:r>
        <w:rPr>
          <w:rFonts w:ascii="Arial" w:hAnsi="Arial"/>
          <w:sz w:val="22"/>
        </w:rPr>
        <w:t xml:space="preserve"> </w:t>
      </w:r>
      <w:r>
        <w:rPr>
          <w:rFonts w:ascii="Arial" w:hAnsi="Arial"/>
          <w:sz w:val="22"/>
        </w:rPr>
        <w:t xml:space="preserve">de características.</w:t>
      </w:r>
    </w:p>
    <w:bookmarkStart w:id="82" w:name="tab:qr_melhorias"/>
    <w:p>
      <w:pPr>
        <w:pStyle w:val="TableCaption"/>
        <w:keepNext/>
        <w:keepLines/>
        <w:spacing w:line="240" w:lineRule="auto" w:before="240" w:after="40"/>
        <w:ind w:firstLine="0"/>
        <w:jc w:val="both"/>
      </w:pPr>
      <w:r>
        <w:rPr>
          <w:rFonts w:ascii="Arial" w:hAnsi="Arial"/>
          <w:sz w:val="22"/>
        </w:rPr>
        <w:t xml:space="preserve">Tabela 9. Regressão quantílica: coeficiente</w:t>
      </w:r>
      <w:r>
        <w:rPr>
          <w:rFonts w:ascii="Arial" w:hAnsi="Arial"/>
          <w:sz w:val="22"/>
        </w:rPr>
        <w:t xml:space="preserve"> </w:t>
      </w:r>
      <m:oMath>
        <m:sSub>
          <m:e>
            <m:acc>
              <m:accPr>
                <m:chr m:val="̂"/>
              </m:accPr>
              <m:e>
                <m:r>
                  <m:t>β</m:t>
                </m:r>
              </m:e>
            </m:acc>
          </m:e>
          <m:sub>
            <m:r>
              <m:rPr>
                <m:nor/>
                <m:sty m:val="p"/>
              </m:rPr>
              <m:t>negro</m:t>
            </m:r>
          </m:sub>
        </m:sSub>
      </m:oMath>
      <w:r>
        <w:rPr>
          <w:rFonts w:ascii="Arial" w:hAnsi="Arial"/>
          <w:sz w:val="22"/>
        </w:rPr>
        <w:t xml:space="preserve"> </w:t>
      </w:r>
      <w:r>
        <w:rPr>
          <w:rFonts w:ascii="Arial" w:hAnsi="Arial"/>
          <w:sz w:val="22"/>
        </w:rPr>
        <w:t xml:space="preserve">por quantil e sexo.</w:t>
      </w:r>
      <w:r>
        <w:rPr>
          <w:rFonts w:ascii="Arial" w:hAnsi="Arial"/>
          <w:sz w:val="22"/>
        </w:rPr>
        <w:t xml:space="preserve"> </w:t>
      </w:r>
      <w:r>
        <w:rPr>
          <w:rFonts w:ascii="Arial" w:hAnsi="Arial"/>
          <w:sz w:val="22"/>
        </w:rPr>
        <w:t xml:space="preserve">Gap (%)</w:t>
      </w:r>
      <w:r>
        <w:rPr>
          <w:rFonts w:ascii="Arial" w:hAnsi="Arial"/>
          <w:sz w:val="22"/>
        </w:rPr>
        <w:t xml:space="preserve"> </w:t>
      </w:r>
      <m:oMath>
        <m:r>
          <m:rPr>
            <m:sty m:val="p"/>
          </m:rPr>
          <m:t>=</m:t>
        </m:r>
        <m:r>
          <m:rPr>
            <m:sty m:val="p"/>
          </m:rPr>
          <m:t>(</m:t>
        </m:r>
        <m:sSup>
          <m:e>
            <m:r>
              <m:t>e</m:t>
            </m:r>
          </m:e>
          <m:sup>
            <m:acc>
              <m:accPr>
                <m:chr m:val="̂"/>
              </m:accPr>
              <m:e>
                <m:r>
                  <m:t>β</m:t>
                </m:r>
              </m:e>
            </m:acc>
          </m:sup>
        </m:sSup>
        <m:r>
          <m:rPr>
            <m:sty m:val="p"/>
          </m:rPr>
          <m:t>−</m:t>
        </m:r>
        <m:r>
          <m:t>1</m:t>
        </m:r>
        <m:r>
          <m:rPr>
            <m:sty m:val="p"/>
          </m:rPr>
          <m:t>)</m:t>
        </m:r>
        <m:r>
          <m:rPr>
            <m:sty m:val="p"/>
          </m:rPr>
          <m:t>×</m:t>
        </m:r>
        <m:r>
          <m:t>100</m:t>
        </m:r>
      </m:oMath>
      <w:r>
        <w:rPr>
          <w:rFonts w:ascii="Arial" w:hAnsi="Arial"/>
          <w:sz w:val="22"/>
        </w:rPr>
        <w:t xml:space="preserve">.</w:t>
      </w:r>
      <w:r>
        <w:rPr>
          <w:rFonts w:ascii="Arial" w:hAnsi="Arial"/>
          <w:sz w:val="22"/>
        </w:rPr>
        <w:t xml:space="preserve"> </w:t>
      </w:r>
      <w:r>
        <w:rPr>
          <w:rFonts w:ascii="Arial" w:hAnsi="Arial"/>
          <w:sz w:val="22"/>
        </w:rPr>
        <w:t xml:space="preserve">M3: controles individuais + contexto UPA + UF efeito fixo. População completa.</w:t>
      </w:r>
      <w:r>
        <w:rPr>
          <w:rFonts w:ascii="Arial" w:hAnsi="Arial"/>
          <w:sz w:val="22"/>
        </w:rPr>
        <w:t xml:space="preserve"> </w:t>
      </w:r>
      <w:r>
        <w:rPr>
          <w:rFonts w:ascii="Arial" w:hAnsi="Arial"/>
          <w:sz w:val="22"/>
        </w:rPr>
        <w:t xml:space="preserve">Entre parênteses (coluna Global): erro-padrão por bootstrap em blocos por UPA.</w:t>
      </w:r>
      <w:r>
        <w:rPr>
          <w:rFonts w:ascii="Arial" w:hAnsi="Arial"/>
          <w:sz w:val="22"/>
        </w:rPr>
        <w:t xml:space="preserve"> </w:t>
      </w:r>
      <m:oMath>
        <m:sSup>
          <m:e>
            <m:r>
              <m:t>​</m:t>
            </m:r>
          </m:e>
          <m:sup>
            <m:r>
              <m:rPr>
                <m:sty m:val="p"/>
              </m:rPr>
              <m:t>*</m:t>
            </m:r>
            <m:r>
              <m:rPr>
                <m:sty m:val="p"/>
              </m:rPr>
              <m:t>*</m:t>
            </m:r>
            <m:r>
              <m:rPr>
                <m:sty m:val="p"/>
              </m:rPr>
              <m:t>*</m:t>
            </m:r>
          </m:sup>
        </m:sSup>
        <m:r>
          <m:t>p</m:t>
        </m:r>
        <m:r>
          <m:rPr>
            <m:sty m:val="p"/>
          </m:rPr>
          <m:t>&lt;</m:t>
        </m:r>
        <m:r>
          <m:t>0</m:t>
        </m:r>
        <m:r>
          <m:rPr>
            <m:sty m:val="p"/>
          </m:rPr>
          <m:t>,</m:t>
        </m:r>
        <m:r>
          <m:t>001</m:t>
        </m:r>
      </m:oMath>
      <w:r>
        <w:rPr>
          <w:rFonts w:ascii="Arial" w:hAnsi="Arial"/>
          <w:sz w:val="22"/>
        </w:rPr>
        <w:t xml:space="preserve"> </w:t>
      </w:r>
      <w:r>
        <w:rPr>
          <w:rFonts w:ascii="Arial" w:hAnsi="Arial"/>
          <w:sz w:val="22"/>
        </w:rPr>
        <w:t xml:space="preserve">em todos os quantis e grupos.</w:t>
      </w:r>
    </w:p>
    <w:tbl>
      <w:tblPr>
        <w:tblStyle w:val="Table"/>
        <w:tblW w:type="auto" w:w="0"/>
        <w:tblLayout w:type="fixed"/>
        <w:tblLook w:firstRow="0" w:lastRow="0" w:firstColumn="0" w:lastColumn="0" w:noHBand="0" w:noVBand="0" w:val="0000"/>
        <w:tblCaption w:val="Tabela 9. Regressão quantílica: coeficiente \hat{\beta}_{\text{negro}} por quantil e sexo. Gap (%) = (e^{\hat{\beta}}-1)\times 100. M3: controles individuais + contexto UPA + UF efeito fixo. População completa. Entre parênteses (coluna Global): erro-padrão por bootstrap em blocos por UPA. ^{***}p&lt;0{,}001 em todos os quantis e grupos."/>
        <w:tblBorders>
          <w:top w:val="nil"/>
          <w:left w:val="nil"/>
          <w:bottom w:val="nil"/>
          <w:right w:val="nil"/>
          <w:insideH w:val="nil"/>
          <w:insideV w:val="nil"/>
        </w:tblBorders>
      </w:tblPr>
      <w:tblGrid>
        <w:gridCol w:w="1134"/>
        <w:gridCol w:w="2592"/>
        <w:gridCol w:w="972"/>
        <w:gridCol w:w="1134"/>
        <w:gridCol w:w="972"/>
        <w:gridCol w:w="1134"/>
        <w:gridCol w:w="1134"/>
      </w:tblGrid>
      <w:tr>
        <w:trPr>
          <w:tblHeader w:val="true"/>
          <w:cantSplit/>
        </w:trPr>
        <w:tc>
          <w:tcPr>
            <w:tcW w:type="dxa" w:w="1134"/>
            <w:tcBorders>
              <w:top w:val="single" w:sz="8" w:color="000000"/>
              <w:left w:val="nil"/>
              <w:bottom w:val="single" w:sz="6" w:color="000000"/>
              <w:right w:val="nil"/>
            </w:tcBorders>
          </w:tcPr>
          <w:p>
            <w:pPr>
              <w:pStyle w:val="Compact"/>
              <w:keepNext/>
              <w:spacing w:line="240" w:lineRule="auto" w:after="0"/>
              <w:ind w:firstLine="0"/>
              <w:jc w:val="center"/>
            </w:pPr>
          </w:p>
        </w:tc>
        <w:tc>
          <w:tcPr>
            <w:tcW w:type="dxa" w:w="972"/>
            <w:gridSpan w:val="2"/>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Global</w:t>
            </w:r>
          </w:p>
        </w:tc>
        <w:tc>
          <w:tcPr>
            <w:tcW w:type="dxa" w:w="972"/>
            <w:gridSpan w:val="2"/>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Homens</w:t>
            </w:r>
          </w:p>
        </w:tc>
        <w:tc>
          <w:tcPr>
            <w:tcW w:type="dxa" w:w="1134"/>
            <w:gridSpan w:val="2"/>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16"/>
              </w:rPr>
              <w:t xml:space="preserve">Mulheres</w:t>
            </w:r>
          </w:p>
        </w:tc>
      </w:tr>
      <w:tr>
        <w:trPr>
          <w:cantSplit/>
        </w:trPr>
        <w:tc>
          <w:tcPr>
            <w:tcW w:type="dxa" w:w="1134"/>
          </w:tcPr>
          <w:p>
            <w:pPr>
              <w:pStyle w:val="Compact"/>
              <w:keepNext/>
              <w:spacing w:line="240" w:lineRule="auto" w:after="0"/>
              <w:ind w:firstLine="0"/>
              <w:jc w:val="left"/>
            </w:pPr>
            <w:r>
              <w:rPr>
                <w:rFonts w:ascii="Arial" w:hAnsi="Arial"/>
                <w:b w:val="0"/>
                <w:sz w:val="16"/>
              </w:rPr>
              <w:t xml:space="preserve">Quantil</w:t>
            </w:r>
          </w:p>
        </w:tc>
        <w:tc>
          <w:tcPr>
            <w:tcW w:type="dxa" w:w="2592"/>
          </w:tcPr>
          <w:p>
            <w:pPr>
              <w:pStyle w:val="Compact"/>
              <w:keepNext/>
              <w:spacing w:line="240" w:lineRule="auto" w:after="0"/>
              <w:ind w:firstLine="0"/>
              <w:jc w:val="left"/>
            </w:pPr>
            <m:oMath>
              <m:acc>
                <m:accPr>
                  <m:chr m:val="̂"/>
                </m:accPr>
                <m:e>
                  <m:r>
                    <m:t>β</m:t>
                  </m:r>
                </m:e>
              </m:acc>
            </m:oMath>
            <w:r>
              <w:rPr>
                <w:rFonts w:ascii="Arial" w:hAnsi="Arial"/>
                <w:b w:val="0"/>
                <w:sz w:val="16"/>
              </w:rPr>
              <w:t xml:space="preserve"> </w:t>
            </w:r>
            <w:r>
              <w:rPr>
                <w:rFonts w:ascii="Arial" w:hAnsi="Arial"/>
                <w:b w:val="0"/>
                <w:sz w:val="16"/>
              </w:rPr>
              <w:t xml:space="preserve">(SE)</w:t>
            </w:r>
          </w:p>
        </w:tc>
        <w:tc>
          <w:tcPr>
            <w:tcW w:type="dxa" w:w="972"/>
          </w:tcPr>
          <w:p>
            <w:pPr>
              <w:pStyle w:val="Compact"/>
              <w:keepNext/>
              <w:spacing w:line="240" w:lineRule="auto" w:after="0"/>
              <w:ind w:firstLine="0"/>
              <w:jc w:val="left"/>
            </w:pPr>
            <w:r>
              <w:rPr>
                <w:rFonts w:ascii="Arial" w:hAnsi="Arial"/>
                <w:b w:val="0"/>
                <w:sz w:val="16"/>
              </w:rPr>
              <w:t xml:space="preserve">Gap (%)</w:t>
            </w:r>
          </w:p>
        </w:tc>
        <w:tc>
          <w:tcPr>
            <w:tcW w:type="dxa" w:w="1134"/>
          </w:tcPr>
          <w:p>
            <w:pPr>
              <w:pStyle w:val="Compact"/>
              <w:keepNext/>
              <w:spacing w:line="240" w:lineRule="auto" w:after="0"/>
              <w:ind w:firstLine="0"/>
              <w:jc w:val="left"/>
            </w:pPr>
            <m:oMath>
              <m:acc>
                <m:accPr>
                  <m:chr m:val="̂"/>
                </m:accPr>
                <m:e>
                  <m:r>
                    <m:t>β</m:t>
                  </m:r>
                </m:e>
              </m:acc>
            </m:oMath>
          </w:p>
        </w:tc>
        <w:tc>
          <w:tcPr>
            <w:tcW w:type="dxa" w:w="972"/>
          </w:tcPr>
          <w:p>
            <w:pPr>
              <w:pStyle w:val="Compact"/>
              <w:keepNext/>
              <w:spacing w:line="240" w:lineRule="auto" w:after="0"/>
              <w:ind w:firstLine="0"/>
              <w:jc w:val="left"/>
            </w:pPr>
            <w:r>
              <w:rPr>
                <w:rFonts w:ascii="Arial" w:hAnsi="Arial"/>
                <w:b w:val="0"/>
                <w:sz w:val="16"/>
              </w:rPr>
              <w:t xml:space="preserve">Gap (%)</w:t>
            </w:r>
          </w:p>
        </w:tc>
        <w:tc>
          <w:tcPr>
            <w:tcW w:type="dxa" w:w="1134"/>
          </w:tcPr>
          <w:p>
            <w:pPr>
              <w:pStyle w:val="Compact"/>
              <w:keepNext/>
              <w:spacing w:line="240" w:lineRule="auto" w:after="0"/>
              <w:ind w:firstLine="0"/>
              <w:jc w:val="left"/>
            </w:pPr>
            <m:oMath>
              <m:acc>
                <m:accPr>
                  <m:chr m:val="̂"/>
                </m:accPr>
                <m:e>
                  <m:r>
                    <m:t>β</m:t>
                  </m:r>
                </m:e>
              </m:acc>
            </m:oMath>
          </w:p>
        </w:tc>
        <w:tc>
          <w:tcPr>
            <w:tcW w:type="dxa" w:w="1134"/>
          </w:tcPr>
          <w:p>
            <w:pPr>
              <w:pStyle w:val="Compact"/>
              <w:keepNext/>
              <w:spacing w:line="240" w:lineRule="auto" w:after="0"/>
              <w:ind w:firstLine="0"/>
              <w:jc w:val="left"/>
            </w:pPr>
            <w:r>
              <w:rPr>
                <w:rFonts w:ascii="Arial" w:hAnsi="Arial"/>
                <w:b w:val="0"/>
                <w:sz w:val="16"/>
              </w:rPr>
              <w:t xml:space="preserve">Gap (%)</w:t>
            </w:r>
          </w:p>
        </w:tc>
      </w:tr>
      <w:tr>
        <w:trPr>
          <w:cantSplit/>
        </w:trPr>
        <w:tc>
          <w:tcPr>
            <w:tcW w:type="dxa" w:w="1134"/>
          </w:tcPr>
          <w:p>
            <w:pPr>
              <w:pStyle w:val="Compact"/>
              <w:keepNext/>
              <w:spacing w:line="240" w:lineRule="auto" w:after="0"/>
              <w:ind w:firstLine="0"/>
              <w:jc w:val="left"/>
            </w:pPr>
            <m:oMath>
              <m:r>
                <m:t>τ</m:t>
              </m:r>
              <m:r>
                <m:rPr>
                  <m:sty m:val="p"/>
                </m:rPr>
                <m:t>=</m:t>
              </m:r>
              <m:r>
                <m:t>0</m:t>
              </m:r>
              <m:r>
                <m:rPr>
                  <m:sty m:val="p"/>
                </m:rPr>
                <m:t>,</m:t>
              </m:r>
              <m:r>
                <m:t>10</m:t>
              </m:r>
            </m:oMath>
          </w:p>
        </w:tc>
        <w:tc>
          <w:tcPr>
            <w:tcW w:type="dxa" w:w="2592"/>
          </w:tcPr>
          <w:p>
            <w:pPr>
              <w:pStyle w:val="Compact"/>
              <w:keepNext/>
              <w:spacing w:line="240" w:lineRule="auto" w:after="0"/>
              <w:ind w:firstLine="0"/>
              <w:jc w:val="right"/>
            </w:pPr>
            <w:r>
              <w:rPr>
                <w:rFonts w:ascii="Arial" w:hAnsi="Arial"/>
                <w:b w:val="0"/>
                <w:sz w:val="16"/>
              </w:rPr>
              <w:t xml:space="preserve">−0,0437 (0</w:t>
            </w:r>
            <w:r>
              <w:rPr>
                <w:rFonts w:ascii="Arial" w:hAnsi="Arial"/>
                <w:b w:val="0"/>
                <w:sz w:val="16"/>
              </w:rPr>
              <w:t xml:space="preserve">,</w:t>
            </w:r>
            <w:r>
              <w:rPr>
                <w:rFonts w:ascii="Arial" w:hAnsi="Arial"/>
                <w:b w:val="0"/>
                <w:sz w:val="16"/>
              </w:rPr>
              <w:t xml:space="preserve">0014)</w:t>
            </w:r>
          </w:p>
        </w:tc>
        <w:tc>
          <w:tcPr>
            <w:tcW w:type="dxa" w:w="972"/>
          </w:tcPr>
          <w:p>
            <w:pPr>
              <w:pStyle w:val="Compact"/>
              <w:keepNext/>
              <w:spacing w:line="240" w:lineRule="auto" w:after="0"/>
              <w:ind w:firstLine="0"/>
              <w:jc w:val="right"/>
            </w:pPr>
            <w:r>
              <w:rPr>
                <w:rFonts w:ascii="Arial" w:hAnsi="Arial"/>
                <w:b w:val="0"/>
                <w:sz w:val="16"/>
              </w:rPr>
              <w:t xml:space="preserve">−4,3%</w:t>
            </w:r>
          </w:p>
        </w:tc>
        <w:tc>
          <w:tcPr>
            <w:tcW w:type="dxa" w:w="1134"/>
          </w:tcPr>
          <w:p>
            <w:pPr>
              <w:pStyle w:val="Compact"/>
              <w:keepNext/>
              <w:spacing w:line="240" w:lineRule="auto" w:after="0"/>
              <w:ind w:firstLine="0"/>
              <w:jc w:val="right"/>
            </w:pPr>
            <w:r>
              <w:rPr>
                <w:rFonts w:ascii="Arial" w:hAnsi="Arial"/>
                <w:b w:val="0"/>
                <w:sz w:val="16"/>
              </w:rPr>
              <w:t xml:space="preserve">−0,0402</w:t>
            </w:r>
          </w:p>
        </w:tc>
        <w:tc>
          <w:tcPr>
            <w:tcW w:type="dxa" w:w="972"/>
          </w:tcPr>
          <w:p>
            <w:pPr>
              <w:pStyle w:val="Compact"/>
              <w:keepNext/>
              <w:spacing w:line="240" w:lineRule="auto" w:after="0"/>
              <w:ind w:firstLine="0"/>
              <w:jc w:val="right"/>
            </w:pPr>
            <w:r>
              <w:rPr>
                <w:rFonts w:ascii="Arial" w:hAnsi="Arial"/>
                <w:b w:val="0"/>
                <w:sz w:val="16"/>
              </w:rPr>
              <w:t xml:space="preserve">−3,9%</w:t>
            </w:r>
          </w:p>
        </w:tc>
        <w:tc>
          <w:tcPr>
            <w:tcW w:type="dxa" w:w="1134"/>
          </w:tcPr>
          <w:p>
            <w:pPr>
              <w:pStyle w:val="Compact"/>
              <w:keepNext/>
              <w:spacing w:line="240" w:lineRule="auto" w:after="0"/>
              <w:ind w:firstLine="0"/>
              <w:jc w:val="right"/>
            </w:pPr>
            <w:r>
              <w:rPr>
                <w:rFonts w:ascii="Arial" w:hAnsi="Arial"/>
                <w:b w:val="0"/>
                <w:sz w:val="16"/>
              </w:rPr>
              <w:t xml:space="preserve">−0,0502</w:t>
            </w:r>
          </w:p>
        </w:tc>
        <w:tc>
          <w:tcPr>
            <w:tcW w:type="dxa" w:w="1134"/>
          </w:tcPr>
          <w:p>
            <w:pPr>
              <w:pStyle w:val="Compact"/>
              <w:keepNext/>
              <w:spacing w:line="240" w:lineRule="auto" w:after="0"/>
              <w:ind w:firstLine="0"/>
              <w:jc w:val="right"/>
            </w:pPr>
            <w:r>
              <w:rPr>
                <w:rFonts w:ascii="Arial" w:hAnsi="Arial"/>
                <w:b w:val="0"/>
                <w:sz w:val="16"/>
              </w:rPr>
              <w:t xml:space="preserve">−4,9%</w:t>
            </w:r>
          </w:p>
        </w:tc>
      </w:tr>
      <w:tr>
        <w:trPr>
          <w:cantSplit/>
        </w:trPr>
        <w:tc>
          <w:tcPr>
            <w:tcW w:type="dxa" w:w="1134"/>
          </w:tcPr>
          <w:p>
            <w:pPr>
              <w:pStyle w:val="Compact"/>
              <w:keepNext/>
              <w:spacing w:line="240" w:lineRule="auto" w:after="0"/>
              <w:ind w:firstLine="0"/>
              <w:jc w:val="left"/>
            </w:pPr>
            <m:oMath>
              <m:r>
                <m:t>τ</m:t>
              </m:r>
              <m:r>
                <m:rPr>
                  <m:sty m:val="p"/>
                </m:rPr>
                <m:t>=</m:t>
              </m:r>
              <m:r>
                <m:t>0</m:t>
              </m:r>
              <m:r>
                <m:rPr>
                  <m:sty m:val="p"/>
                </m:rPr>
                <m:t>,</m:t>
              </m:r>
              <m:r>
                <m:t>25</m:t>
              </m:r>
            </m:oMath>
          </w:p>
        </w:tc>
        <w:tc>
          <w:tcPr>
            <w:tcW w:type="dxa" w:w="2592"/>
          </w:tcPr>
          <w:p>
            <w:pPr>
              <w:pStyle w:val="Compact"/>
              <w:keepNext/>
              <w:spacing w:line="240" w:lineRule="auto" w:after="0"/>
              <w:ind w:firstLine="0"/>
              <w:jc w:val="right"/>
            </w:pPr>
            <w:r>
              <w:rPr>
                <w:rFonts w:ascii="Arial" w:hAnsi="Arial"/>
                <w:b w:val="0"/>
                <w:sz w:val="16"/>
              </w:rPr>
              <w:t xml:space="preserve">−0,0435 (0</w:t>
            </w:r>
            <w:r>
              <w:rPr>
                <w:rFonts w:ascii="Arial" w:hAnsi="Arial"/>
                <w:b w:val="0"/>
                <w:sz w:val="16"/>
              </w:rPr>
              <w:t xml:space="preserve">,</w:t>
            </w:r>
            <w:r>
              <w:rPr>
                <w:rFonts w:ascii="Arial" w:hAnsi="Arial"/>
                <w:b w:val="0"/>
                <w:sz w:val="16"/>
              </w:rPr>
              <w:t xml:space="preserve">0009)</w:t>
            </w:r>
          </w:p>
        </w:tc>
        <w:tc>
          <w:tcPr>
            <w:tcW w:type="dxa" w:w="972"/>
          </w:tcPr>
          <w:p>
            <w:pPr>
              <w:pStyle w:val="Compact"/>
              <w:keepNext/>
              <w:spacing w:line="240" w:lineRule="auto" w:after="0"/>
              <w:ind w:firstLine="0"/>
              <w:jc w:val="right"/>
            </w:pPr>
            <w:r>
              <w:rPr>
                <w:rFonts w:ascii="Arial" w:hAnsi="Arial"/>
                <w:b w:val="0"/>
                <w:sz w:val="16"/>
              </w:rPr>
              <w:t xml:space="preserve">−4,3%</w:t>
            </w:r>
          </w:p>
        </w:tc>
        <w:tc>
          <w:tcPr>
            <w:tcW w:type="dxa" w:w="1134"/>
          </w:tcPr>
          <w:p>
            <w:pPr>
              <w:pStyle w:val="Compact"/>
              <w:keepNext/>
              <w:spacing w:line="240" w:lineRule="auto" w:after="0"/>
              <w:ind w:firstLine="0"/>
              <w:jc w:val="right"/>
            </w:pPr>
            <w:r>
              <w:rPr>
                <w:rFonts w:ascii="Arial" w:hAnsi="Arial"/>
                <w:b w:val="0"/>
                <w:sz w:val="16"/>
              </w:rPr>
              <w:t xml:space="preserve">−0,0424</w:t>
            </w:r>
          </w:p>
        </w:tc>
        <w:tc>
          <w:tcPr>
            <w:tcW w:type="dxa" w:w="972"/>
          </w:tcPr>
          <w:p>
            <w:pPr>
              <w:pStyle w:val="Compact"/>
              <w:keepNext/>
              <w:spacing w:line="240" w:lineRule="auto" w:after="0"/>
              <w:ind w:firstLine="0"/>
              <w:jc w:val="right"/>
            </w:pPr>
            <w:r>
              <w:rPr>
                <w:rFonts w:ascii="Arial" w:hAnsi="Arial"/>
                <w:b w:val="0"/>
                <w:sz w:val="16"/>
              </w:rPr>
              <w:t xml:space="preserve">−4,2%</w:t>
            </w:r>
          </w:p>
        </w:tc>
        <w:tc>
          <w:tcPr>
            <w:tcW w:type="dxa" w:w="1134"/>
          </w:tcPr>
          <w:p>
            <w:pPr>
              <w:pStyle w:val="Compact"/>
              <w:keepNext/>
              <w:spacing w:line="240" w:lineRule="auto" w:after="0"/>
              <w:ind w:firstLine="0"/>
              <w:jc w:val="right"/>
            </w:pPr>
            <w:r>
              <w:rPr>
                <w:rFonts w:ascii="Arial" w:hAnsi="Arial"/>
                <w:b w:val="0"/>
                <w:sz w:val="16"/>
              </w:rPr>
              <w:t xml:space="preserve">−0,0454</w:t>
            </w:r>
          </w:p>
        </w:tc>
        <w:tc>
          <w:tcPr>
            <w:tcW w:type="dxa" w:w="1134"/>
          </w:tcPr>
          <w:p>
            <w:pPr>
              <w:pStyle w:val="Compact"/>
              <w:keepNext/>
              <w:spacing w:line="240" w:lineRule="auto" w:after="0"/>
              <w:ind w:firstLine="0"/>
              <w:jc w:val="right"/>
            </w:pPr>
            <w:r>
              <w:rPr>
                <w:rFonts w:ascii="Arial" w:hAnsi="Arial"/>
                <w:b w:val="0"/>
                <w:sz w:val="16"/>
              </w:rPr>
              <w:t xml:space="preserve">−4,4%</w:t>
            </w:r>
          </w:p>
        </w:tc>
      </w:tr>
      <w:tr>
        <w:trPr>
          <w:cantSplit/>
        </w:trPr>
        <w:tc>
          <w:tcPr>
            <w:tcW w:type="dxa" w:w="1134"/>
          </w:tcPr>
          <w:p>
            <w:pPr>
              <w:pStyle w:val="Compact"/>
              <w:keepNext/>
              <w:spacing w:line="240" w:lineRule="auto" w:after="0"/>
              <w:ind w:firstLine="0"/>
              <w:jc w:val="left"/>
            </w:pPr>
            <m:oMath>
              <m:r>
                <m:t>τ</m:t>
              </m:r>
              <m:r>
                <m:rPr>
                  <m:sty m:val="p"/>
                </m:rPr>
                <m:t>=</m:t>
              </m:r>
              <m:r>
                <m:t>0</m:t>
              </m:r>
              <m:r>
                <m:rPr>
                  <m:sty m:val="p"/>
                </m:rPr>
                <m:t>,</m:t>
              </m:r>
              <m:r>
                <m:t>50</m:t>
              </m:r>
            </m:oMath>
          </w:p>
        </w:tc>
        <w:tc>
          <w:tcPr>
            <w:tcW w:type="dxa" w:w="2592"/>
          </w:tcPr>
          <w:p>
            <w:pPr>
              <w:pStyle w:val="Compact"/>
              <w:keepNext/>
              <w:spacing w:line="240" w:lineRule="auto" w:after="0"/>
              <w:ind w:firstLine="0"/>
              <w:jc w:val="right"/>
            </w:pPr>
            <w:r>
              <w:rPr>
                <w:rFonts w:ascii="Arial" w:hAnsi="Arial"/>
                <w:b w:val="0"/>
                <w:sz w:val="16"/>
              </w:rPr>
              <w:t xml:space="preserve">−0,0504 (0</w:t>
            </w:r>
            <w:r>
              <w:rPr>
                <w:rFonts w:ascii="Arial" w:hAnsi="Arial"/>
                <w:b w:val="0"/>
                <w:sz w:val="16"/>
              </w:rPr>
              <w:t xml:space="preserve">,</w:t>
            </w:r>
            <w:r>
              <w:rPr>
                <w:rFonts w:ascii="Arial" w:hAnsi="Arial"/>
                <w:b w:val="0"/>
                <w:sz w:val="16"/>
              </w:rPr>
              <w:t xml:space="preserve">0008)</w:t>
            </w:r>
          </w:p>
        </w:tc>
        <w:tc>
          <w:tcPr>
            <w:tcW w:type="dxa" w:w="972"/>
          </w:tcPr>
          <w:p>
            <w:pPr>
              <w:pStyle w:val="Compact"/>
              <w:keepNext/>
              <w:spacing w:line="240" w:lineRule="auto" w:after="0"/>
              <w:ind w:firstLine="0"/>
              <w:jc w:val="right"/>
            </w:pPr>
            <w:r>
              <w:rPr>
                <w:rFonts w:ascii="Arial" w:hAnsi="Arial"/>
                <w:b w:val="0"/>
                <w:sz w:val="16"/>
              </w:rPr>
              <w:t xml:space="preserve">−4,9%</w:t>
            </w:r>
          </w:p>
        </w:tc>
        <w:tc>
          <w:tcPr>
            <w:tcW w:type="dxa" w:w="1134"/>
          </w:tcPr>
          <w:p>
            <w:pPr>
              <w:pStyle w:val="Compact"/>
              <w:keepNext/>
              <w:spacing w:line="240" w:lineRule="auto" w:after="0"/>
              <w:ind w:firstLine="0"/>
              <w:jc w:val="right"/>
            </w:pPr>
            <w:r>
              <w:rPr>
                <w:rFonts w:ascii="Arial" w:hAnsi="Arial"/>
                <w:b w:val="0"/>
                <w:sz w:val="16"/>
              </w:rPr>
              <w:t xml:space="preserve">−0,0537</w:t>
            </w:r>
          </w:p>
        </w:tc>
        <w:tc>
          <w:tcPr>
            <w:tcW w:type="dxa" w:w="972"/>
          </w:tcPr>
          <w:p>
            <w:pPr>
              <w:pStyle w:val="Compact"/>
              <w:keepNext/>
              <w:spacing w:line="240" w:lineRule="auto" w:after="0"/>
              <w:ind w:firstLine="0"/>
              <w:jc w:val="right"/>
            </w:pPr>
            <w:r>
              <w:rPr>
                <w:rFonts w:ascii="Arial" w:hAnsi="Arial"/>
                <w:b w:val="0"/>
                <w:sz w:val="16"/>
              </w:rPr>
              <w:t xml:space="preserve">−5,2%</w:t>
            </w:r>
          </w:p>
        </w:tc>
        <w:tc>
          <w:tcPr>
            <w:tcW w:type="dxa" w:w="1134"/>
          </w:tcPr>
          <w:p>
            <w:pPr>
              <w:pStyle w:val="Compact"/>
              <w:keepNext/>
              <w:spacing w:line="240" w:lineRule="auto" w:after="0"/>
              <w:ind w:firstLine="0"/>
              <w:jc w:val="right"/>
            </w:pPr>
            <w:r>
              <w:rPr>
                <w:rFonts w:ascii="Arial" w:hAnsi="Arial"/>
                <w:b w:val="0"/>
                <w:sz w:val="16"/>
              </w:rPr>
              <w:t xml:space="preserve">−0,0444</w:t>
            </w:r>
          </w:p>
        </w:tc>
        <w:tc>
          <w:tcPr>
            <w:tcW w:type="dxa" w:w="1134"/>
          </w:tcPr>
          <w:p>
            <w:pPr>
              <w:pStyle w:val="Compact"/>
              <w:keepNext/>
              <w:spacing w:line="240" w:lineRule="auto" w:after="0"/>
              <w:ind w:firstLine="0"/>
              <w:jc w:val="right"/>
            </w:pPr>
            <w:r>
              <w:rPr>
                <w:rFonts w:ascii="Arial" w:hAnsi="Arial"/>
                <w:b w:val="0"/>
                <w:sz w:val="16"/>
              </w:rPr>
              <w:t xml:space="preserve">−4,3%</w:t>
            </w:r>
          </w:p>
        </w:tc>
      </w:tr>
      <w:tr>
        <w:trPr>
          <w:cantSplit/>
        </w:trPr>
        <w:tc>
          <w:tcPr>
            <w:tcW w:type="dxa" w:w="1134"/>
          </w:tcPr>
          <w:p>
            <w:pPr>
              <w:pStyle w:val="Compact"/>
              <w:keepNext/>
              <w:spacing w:line="240" w:lineRule="auto" w:after="0"/>
              <w:ind w:firstLine="0"/>
              <w:jc w:val="left"/>
            </w:pPr>
            <m:oMath>
              <m:r>
                <m:t>τ</m:t>
              </m:r>
              <m:r>
                <m:rPr>
                  <m:sty m:val="p"/>
                </m:rPr>
                <m:t>=</m:t>
              </m:r>
              <m:r>
                <m:t>0</m:t>
              </m:r>
              <m:r>
                <m:rPr>
                  <m:sty m:val="p"/>
                </m:rPr>
                <m:t>,</m:t>
              </m:r>
              <m:r>
                <m:t>75</m:t>
              </m:r>
            </m:oMath>
          </w:p>
        </w:tc>
        <w:tc>
          <w:tcPr>
            <w:tcW w:type="dxa" w:w="2592"/>
          </w:tcPr>
          <w:p>
            <w:pPr>
              <w:pStyle w:val="Compact"/>
              <w:keepNext/>
              <w:spacing w:line="240" w:lineRule="auto" w:after="0"/>
              <w:ind w:firstLine="0"/>
              <w:jc w:val="right"/>
            </w:pPr>
            <w:r>
              <w:rPr>
                <w:rFonts w:ascii="Arial" w:hAnsi="Arial"/>
                <w:b w:val="0"/>
                <w:sz w:val="16"/>
              </w:rPr>
              <w:t xml:space="preserve">−0,0670 (0</w:t>
            </w:r>
            <w:r>
              <w:rPr>
                <w:rFonts w:ascii="Arial" w:hAnsi="Arial"/>
                <w:b w:val="0"/>
                <w:sz w:val="16"/>
              </w:rPr>
              <w:t xml:space="preserve">,</w:t>
            </w:r>
            <w:r>
              <w:rPr>
                <w:rFonts w:ascii="Arial" w:hAnsi="Arial"/>
                <w:b w:val="0"/>
                <w:sz w:val="16"/>
              </w:rPr>
              <w:t xml:space="preserve">0010)</w:t>
            </w:r>
          </w:p>
        </w:tc>
        <w:tc>
          <w:tcPr>
            <w:tcW w:type="dxa" w:w="972"/>
          </w:tcPr>
          <w:p>
            <w:pPr>
              <w:pStyle w:val="Compact"/>
              <w:keepNext/>
              <w:spacing w:line="240" w:lineRule="auto" w:after="0"/>
              <w:ind w:firstLine="0"/>
              <w:jc w:val="right"/>
            </w:pPr>
            <w:r>
              <w:rPr>
                <w:rFonts w:ascii="Arial" w:hAnsi="Arial"/>
                <w:b w:val="0"/>
                <w:sz w:val="16"/>
              </w:rPr>
              <w:t xml:space="preserve">−6,5%</w:t>
            </w:r>
          </w:p>
        </w:tc>
        <w:tc>
          <w:tcPr>
            <w:tcW w:type="dxa" w:w="1134"/>
          </w:tcPr>
          <w:p>
            <w:pPr>
              <w:pStyle w:val="Compact"/>
              <w:keepNext/>
              <w:spacing w:line="240" w:lineRule="auto" w:after="0"/>
              <w:ind w:firstLine="0"/>
              <w:jc w:val="right"/>
            </w:pPr>
            <w:r>
              <w:rPr>
                <w:rFonts w:ascii="Arial" w:hAnsi="Arial"/>
                <w:b w:val="0"/>
                <w:sz w:val="16"/>
              </w:rPr>
              <w:t xml:space="preserve">−0,0723</w:t>
            </w:r>
          </w:p>
        </w:tc>
        <w:tc>
          <w:tcPr>
            <w:tcW w:type="dxa" w:w="972"/>
          </w:tcPr>
          <w:p>
            <w:pPr>
              <w:pStyle w:val="Compact"/>
              <w:keepNext/>
              <w:spacing w:line="240" w:lineRule="auto" w:after="0"/>
              <w:ind w:firstLine="0"/>
              <w:jc w:val="right"/>
            </w:pPr>
            <w:r>
              <w:rPr>
                <w:rFonts w:ascii="Arial" w:hAnsi="Arial"/>
                <w:b w:val="0"/>
                <w:sz w:val="16"/>
              </w:rPr>
              <w:t xml:space="preserve">−7,0%</w:t>
            </w:r>
          </w:p>
        </w:tc>
        <w:tc>
          <w:tcPr>
            <w:tcW w:type="dxa" w:w="1134"/>
          </w:tcPr>
          <w:p>
            <w:pPr>
              <w:pStyle w:val="Compact"/>
              <w:keepNext/>
              <w:spacing w:line="240" w:lineRule="auto" w:after="0"/>
              <w:ind w:firstLine="0"/>
              <w:jc w:val="right"/>
            </w:pPr>
            <w:r>
              <w:rPr>
                <w:rFonts w:ascii="Arial" w:hAnsi="Arial"/>
                <w:b w:val="0"/>
                <w:sz w:val="16"/>
              </w:rPr>
              <w:t xml:space="preserve">−0,0583</w:t>
            </w:r>
          </w:p>
        </w:tc>
        <w:tc>
          <w:tcPr>
            <w:tcW w:type="dxa" w:w="1134"/>
          </w:tcPr>
          <w:p>
            <w:pPr>
              <w:pStyle w:val="Compact"/>
              <w:keepNext/>
              <w:spacing w:line="240" w:lineRule="auto" w:after="0"/>
              <w:ind w:firstLine="0"/>
              <w:jc w:val="right"/>
            </w:pPr>
            <w:r>
              <w:rPr>
                <w:rFonts w:ascii="Arial" w:hAnsi="Arial"/>
                <w:b w:val="0"/>
                <w:sz w:val="16"/>
              </w:rPr>
              <w:t xml:space="preserve">−5,7%</w:t>
            </w:r>
          </w:p>
        </w:tc>
      </w:tr>
      <w:tr>
        <w:trPr>
          <w:cantSplit/>
        </w:trPr>
        <w:tc>
          <w:tcPr>
            <w:tcW w:type="dxa" w:w="1134"/>
          </w:tcPr>
          <w:p>
            <w:pPr>
              <w:pStyle w:val="Compact"/>
              <w:keepNext/>
              <w:spacing w:line="240" w:lineRule="auto" w:after="0"/>
              <w:ind w:firstLine="0"/>
              <w:jc w:val="left"/>
            </w:pPr>
            <m:oMath>
              <m:r>
                <m:t>τ</m:t>
              </m:r>
              <m:r>
                <m:rPr>
                  <m:sty m:val="p"/>
                </m:rPr>
                <m:t>=</m:t>
              </m:r>
              <m:r>
                <m:t>0</m:t>
              </m:r>
              <m:r>
                <m:rPr>
                  <m:sty m:val="p"/>
                </m:rPr>
                <m:t>,</m:t>
              </m:r>
              <m:r>
                <m:t>90</m:t>
              </m:r>
            </m:oMath>
          </w:p>
        </w:tc>
        <w:tc>
          <w:tcPr>
            <w:tcW w:type="dxa" w:w="2592"/>
          </w:tcPr>
          <w:p>
            <w:pPr>
              <w:pStyle w:val="Compact"/>
              <w:keepNext/>
              <w:spacing w:line="240" w:lineRule="auto" w:after="0"/>
              <w:ind w:firstLine="0"/>
              <w:jc w:val="right"/>
            </w:pPr>
            <w:r>
              <w:rPr>
                <w:rFonts w:ascii="Arial" w:hAnsi="Arial"/>
                <w:b w:val="0"/>
                <w:sz w:val="16"/>
              </w:rPr>
              <w:t xml:space="preserve">−0,0875 (0</w:t>
            </w:r>
            <w:r>
              <w:rPr>
                <w:rFonts w:ascii="Arial" w:hAnsi="Arial"/>
                <w:b w:val="0"/>
                <w:sz w:val="16"/>
              </w:rPr>
              <w:t xml:space="preserve">,</w:t>
            </w:r>
            <w:r>
              <w:rPr>
                <w:rFonts w:ascii="Arial" w:hAnsi="Arial"/>
                <w:b w:val="0"/>
                <w:sz w:val="16"/>
              </w:rPr>
              <w:t xml:space="preserve">0014)</w:t>
            </w:r>
          </w:p>
        </w:tc>
        <w:tc>
          <w:tcPr>
            <w:tcW w:type="dxa" w:w="972"/>
          </w:tcPr>
          <w:p>
            <w:pPr>
              <w:pStyle w:val="Compact"/>
              <w:keepNext/>
              <w:spacing w:line="240" w:lineRule="auto" w:after="0"/>
              <w:ind w:firstLine="0"/>
              <w:jc w:val="right"/>
            </w:pPr>
            <w:r>
              <w:rPr>
                <w:rFonts w:ascii="Arial" w:hAnsi="Arial"/>
                <w:b w:val="0"/>
                <w:sz w:val="16"/>
              </w:rPr>
              <w:t xml:space="preserve">−8,4%</w:t>
            </w:r>
          </w:p>
        </w:tc>
        <w:tc>
          <w:tcPr>
            <w:tcW w:type="dxa" w:w="1134"/>
          </w:tcPr>
          <w:p>
            <w:pPr>
              <w:pStyle w:val="Compact"/>
              <w:keepNext/>
              <w:spacing w:line="240" w:lineRule="auto" w:after="0"/>
              <w:ind w:firstLine="0"/>
              <w:jc w:val="right"/>
            </w:pPr>
            <w:r>
              <w:rPr>
                <w:rFonts w:ascii="Arial" w:hAnsi="Arial"/>
                <w:b w:val="0"/>
                <w:sz w:val="16"/>
              </w:rPr>
              <w:t xml:space="preserve">−0,0940</w:t>
            </w:r>
          </w:p>
        </w:tc>
        <w:tc>
          <w:tcPr>
            <w:tcW w:type="dxa" w:w="972"/>
          </w:tcPr>
          <w:p>
            <w:pPr>
              <w:pStyle w:val="Compact"/>
              <w:keepNext/>
              <w:spacing w:line="240" w:lineRule="auto" w:after="0"/>
              <w:ind w:firstLine="0"/>
              <w:jc w:val="right"/>
            </w:pPr>
            <w:r>
              <w:rPr>
                <w:rFonts w:ascii="Arial" w:hAnsi="Arial"/>
                <w:b w:val="0"/>
                <w:sz w:val="16"/>
              </w:rPr>
              <w:t xml:space="preserve">−9,0%</w:t>
            </w:r>
          </w:p>
        </w:tc>
        <w:tc>
          <w:tcPr>
            <w:tcW w:type="dxa" w:w="1134"/>
          </w:tcPr>
          <w:p>
            <w:pPr>
              <w:pStyle w:val="Compact"/>
              <w:keepNext/>
              <w:spacing w:line="240" w:lineRule="auto" w:after="0"/>
              <w:ind w:firstLine="0"/>
              <w:jc w:val="right"/>
            </w:pPr>
            <w:r>
              <w:rPr>
                <w:rFonts w:ascii="Arial" w:hAnsi="Arial"/>
                <w:b w:val="0"/>
                <w:sz w:val="16"/>
              </w:rPr>
              <w:t xml:space="preserve">−0,0757</w:t>
            </w:r>
          </w:p>
        </w:tc>
        <w:tc>
          <w:tcPr>
            <w:tcW w:type="dxa" w:w="1134"/>
          </w:tcPr>
          <w:p>
            <w:pPr>
              <w:pStyle w:val="Compact"/>
              <w:keepNext/>
              <w:spacing w:line="240" w:lineRule="auto" w:after="0"/>
              <w:ind w:firstLine="0"/>
              <w:jc w:val="right"/>
            </w:pPr>
            <w:r>
              <w:rPr>
                <w:rFonts w:ascii="Arial" w:hAnsi="Arial"/>
                <w:b w:val="0"/>
                <w:sz w:val="16"/>
              </w:rPr>
              <w:t xml:space="preserve">−7,3%</w:t>
            </w:r>
          </w:p>
        </w:tc>
      </w:tr>
      <w:tr>
        <w:trPr>
          <w:cantSplit/>
        </w:trPr>
        <w:tc>
          <w:tcPr>
            <w:tcW w:type="dxa" w:w="1134"/>
          </w:tcPr>
          <w:p>
            <w:pPr>
              <w:pStyle w:val="Compact"/>
              <w:keepNext/>
              <w:spacing w:line="240" w:lineRule="auto" w:after="0"/>
              <w:ind w:firstLine="0"/>
              <w:jc w:val="left"/>
            </w:pPr>
            <m:oMath>
              <m:r>
                <m:t>τ</m:t>
              </m:r>
              <m:r>
                <m:rPr>
                  <m:sty m:val="p"/>
                </m:rPr>
                <m:t>=</m:t>
              </m:r>
              <m:r>
                <m:t>0</m:t>
              </m:r>
              <m:r>
                <m:rPr>
                  <m:sty m:val="p"/>
                </m:rPr>
                <m:t>,</m:t>
              </m:r>
              <m:r>
                <m:t>95</m:t>
              </m:r>
            </m:oMath>
          </w:p>
        </w:tc>
        <w:tc>
          <w:tcPr>
            <w:tcW w:type="dxa" w:w="2592"/>
          </w:tcPr>
          <w:p>
            <w:pPr>
              <w:pStyle w:val="Compact"/>
              <w:keepNext/>
              <w:spacing w:line="240" w:lineRule="auto" w:after="0"/>
              <w:ind w:firstLine="0"/>
              <w:jc w:val="right"/>
            </w:pPr>
            <w:r>
              <w:rPr>
                <w:rFonts w:ascii="Arial" w:hAnsi="Arial"/>
                <w:b w:val="0"/>
                <w:sz w:val="16"/>
              </w:rPr>
              <w:t xml:space="preserve">−0,1035 (0</w:t>
            </w:r>
            <w:r>
              <w:rPr>
                <w:rFonts w:ascii="Arial" w:hAnsi="Arial"/>
                <w:b w:val="0"/>
                <w:sz w:val="16"/>
              </w:rPr>
              <w:t xml:space="preserve">,</w:t>
            </w:r>
            <w:r>
              <w:rPr>
                <w:rFonts w:ascii="Arial" w:hAnsi="Arial"/>
                <w:b w:val="0"/>
                <w:sz w:val="16"/>
              </w:rPr>
              <w:t xml:space="preserve">0020)</w:t>
            </w:r>
          </w:p>
        </w:tc>
        <w:tc>
          <w:tcPr>
            <w:tcW w:type="dxa" w:w="972"/>
          </w:tcPr>
          <w:p>
            <w:pPr>
              <w:pStyle w:val="Compact"/>
              <w:keepNext/>
              <w:spacing w:line="240" w:lineRule="auto" w:after="0"/>
              <w:ind w:firstLine="0"/>
              <w:jc w:val="right"/>
            </w:pPr>
            <w:r>
              <w:rPr>
                <w:rFonts w:ascii="Arial" w:hAnsi="Arial"/>
                <w:b w:val="0"/>
                <w:sz w:val="16"/>
              </w:rPr>
              <w:t xml:space="preserve">−9,8%</w:t>
            </w:r>
          </w:p>
        </w:tc>
        <w:tc>
          <w:tcPr>
            <w:tcW w:type="dxa" w:w="1134"/>
          </w:tcPr>
          <w:p>
            <w:pPr>
              <w:pStyle w:val="Compact"/>
              <w:keepNext/>
              <w:spacing w:line="240" w:lineRule="auto" w:after="0"/>
              <w:ind w:firstLine="0"/>
              <w:jc w:val="right"/>
            </w:pPr>
            <w:r>
              <w:rPr>
                <w:rFonts w:ascii="Arial" w:hAnsi="Arial"/>
                <w:b w:val="0"/>
                <w:sz w:val="16"/>
              </w:rPr>
              <w:t xml:space="preserve">−0,1092</w:t>
            </w:r>
          </w:p>
        </w:tc>
        <w:tc>
          <w:tcPr>
            <w:tcW w:type="dxa" w:w="972"/>
          </w:tcPr>
          <w:p>
            <w:pPr>
              <w:pStyle w:val="Compact"/>
              <w:keepNext/>
              <w:spacing w:line="240" w:lineRule="auto" w:after="0"/>
              <w:ind w:firstLine="0"/>
              <w:jc w:val="right"/>
            </w:pPr>
            <w:r>
              <w:rPr>
                <w:rFonts w:ascii="Arial" w:hAnsi="Arial"/>
                <w:b w:val="0"/>
                <w:sz w:val="16"/>
              </w:rPr>
              <w:t xml:space="preserve">−10,3%</w:t>
            </w:r>
          </w:p>
        </w:tc>
        <w:tc>
          <w:tcPr>
            <w:tcW w:type="dxa" w:w="1134"/>
          </w:tcPr>
          <w:p>
            <w:pPr>
              <w:pStyle w:val="Compact"/>
              <w:keepNext/>
              <w:spacing w:line="240" w:lineRule="auto" w:after="0"/>
              <w:ind w:firstLine="0"/>
              <w:jc w:val="right"/>
            </w:pPr>
            <w:r>
              <w:rPr>
                <w:rFonts w:ascii="Arial" w:hAnsi="Arial"/>
                <w:b w:val="0"/>
                <w:sz w:val="16"/>
              </w:rPr>
              <w:t xml:space="preserve">−0,0920</w:t>
            </w:r>
          </w:p>
        </w:tc>
        <w:tc>
          <w:tcPr>
            <w:tcW w:type="dxa" w:w="1134"/>
          </w:tcPr>
          <w:p>
            <w:pPr>
              <w:pStyle w:val="Compact"/>
              <w:keepNext/>
              <w:spacing w:line="240" w:lineRule="auto" w:after="0"/>
              <w:ind w:firstLine="0"/>
              <w:jc w:val="right"/>
            </w:pPr>
            <w:r>
              <w:rPr>
                <w:rFonts w:ascii="Arial" w:hAnsi="Arial"/>
                <w:b w:val="0"/>
                <w:sz w:val="16"/>
              </w:rPr>
              <w:t xml:space="preserve">−8,8%</w:t>
            </w:r>
          </w:p>
        </w:tc>
      </w:tr>
      <w:tr>
        <w:trPr>
          <w:cantSplit/>
        </w:trPr>
        <w:tc>
          <w:tcPr>
            <w:tcW w:type="dxa" w:w="1134"/>
            <w:tcBorders>
              <w:top w:val="nil"/>
              <w:left w:val="nil"/>
              <w:bottom w:val="single" w:sz="8" w:color="000000"/>
              <w:right w:val="nil"/>
            </w:tcBorders>
          </w:tcPr>
          <w:p>
            <w:pPr>
              <w:pStyle w:val="Compact"/>
              <w:keepNext/>
              <w:spacing w:line="240" w:lineRule="auto" w:after="0"/>
              <w:ind w:firstLine="0"/>
              <w:jc w:val="left"/>
            </w:pPr>
            <w:r>
              <w:rPr>
                <w:rFonts w:ascii="Arial" w:hAnsi="Arial"/>
                <w:b w:val="0"/>
                <w:bCs/>
                <w:sz w:val="16"/>
              </w:rPr>
              <w:t xml:space="preserve">Δ (q90−q10)</w:t>
            </w:r>
          </w:p>
        </w:tc>
        <w:tc>
          <w:tcPr>
            <w:tcW w:type="dxa" w:w="2592"/>
            <w:tcBorders>
              <w:top w:val="nil"/>
              <w:left w:val="nil"/>
              <w:bottom w:val="single" w:sz="8" w:color="000000"/>
              <w:right w:val="nil"/>
            </w:tcBorders>
          </w:tcPr>
          <w:p>
            <w:pPr>
              <w:pStyle w:val="Compact"/>
              <w:keepNext/>
              <w:spacing w:line="240" w:lineRule="auto" w:after="0"/>
              <w:ind w:firstLine="0"/>
              <w:jc w:val="left"/>
            </w:pPr>
            <m:oMath>
              <m:sSup>
                <m:e>
                  <m:r>
                    <m:rPr>
                      <m:sty m:val="b"/>
                    </m:rPr>
                    <m:t>−</m:t>
                  </m:r>
                  <m:r>
                    <m:rPr>
                      <m:sty m:val="b"/>
                    </m:rPr>
                    <m:t>0</m:t>
                  </m:r>
                  <m:r>
                    <m:rPr>
                      <m:sty m:val="b"/>
                    </m:rPr>
                    <m:t>,</m:t>
                  </m:r>
                  <m:r>
                    <m:rPr>
                      <m:sty m:val="b"/>
                    </m:rPr>
                    <m:t>0439</m:t>
                  </m:r>
                  <m:r>
                    <m:rPr>
                      <m:nor/>
                      <m:sty m:val="p"/>
                    </m:rPr>
                    <m:t> log-pt</m:t>
                  </m:r>
                </m:e>
                <m:sup>
                  <m:r>
                    <m:rPr>
                      <m:sty m:val="p"/>
                    </m:rPr>
                    <m:t>*</m:t>
                  </m:r>
                  <m:r>
                    <m:rPr>
                      <m:sty m:val="p"/>
                    </m:rPr>
                    <m:t>*</m:t>
                  </m:r>
                  <m:r>
                    <m:rPr>
                      <m:sty m:val="p"/>
                    </m:rPr>
                    <m:t>*</m:t>
                  </m:r>
                </m:sup>
              </m:sSup>
            </m:oMath>
            <w:r>
              <w:rPr>
                <w:rFonts w:ascii="Arial" w:hAnsi="Arial"/>
                <w:b w:val="0"/>
                <w:sz w:val="16"/>
              </w:rPr>
              <w:t xml:space="preserve"> </w:t>
            </w:r>
            <w:r>
              <w:rPr>
                <w:rFonts w:ascii="Arial" w:hAnsi="Arial"/>
                <w:b w:val="0"/>
                <w:sz w:val="16"/>
              </w:rPr>
              <w:t xml:space="preserve">(0</w:t>
            </w:r>
            <w:r>
              <w:rPr>
                <w:rFonts w:ascii="Arial" w:hAnsi="Arial"/>
                <w:b w:val="0"/>
                <w:sz w:val="16"/>
              </w:rPr>
              <w:t xml:space="preserve">,</w:t>
            </w:r>
            <w:r>
              <w:rPr>
                <w:rFonts w:ascii="Arial" w:hAnsi="Arial"/>
                <w:b w:val="0"/>
                <w:sz w:val="16"/>
              </w:rPr>
              <w:t xml:space="preserve">0017)</w:t>
            </w:r>
          </w:p>
        </w:tc>
        <w:tc>
          <w:tcPr>
            <w:tcW w:type="dxa" w:w="1134"/>
            <w:gridSpan w:val="2"/>
            <w:tcBorders>
              <w:top w:val="nil"/>
              <w:left w:val="nil"/>
              <w:bottom w:val="single" w:sz="8" w:color="000000"/>
              <w:right w:val="nil"/>
            </w:tcBorders>
          </w:tcPr>
          <w:p>
            <w:pPr>
              <w:pStyle w:val="Compact"/>
              <w:keepNext/>
              <w:spacing w:line="240" w:lineRule="auto" w:after="0"/>
              <w:ind w:firstLine="0"/>
              <w:jc w:val="left"/>
            </w:pPr>
            <m:oMath>
              <m:r>
                <m:t>Z</m:t>
              </m:r>
              <m:r>
                <m:rPr>
                  <m:sty m:val="p"/>
                </m:rPr>
                <m:t>=</m:t>
              </m:r>
              <m:r>
                <m:rPr>
                  <m:sty m:val="p"/>
                </m:rPr>
                <m:t>−</m:t>
              </m:r>
              <m:r>
                <m:t>25</m:t>
              </m:r>
              <m:r>
                <m:rPr>
                  <m:sty m:val="p"/>
                </m:rPr>
                <m:t>,</m:t>
              </m:r>
              <m:r>
                <m:t>87</m:t>
              </m:r>
            </m:oMath>
          </w:p>
        </w:tc>
        <w:tc>
          <w:tcPr>
            <w:tcW w:type="dxa" w:w="1134"/>
            <w:gridSpan w:val="2"/>
            <w:tcBorders>
              <w:top w:val="nil"/>
              <w:left w:val="nil"/>
              <w:bottom w:val="single" w:sz="8" w:color="000000"/>
              <w:right w:val="nil"/>
            </w:tcBorders>
          </w:tcPr>
          <w:p>
            <w:pPr>
              <w:pStyle w:val="Compact"/>
              <w:keepNext/>
              <w:spacing w:line="240" w:lineRule="auto" w:after="0"/>
              <w:ind w:firstLine="0"/>
              <w:jc w:val="left"/>
            </w:pPr>
            <m:oMath>
              <m:r>
                <m:t>p</m:t>
              </m:r>
              <m:r>
                <m:rPr>
                  <m:sty m:val="p"/>
                </m:rPr>
                <m:t>&lt;</m:t>
              </m:r>
              <m:r>
                <m:t>0</m:t>
              </m:r>
              <m:r>
                <m:rPr>
                  <m:sty m:val="p"/>
                </m:rPr>
                <m:t>,</m:t>
              </m:r>
              <m:r>
                <m:t>001</m:t>
              </m:r>
            </m:oMath>
          </w:p>
        </w:tc>
        <w:tc>
          <w:tcPr>
            <w:tcW w:type="dxa" w:w="1134"/>
            <w:tcBorders>
              <w:top w:val="nil"/>
              <w:left w:val="nil"/>
              <w:bottom w:val="single" w:sz="8" w:color="000000"/>
              <w:right w:val="nil"/>
            </w:tcBorders>
          </w:tcPr>
          <w:p>
            <w:pPr>
              <w:pStyle w:val="Compact"/>
              <w:keepNext/>
              <w:spacing w:line="240" w:lineRule="auto" w:after="0"/>
              <w:ind w:firstLine="0"/>
              <w:jc w:val="left"/>
            </w:pPr>
          </w:p>
        </w:tc>
      </w:tr>
    </w:tbl>
    <w:bookmarkEnd w:id="82"/>
    <w:p>
      <w:pPr>
        <w:pStyle w:val="BodyText"/>
        <w:spacing w:line="240" w:lineRule="auto" w:before="40" w:after="240"/>
        <w:ind w:firstLine="0"/>
        <w:jc w:val="both"/>
      </w:pPr>
      <w:r>
        <w:rPr>
          <w:rFonts w:ascii="Arial" w:hAnsi="Arial"/>
          <w:sz w:val="22"/>
        </w:rPr>
        <w:t xml:space="preserve">Fonte: Resultados originais da pesquisa.</w:t>
      </w:r>
    </w:p>
    <w:bookmarkStart w:id="83" w:name="tab:rif_ob"/>
    <w:p>
      <w:pPr>
        <w:pStyle w:val="TableCaption"/>
        <w:keepNext/>
        <w:keepLines/>
        <w:spacing w:line="240" w:lineRule="auto" w:before="240" w:after="40"/>
        <w:ind w:firstLine="0"/>
        <w:jc w:val="both"/>
      </w:pPr>
      <w:r>
        <w:rPr>
          <w:rFonts w:ascii="Arial" w:hAnsi="Arial"/>
          <w:sz w:val="22"/>
        </w:rPr>
        <w:t xml:space="preserve">Tabela 10. Decomposição RIF-OB</w:t>
      </w:r>
      <w:r>
        <w:rPr>
          <w:rFonts w:ascii="Arial" w:hAnsi="Arial"/>
          <w:sz w:val="22"/>
        </w:rPr>
        <w:t xml:space="preserve"> </w:t>
      </w:r>
      <w:r>
        <w:rPr>
          <w:rFonts w:ascii="Arial" w:hAnsi="Arial"/>
          <w:sz w:val="22"/>
        </w:rPr>
        <w:t xml:space="preserve">(Firpo; Fortin; Lemieux, 2018)</w:t>
      </w:r>
      <w:r>
        <w:rPr>
          <w:rFonts w:ascii="Arial" w:hAnsi="Arial"/>
          <w:sz w:val="22"/>
        </w:rPr>
        <w:t xml:space="preserve"> </w:t>
      </w:r>
      <w:r>
        <w:rPr>
          <w:rFonts w:ascii="Arial" w:hAnsi="Arial"/>
          <w:sz w:val="22"/>
        </w:rPr>
        <w:t xml:space="preserve">do gap salarial racial</w:t>
      </w:r>
      <w:r>
        <w:rPr>
          <w:rFonts w:ascii="Arial" w:hAnsi="Arial"/>
          <w:sz w:val="22"/>
        </w:rPr>
        <w:t xml:space="preserve"> </w:t>
      </w:r>
      <w:r>
        <w:rPr>
          <w:rFonts w:ascii="Arial" w:hAnsi="Arial"/>
          <w:sz w:val="22"/>
        </w:rPr>
        <w:t xml:space="preserve">por quantil incondicional, em formato</w:t>
      </w:r>
      <w:r>
        <w:rPr>
          <w:rFonts w:ascii="Arial" w:hAnsi="Arial"/>
          <w:sz w:val="22"/>
        </w:rPr>
        <w:t xml:space="preserve"> </w:t>
      </w:r>
      <w:r>
        <w:rPr>
          <w:rFonts w:ascii="Arial" w:hAnsi="Arial"/>
          <w:sz w:val="22"/>
        </w:rPr>
        <w:t xml:space="preserve">two-fold</w:t>
      </w:r>
      <w:r>
        <w:rPr>
          <w:rFonts w:ascii="Arial" w:hAnsi="Arial"/>
          <w:sz w:val="22"/>
        </w:rPr>
        <w:t xml:space="preserve"> </w:t>
      </w:r>
      <w:r>
        <w:rPr>
          <w:rFonts w:ascii="Arial" w:hAnsi="Arial"/>
          <w:sz w:val="22"/>
        </w:rPr>
        <w:t xml:space="preserve">(referência: estrutura de preços</w:t>
      </w:r>
      <w:r>
        <w:rPr>
          <w:rFonts w:ascii="Arial" w:hAnsi="Arial"/>
          <w:sz w:val="22"/>
        </w:rPr>
        <w:t xml:space="preserve"> </w:t>
      </w:r>
      <w:r>
        <w:rPr>
          <w:rFonts w:ascii="Arial" w:hAnsi="Arial"/>
          <w:sz w:val="22"/>
        </w:rPr>
        <w:t xml:space="preserve">dos brancos). Mesmos controles da decomposição de Oaxaca–Blinder sem ocupação (escolaridade,</w:t>
      </w:r>
      <w:r>
        <w:rPr>
          <w:rFonts w:ascii="Arial" w:hAnsi="Arial"/>
          <w:sz w:val="22"/>
        </w:rPr>
        <w:t xml:space="preserve"> </w:t>
      </w:r>
      <w:r>
        <w:rPr>
          <w:rFonts w:ascii="Arial" w:hAnsi="Arial"/>
          <w:sz w:val="22"/>
        </w:rPr>
        <w:t xml:space="preserve">idade, sexo, jornada, área urbana, ano e contexto do bairro), mais efeitos fixos de UF; a ocupação</w:t>
      </w:r>
      <w:r>
        <w:rPr>
          <w:rFonts w:ascii="Arial" w:hAnsi="Arial"/>
          <w:sz w:val="22"/>
        </w:rPr>
        <w:t xml:space="preserve"> </w:t>
      </w:r>
      <w:r>
        <w:rPr>
          <w:rFonts w:ascii="Arial" w:hAnsi="Arial"/>
          <w:sz w:val="22"/>
        </w:rPr>
        <w:t xml:space="preserve">não</w:t>
      </w:r>
      <w:r>
        <w:rPr>
          <w:rFonts w:ascii="Arial" w:hAnsi="Arial"/>
          <w:sz w:val="22"/>
        </w:rPr>
        <w:t xml:space="preserve"> </w:t>
      </w:r>
      <w:r>
        <w:rPr>
          <w:rFonts w:ascii="Arial" w:hAnsi="Arial"/>
          <w:sz w:val="22"/>
        </w:rPr>
        <w:t xml:space="preserve">entra.</w:t>
      </w:r>
      <w:r>
        <w:rPr>
          <w:rFonts w:ascii="Arial" w:hAnsi="Arial"/>
          <w:sz w:val="22"/>
        </w:rPr>
        <w:t xml:space="preserve"> </w:t>
      </w:r>
      <w:r>
        <w:rPr>
          <w:rFonts w:ascii="Arial" w:hAnsi="Arial"/>
          <w:sz w:val="22"/>
        </w:rPr>
        <w:t xml:space="preserve">Dotações: diferença de características observáveis. Retornos: parcela não explicada, que</w:t>
      </w:r>
      <w:r>
        <w:rPr>
          <w:rFonts w:ascii="Arial" w:hAnsi="Arial"/>
          <w:sz w:val="22"/>
        </w:rPr>
        <w:t xml:space="preserve"> </w:t>
      </w:r>
      <w:r>
        <w:rPr>
          <w:rFonts w:ascii="Arial" w:hAnsi="Arial"/>
          <w:sz w:val="22"/>
        </w:rPr>
        <w:t xml:space="preserve">inclui a discriminação e o que não foi observado. Dotações + Retornos</w:t>
      </w:r>
      <w:r>
        <w:rPr>
          <w:rFonts w:ascii="Arial" w:hAnsi="Arial"/>
          <w:sz w:val="22"/>
        </w:rPr>
        <w:t xml:space="preserve"> </w:t>
      </w:r>
      <m:oMath>
        <m:r>
          <m:rPr>
            <m:sty m:val="p"/>
          </m:rPr>
          <m:t>=</m:t>
        </m:r>
        <m:r>
          <m:t>100</m:t>
        </m:r>
        <m:r>
          <m:rPr>
            <m:sty m:val="p"/>
          </m:rPr>
          <m:t>%</m:t>
        </m:r>
      </m:oMath>
      <w:r>
        <w:rPr>
          <w:rFonts w:ascii="Arial" w:hAnsi="Arial"/>
          <w:sz w:val="22"/>
        </w:rPr>
        <w:t xml:space="preserve"> </w:t>
      </w:r>
      <w:r>
        <w:rPr>
          <w:rFonts w:ascii="Arial" w:hAnsi="Arial"/>
          <w:sz w:val="22"/>
        </w:rPr>
        <w:t xml:space="preserve">do gap RIF</w:t>
      </w:r>
      <w:r>
        <w:rPr>
          <w:rFonts w:ascii="Arial" w:hAnsi="Arial"/>
          <w:sz w:val="22"/>
        </w:rPr>
        <w:t xml:space="preserve"> </w:t>
      </w:r>
      <w:r>
        <w:rPr>
          <w:rFonts w:ascii="Arial" w:hAnsi="Arial"/>
          <w:sz w:val="22"/>
        </w:rPr>
        <w:t xml:space="preserve">— que é o gap decomposto pelo</w:t>
      </w:r>
      <w:r>
        <w:rPr>
          <w:rFonts w:ascii="Arial" w:hAnsi="Arial"/>
          <w:sz w:val="22"/>
        </w:rPr>
        <w:t xml:space="preserve"> </w:t>
      </w:r>
      <w:r>
        <w:rPr>
          <w:rFonts w:ascii="Arial" w:hAnsi="Arial"/>
          <w:sz w:val="22"/>
        </w:rPr>
        <w:t xml:space="preserve">método e difere do gap observado da segunda coluna; as porcentagens</w:t>
      </w:r>
      <w:r>
        <w:rPr>
          <w:rFonts w:ascii="Arial" w:hAnsi="Arial"/>
          <w:sz w:val="22"/>
        </w:rPr>
        <w:t xml:space="preserve"> </w:t>
      </w:r>
      <w:r>
        <w:rPr>
          <w:rFonts w:ascii="Arial" w:hAnsi="Arial"/>
          <w:sz w:val="22"/>
        </w:rPr>
        <w:t xml:space="preserve">são fração daquele, não deste. Padrão</w:t>
      </w:r>
      <w:r>
        <w:rPr>
          <w:rFonts w:ascii="Arial" w:hAnsi="Arial"/>
          <w:sz w:val="22"/>
        </w:rPr>
        <w:t xml:space="preserve"> </w:t>
      </w:r>
      <w:r>
        <w:rPr>
          <w:rFonts w:ascii="Arial" w:hAnsi="Arial"/>
          <w:sz w:val="22"/>
        </w:rPr>
        <w:t xml:space="preserve">sticky floor</w:t>
      </w:r>
      <w:r>
        <w:rPr>
          <w:rFonts w:ascii="Arial" w:hAnsi="Arial"/>
          <w:sz w:val="22"/>
        </w:rPr>
        <w:t xml:space="preserve">: a parcela de retornos</w:t>
      </w:r>
      <w:r>
        <w:rPr>
          <w:rFonts w:ascii="Arial" w:hAnsi="Arial"/>
          <w:sz w:val="22"/>
        </w:rPr>
        <w:t xml:space="preserve"> </w:t>
      </w:r>
      <w:r>
        <w:rPr>
          <w:rFonts w:ascii="Arial" w:hAnsi="Arial"/>
          <w:sz w:val="22"/>
        </w:rPr>
        <w:t xml:space="preserve">é maior na base e decresce rumo ao topo. PNAD Contínua 2016–2025,</w:t>
      </w:r>
      <w:r>
        <w:rPr>
          <w:rFonts w:ascii="Arial" w:hAnsi="Arial"/>
          <w:sz w:val="22"/>
        </w:rPr>
        <w:t xml:space="preserve"> </w:t>
      </w:r>
      <w:r>
        <w:rPr>
          <w:rFonts w:ascii="Arial" w:hAnsi="Arial"/>
          <w:sz w:val="22"/>
        </w:rPr>
        <w:t xml:space="preserve">população completa. Entre parênteses: erro-padrão por bootstrap em blocos por UPA.</w:t>
      </w:r>
    </w:p>
    <w:tbl>
      <w:tblPr>
        <w:tblStyle w:val="Table"/>
        <w:tblW w:type="auto" w:w="0"/>
        <w:tblLayout w:type="fixed"/>
        <w:tblLook w:firstRow="1" w:lastRow="0" w:firstColumn="0" w:lastColumn="0" w:noHBand="0" w:noVBand="0" w:val="0020"/>
        <w:tblCaption w:val="Tabela 10. Decomposição RIF-OB (Firpo; Fortin; Lemieux, 2018) do gap salarial racial por quantil incondicional, em formato two-fold (referência: estrutura de preços dos brancos). Mesmos controles da decomposição de Oaxaca–Blinder sem ocupação (escolaridade, idade, sexo, jornada, área urbana, ano e contexto do bairro), mais efeitos fixos de UF; a ocupação não entra. Dotações: diferença de características observáveis. Retornos: parcela não explicada, que inclui a discriminação e o que não foi observado. Dotações + Retornos =100\% do gap RIF — que é o gap decomposto pelo método e difere do gap observado da segunda coluna; as porcentagens são fração daquele, não deste. Padrão sticky floor: a parcela de retornos é maior na base e decresce rumo ao topo. PNAD Contínua 2016–2025, população completa. Entre parênteses: erro-padrão por bootstrap em blocos por UPA."/>
        <w:tblBorders>
          <w:top w:val="nil"/>
          <w:left w:val="nil"/>
          <w:bottom w:val="nil"/>
          <w:right w:val="nil"/>
          <w:insideH w:val="nil"/>
          <w:insideV w:val="nil"/>
        </w:tblBorders>
      </w:tblPr>
      <w:tblGrid>
        <w:gridCol w:w="1067"/>
        <w:gridCol w:w="2154"/>
        <w:gridCol w:w="882"/>
        <w:gridCol w:w="1703"/>
        <w:gridCol w:w="1703"/>
        <w:gridCol w:w="1562"/>
      </w:tblGrid>
      <w:tr>
        <w:trPr>
          <w:tblHeader w:val="on"/>
          <w:cantSplit/>
        </w:trPr>
        <w:tc>
          <w:tcPr>
            <w:tcW w:type="dxa" w:w="1067"/>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Quantil</w:t>
            </w:r>
          </w:p>
        </w:tc>
        <w:tc>
          <w:tcPr>
            <w:tcW w:type="dxa" w:w="2154"/>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Gap obs. (SE)</w:t>
            </w:r>
          </w:p>
        </w:tc>
        <w:tc>
          <w:tcPr>
            <w:tcW w:type="dxa" w:w="882"/>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Gap RIF</w:t>
            </w:r>
          </w:p>
        </w:tc>
        <w:tc>
          <w:tcPr>
            <w:tcW w:type="dxa" w:w="1703"/>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Dotações (%)</w:t>
            </w:r>
          </w:p>
        </w:tc>
        <w:tc>
          <w:tcPr>
            <w:tcW w:type="dxa" w:w="1703"/>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Retornos (%)</w:t>
            </w:r>
          </w:p>
        </w:tc>
        <w:tc>
          <w:tcPr>
            <w:tcW w:type="dxa" w:w="1562"/>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i/>
                <w:iCs/>
                <w:sz w:val="20"/>
              </w:rPr>
              <w:t xml:space="preserve">N</w:t>
            </w:r>
          </w:p>
        </w:tc>
      </w:tr>
      <w:tr>
        <w:trPr>
          <w:cantSplit/>
        </w:trPr>
        <w:tc>
          <w:tcPr>
            <w:tcW w:type="dxa" w:w="1067"/>
          </w:tcPr>
          <w:p>
            <w:pPr>
              <w:pStyle w:val="Compact"/>
              <w:keepNext/>
              <w:spacing w:line="240" w:lineRule="auto" w:after="0"/>
              <w:ind w:firstLine="0"/>
              <w:jc w:val="left"/>
            </w:pPr>
            <w:r>
              <w:rPr>
                <w:rFonts w:ascii="Arial" w:hAnsi="Arial"/>
                <w:b w:val="0"/>
                <w:sz w:val="20"/>
              </w:rPr>
              <w:t xml:space="preserve">q10</w:t>
            </w:r>
          </w:p>
        </w:tc>
        <w:tc>
          <w:tcPr>
            <w:tcW w:type="dxa" w:w="2154"/>
          </w:tcPr>
          <w:p>
            <w:pPr>
              <w:pStyle w:val="Compact"/>
              <w:keepNext/>
              <w:spacing w:line="240" w:lineRule="auto" w:after="0"/>
              <w:ind w:firstLine="0"/>
              <w:jc w:val="right"/>
            </w:pPr>
            <w:r>
              <w:rPr>
                <w:rFonts w:ascii="Arial" w:hAnsi="Arial"/>
                <w:b w:val="0"/>
                <w:sz w:val="20"/>
              </w:rPr>
              <w:t xml:space="preserve">0,569 (0,005)</w:t>
            </w:r>
          </w:p>
        </w:tc>
        <w:tc>
          <w:tcPr>
            <w:tcW w:type="dxa" w:w="882"/>
          </w:tcPr>
          <w:p>
            <w:pPr>
              <w:pStyle w:val="Compact"/>
              <w:keepNext/>
              <w:spacing w:line="240" w:lineRule="auto" w:after="0"/>
              <w:ind w:firstLine="0"/>
              <w:jc w:val="right"/>
            </w:pPr>
            <w:r>
              <w:rPr>
                <w:rFonts w:ascii="Arial" w:hAnsi="Arial"/>
                <w:b w:val="0"/>
                <w:sz w:val="20"/>
              </w:rPr>
              <w:t xml:space="preserve">0,536</w:t>
            </w:r>
          </w:p>
        </w:tc>
        <w:tc>
          <w:tcPr>
            <w:tcW w:type="dxa" w:w="1703"/>
          </w:tcPr>
          <w:p>
            <w:pPr>
              <w:pStyle w:val="Compact"/>
              <w:keepNext/>
              <w:spacing w:line="240" w:lineRule="auto" w:after="0"/>
              <w:ind w:firstLine="0"/>
              <w:jc w:val="right"/>
            </w:pPr>
            <w:r>
              <w:rPr>
                <w:rFonts w:ascii="Arial" w:hAnsi="Arial"/>
                <w:b w:val="0"/>
                <w:sz w:val="20"/>
              </w:rPr>
              <w:t xml:space="preserve">73,5 (0,7)</w:t>
            </w:r>
          </w:p>
        </w:tc>
        <w:tc>
          <w:tcPr>
            <w:tcW w:type="dxa" w:w="1703"/>
          </w:tcPr>
          <w:p>
            <w:pPr>
              <w:pStyle w:val="Compact"/>
              <w:keepNext/>
              <w:spacing w:line="240" w:lineRule="auto" w:after="0"/>
              <w:ind w:firstLine="0"/>
              <w:jc w:val="right"/>
            </w:pPr>
            <w:r>
              <w:rPr>
                <w:rFonts w:ascii="Arial" w:hAnsi="Arial"/>
                <w:b w:val="0"/>
                <w:sz w:val="20"/>
              </w:rPr>
              <w:t xml:space="preserve">26,5 (0,6)</w:t>
            </w:r>
          </w:p>
        </w:tc>
        <w:tc>
          <w:tcPr>
            <w:tcW w:type="dxa" w:w="1562"/>
          </w:tcPr>
          <w:p>
            <w:pPr>
              <w:pStyle w:val="Compact"/>
              <w:keepNext/>
              <w:spacing w:line="240" w:lineRule="auto" w:after="0"/>
              <w:ind w:firstLine="0"/>
              <w:jc w:val="right"/>
            </w:pPr>
            <w:r>
              <w:rPr>
                <w:rFonts w:ascii="Arial" w:hAnsi="Arial"/>
                <w:b w:val="0"/>
                <w:sz w:val="20"/>
              </w:rPr>
              <w:t xml:space="preserve">7.699.278</w:t>
            </w:r>
          </w:p>
        </w:tc>
      </w:tr>
      <w:tr>
        <w:trPr>
          <w:cantSplit/>
        </w:trPr>
        <w:tc>
          <w:tcPr>
            <w:tcW w:type="dxa" w:w="1067"/>
          </w:tcPr>
          <w:p>
            <w:pPr>
              <w:pStyle w:val="Compact"/>
              <w:keepNext/>
              <w:spacing w:line="240" w:lineRule="auto" w:after="0"/>
              <w:ind w:firstLine="0"/>
              <w:jc w:val="left"/>
            </w:pPr>
            <w:r>
              <w:rPr>
                <w:rFonts w:ascii="Arial" w:hAnsi="Arial"/>
                <w:b w:val="0"/>
                <w:sz w:val="20"/>
              </w:rPr>
              <w:t xml:space="preserve">q25</w:t>
            </w:r>
          </w:p>
        </w:tc>
        <w:tc>
          <w:tcPr>
            <w:tcW w:type="dxa" w:w="2154"/>
          </w:tcPr>
          <w:p>
            <w:pPr>
              <w:pStyle w:val="Compact"/>
              <w:keepNext/>
              <w:spacing w:line="240" w:lineRule="auto" w:after="0"/>
              <w:ind w:firstLine="0"/>
              <w:jc w:val="right"/>
            </w:pPr>
            <w:r>
              <w:rPr>
                <w:rFonts w:ascii="Arial" w:hAnsi="Arial"/>
                <w:b w:val="0"/>
                <w:sz w:val="20"/>
              </w:rPr>
              <w:t xml:space="preserve">0,223 (0,005)</w:t>
            </w:r>
          </w:p>
        </w:tc>
        <w:tc>
          <w:tcPr>
            <w:tcW w:type="dxa" w:w="882"/>
          </w:tcPr>
          <w:p>
            <w:pPr>
              <w:pStyle w:val="Compact"/>
              <w:keepNext/>
              <w:spacing w:line="240" w:lineRule="auto" w:after="0"/>
              <w:ind w:firstLine="0"/>
              <w:jc w:val="right"/>
            </w:pPr>
            <w:r>
              <w:rPr>
                <w:rFonts w:ascii="Arial" w:hAnsi="Arial"/>
                <w:b w:val="0"/>
                <w:sz w:val="20"/>
              </w:rPr>
              <w:t xml:space="preserve">0,130</w:t>
            </w:r>
          </w:p>
        </w:tc>
        <w:tc>
          <w:tcPr>
            <w:tcW w:type="dxa" w:w="1703"/>
          </w:tcPr>
          <w:p>
            <w:pPr>
              <w:pStyle w:val="Compact"/>
              <w:keepNext/>
              <w:spacing w:line="240" w:lineRule="auto" w:after="0"/>
              <w:ind w:firstLine="0"/>
              <w:jc w:val="right"/>
            </w:pPr>
            <w:r>
              <w:rPr>
                <w:rFonts w:ascii="Arial" w:hAnsi="Arial"/>
                <w:b w:val="0"/>
                <w:sz w:val="20"/>
              </w:rPr>
              <w:t xml:space="preserve">77,7 (1,0)</w:t>
            </w:r>
          </w:p>
        </w:tc>
        <w:tc>
          <w:tcPr>
            <w:tcW w:type="dxa" w:w="1703"/>
          </w:tcPr>
          <w:p>
            <w:pPr>
              <w:pStyle w:val="Compact"/>
              <w:keepNext/>
              <w:spacing w:line="240" w:lineRule="auto" w:after="0"/>
              <w:ind w:firstLine="0"/>
              <w:jc w:val="right"/>
            </w:pPr>
            <w:r>
              <w:rPr>
                <w:rFonts w:ascii="Arial" w:hAnsi="Arial"/>
                <w:b w:val="0"/>
                <w:sz w:val="20"/>
              </w:rPr>
              <w:t xml:space="preserve">22,3 (0,6)</w:t>
            </w:r>
          </w:p>
        </w:tc>
        <w:tc>
          <w:tcPr>
            <w:tcW w:type="dxa" w:w="1562"/>
          </w:tcPr>
          <w:p>
            <w:pPr>
              <w:pStyle w:val="Compact"/>
              <w:keepNext/>
              <w:spacing w:line="240" w:lineRule="auto" w:after="0"/>
              <w:ind w:firstLine="0"/>
              <w:jc w:val="right"/>
            </w:pPr>
            <w:r>
              <w:rPr>
                <w:rFonts w:ascii="Arial" w:hAnsi="Arial"/>
                <w:b w:val="0"/>
                <w:sz w:val="20"/>
              </w:rPr>
              <w:t xml:space="preserve">7.699.278</w:t>
            </w:r>
          </w:p>
        </w:tc>
      </w:tr>
      <w:tr>
        <w:trPr>
          <w:cantSplit/>
        </w:trPr>
        <w:tc>
          <w:tcPr>
            <w:tcW w:type="dxa" w:w="1067"/>
          </w:tcPr>
          <w:p>
            <w:pPr>
              <w:pStyle w:val="Compact"/>
              <w:keepNext/>
              <w:spacing w:line="240" w:lineRule="auto" w:after="0"/>
              <w:ind w:firstLine="0"/>
              <w:jc w:val="left"/>
            </w:pPr>
            <w:r>
              <w:rPr>
                <w:rFonts w:ascii="Arial" w:hAnsi="Arial"/>
                <w:b w:val="0"/>
                <w:sz w:val="20"/>
              </w:rPr>
              <w:t xml:space="preserve">q50</w:t>
            </w:r>
          </w:p>
        </w:tc>
        <w:tc>
          <w:tcPr>
            <w:tcW w:type="dxa" w:w="2154"/>
          </w:tcPr>
          <w:p>
            <w:pPr>
              <w:pStyle w:val="Compact"/>
              <w:keepNext/>
              <w:spacing w:line="240" w:lineRule="auto" w:after="0"/>
              <w:ind w:firstLine="0"/>
              <w:jc w:val="right"/>
            </w:pPr>
            <w:r>
              <w:rPr>
                <w:rFonts w:ascii="Arial" w:hAnsi="Arial"/>
                <w:b w:val="0"/>
                <w:sz w:val="20"/>
              </w:rPr>
              <w:t xml:space="preserve">0,375 (0,003)</w:t>
            </w:r>
          </w:p>
        </w:tc>
        <w:tc>
          <w:tcPr>
            <w:tcW w:type="dxa" w:w="882"/>
          </w:tcPr>
          <w:p>
            <w:pPr>
              <w:pStyle w:val="Compact"/>
              <w:keepNext/>
              <w:spacing w:line="240" w:lineRule="auto" w:after="0"/>
              <w:ind w:firstLine="0"/>
              <w:jc w:val="right"/>
            </w:pPr>
            <w:r>
              <w:rPr>
                <w:rFonts w:ascii="Arial" w:hAnsi="Arial"/>
                <w:b w:val="0"/>
                <w:sz w:val="20"/>
              </w:rPr>
              <w:t xml:space="preserve">0,427</w:t>
            </w:r>
          </w:p>
        </w:tc>
        <w:tc>
          <w:tcPr>
            <w:tcW w:type="dxa" w:w="1703"/>
          </w:tcPr>
          <w:p>
            <w:pPr>
              <w:pStyle w:val="Compact"/>
              <w:keepNext/>
              <w:spacing w:line="240" w:lineRule="auto" w:after="0"/>
              <w:ind w:firstLine="0"/>
              <w:jc w:val="right"/>
            </w:pPr>
            <w:r>
              <w:rPr>
                <w:rFonts w:ascii="Arial" w:hAnsi="Arial"/>
                <w:b w:val="0"/>
                <w:sz w:val="20"/>
              </w:rPr>
              <w:t xml:space="preserve">79,4 (0,7)</w:t>
            </w:r>
          </w:p>
        </w:tc>
        <w:tc>
          <w:tcPr>
            <w:tcW w:type="dxa" w:w="1703"/>
          </w:tcPr>
          <w:p>
            <w:pPr>
              <w:pStyle w:val="Compact"/>
              <w:keepNext/>
              <w:spacing w:line="240" w:lineRule="auto" w:after="0"/>
              <w:ind w:firstLine="0"/>
              <w:jc w:val="right"/>
            </w:pPr>
            <w:r>
              <w:rPr>
                <w:rFonts w:ascii="Arial" w:hAnsi="Arial"/>
                <w:b w:val="0"/>
                <w:sz w:val="20"/>
              </w:rPr>
              <w:t xml:space="preserve">20,6 (0,3)</w:t>
            </w:r>
          </w:p>
        </w:tc>
        <w:tc>
          <w:tcPr>
            <w:tcW w:type="dxa" w:w="1562"/>
          </w:tcPr>
          <w:p>
            <w:pPr>
              <w:pStyle w:val="Compact"/>
              <w:keepNext/>
              <w:spacing w:line="240" w:lineRule="auto" w:after="0"/>
              <w:ind w:firstLine="0"/>
              <w:jc w:val="right"/>
            </w:pPr>
            <w:r>
              <w:rPr>
                <w:rFonts w:ascii="Arial" w:hAnsi="Arial"/>
                <w:b w:val="0"/>
                <w:sz w:val="20"/>
              </w:rPr>
              <w:t xml:space="preserve">7.699.278</w:t>
            </w:r>
          </w:p>
        </w:tc>
      </w:tr>
      <w:tr>
        <w:trPr>
          <w:cantSplit/>
        </w:trPr>
        <w:tc>
          <w:tcPr>
            <w:tcW w:type="dxa" w:w="1067"/>
          </w:tcPr>
          <w:p>
            <w:pPr>
              <w:pStyle w:val="Compact"/>
              <w:keepNext/>
              <w:spacing w:line="240" w:lineRule="auto" w:after="0"/>
              <w:ind w:firstLine="0"/>
              <w:jc w:val="left"/>
            </w:pPr>
            <w:r>
              <w:rPr>
                <w:rFonts w:ascii="Arial" w:hAnsi="Arial"/>
                <w:b w:val="0"/>
                <w:sz w:val="20"/>
              </w:rPr>
              <w:t xml:space="preserve">q75</w:t>
            </w:r>
          </w:p>
        </w:tc>
        <w:tc>
          <w:tcPr>
            <w:tcW w:type="dxa" w:w="2154"/>
          </w:tcPr>
          <w:p>
            <w:pPr>
              <w:pStyle w:val="Compact"/>
              <w:keepNext/>
              <w:spacing w:line="240" w:lineRule="auto" w:after="0"/>
              <w:ind w:firstLine="0"/>
              <w:jc w:val="right"/>
            </w:pPr>
            <w:r>
              <w:rPr>
                <w:rFonts w:ascii="Arial" w:hAnsi="Arial"/>
                <w:b w:val="0"/>
                <w:sz w:val="20"/>
              </w:rPr>
              <w:t xml:space="preserve">0,448 (0,004)</w:t>
            </w:r>
          </w:p>
        </w:tc>
        <w:tc>
          <w:tcPr>
            <w:tcW w:type="dxa" w:w="882"/>
          </w:tcPr>
          <w:p>
            <w:pPr>
              <w:pStyle w:val="Compact"/>
              <w:keepNext/>
              <w:spacing w:line="240" w:lineRule="auto" w:after="0"/>
              <w:ind w:firstLine="0"/>
              <w:jc w:val="right"/>
            </w:pPr>
            <w:r>
              <w:rPr>
                <w:rFonts w:ascii="Arial" w:hAnsi="Arial"/>
                <w:b w:val="0"/>
                <w:sz w:val="20"/>
              </w:rPr>
              <w:t xml:space="preserve">0,462</w:t>
            </w:r>
          </w:p>
        </w:tc>
        <w:tc>
          <w:tcPr>
            <w:tcW w:type="dxa" w:w="1703"/>
          </w:tcPr>
          <w:p>
            <w:pPr>
              <w:pStyle w:val="Compact"/>
              <w:keepNext/>
              <w:spacing w:line="240" w:lineRule="auto" w:after="0"/>
              <w:ind w:firstLine="0"/>
              <w:jc w:val="right"/>
            </w:pPr>
            <w:r>
              <w:rPr>
                <w:rFonts w:ascii="Arial" w:hAnsi="Arial"/>
                <w:b w:val="0"/>
                <w:sz w:val="20"/>
              </w:rPr>
              <w:t xml:space="preserve">83,1 (1,3)</w:t>
            </w:r>
          </w:p>
        </w:tc>
        <w:tc>
          <w:tcPr>
            <w:tcW w:type="dxa" w:w="1703"/>
          </w:tcPr>
          <w:p>
            <w:pPr>
              <w:pStyle w:val="Compact"/>
              <w:keepNext/>
              <w:spacing w:line="240" w:lineRule="auto" w:after="0"/>
              <w:ind w:firstLine="0"/>
              <w:jc w:val="right"/>
            </w:pPr>
            <w:r>
              <w:rPr>
                <w:rFonts w:ascii="Arial" w:hAnsi="Arial"/>
                <w:b w:val="0"/>
                <w:sz w:val="20"/>
              </w:rPr>
              <w:t xml:space="preserve">16,9 (0,4)</w:t>
            </w:r>
          </w:p>
        </w:tc>
        <w:tc>
          <w:tcPr>
            <w:tcW w:type="dxa" w:w="1562"/>
          </w:tcPr>
          <w:p>
            <w:pPr>
              <w:pStyle w:val="Compact"/>
              <w:keepNext/>
              <w:spacing w:line="240" w:lineRule="auto" w:after="0"/>
              <w:ind w:firstLine="0"/>
              <w:jc w:val="right"/>
            </w:pPr>
            <w:r>
              <w:rPr>
                <w:rFonts w:ascii="Arial" w:hAnsi="Arial"/>
                <w:b w:val="0"/>
                <w:sz w:val="20"/>
              </w:rPr>
              <w:t xml:space="preserve">7.699.278</w:t>
            </w:r>
          </w:p>
        </w:tc>
      </w:tr>
      <w:tr>
        <w:trPr>
          <w:cantSplit/>
        </w:trPr>
        <w:tc>
          <w:tcPr>
            <w:tcW w:type="dxa" w:w="1067"/>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q90</w:t>
            </w:r>
          </w:p>
        </w:tc>
        <w:tc>
          <w:tcPr>
            <w:tcW w:type="dxa" w:w="2154"/>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0,564 (0,007)</w:t>
            </w:r>
          </w:p>
        </w:tc>
        <w:tc>
          <w:tcPr>
            <w:tcW w:type="dxa" w:w="882"/>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0,573</w:t>
            </w:r>
          </w:p>
        </w:tc>
        <w:tc>
          <w:tcPr>
            <w:tcW w:type="dxa" w:w="1703"/>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91,1 (1,6)</w:t>
            </w:r>
          </w:p>
        </w:tc>
        <w:tc>
          <w:tcPr>
            <w:tcW w:type="dxa" w:w="1703"/>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8,9 (0,5)</w:t>
            </w:r>
          </w:p>
        </w:tc>
        <w:tc>
          <w:tcPr>
            <w:tcW w:type="dxa" w:w="1562"/>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7.699.278</w:t>
            </w:r>
          </w:p>
        </w:tc>
      </w:tr>
    </w:tbl>
    <w:bookmarkEnd w:id="83"/>
    <w:p>
      <w:pPr>
        <w:pStyle w:val="BodyText"/>
        <w:spacing w:line="240" w:lineRule="auto" w:before="40" w:after="240"/>
        <w:ind w:firstLine="0"/>
        <w:jc w:val="both"/>
      </w:pPr>
      <w:r>
        <w:rPr>
          <w:rFonts w:ascii="Arial" w:hAnsi="Arial"/>
          <w:sz w:val="22"/>
        </w:rPr>
        <w:t xml:space="preserve">Fonte: Resultados originais da pesquisa.</w:t>
      </w:r>
    </w:p>
    <w:p>
      <w:pPr>
        <w:pStyle w:val="BodyText"/>
        <w:spacing w:line="360" w:lineRule="auto" w:after="0"/>
        <w:ind w:firstLine="709"/>
        <w:jc w:val="both"/>
      </w:pPr>
      <w:r>
        <w:rPr>
          <w:rFonts w:ascii="Arial" w:hAnsi="Arial"/>
          <w:sz w:val="22"/>
        </w:rPr>
        <w:t xml:space="preserve">A Figura 7 põe os dois ângulos lado a lado.</w:t>
      </w:r>
    </w:p>
    <w:bookmarkStart w:id="87" w:name="fig:qr_rif"/>
    <w:p>
      <w:pPr>
        <w:pStyle w:val="CaptionedFigure"/>
        <w:keepNext/>
        <w:keepLines/>
      </w:pPr>
      <w:r>
        <w:rPr>
          <w:rFonts w:ascii="Arial" w:hAnsi="Arial"/>
          <w:sz w:val="22"/>
        </w:rPr>
        <w:drawing>
          <wp:inline>
            <wp:extent cx="5638038" cy="2038241"/>
            <wp:effectExtent b="0" l="0" r="0" t="0"/>
            <wp:docPr descr="" title="" id="85" name="Picture"/>
            <a:graphic>
              <a:graphicData uri="http://schemas.openxmlformats.org/drawingml/2006/picture">
                <pic:pic>
                  <pic:nvPicPr>
                    <pic:cNvPr descr="outputs/figures/fig_qr_rif.png" id="86" name="Picture"/>
                    <pic:cNvPicPr>
                      <a:picLocks noChangeArrowheads="1" noChangeAspect="1"/>
                    </pic:cNvPicPr>
                  </pic:nvPicPr>
                  <pic:blipFill>
                    <a:blip r:embed="rId84"/>
                    <a:stretch>
                      <a:fillRect/>
                    </a:stretch>
                  </pic:blipFill>
                  <pic:spPr bwMode="auto">
                    <a:xfrm>
                      <a:off x="0" y="0"/>
                      <a:ext cx="5638038" cy="2038241"/>
                    </a:xfrm>
                    <a:prstGeom prst="rect">
                      <a:avLst/>
                    </a:prstGeom>
                    <a:noFill/>
                    <a:ln w="9525">
                      <a:noFill/>
                      <a:headEnd/>
                      <a:tailEnd/>
                    </a:ln>
                  </pic:spPr>
                </pic:pic>
              </a:graphicData>
            </a:graphic>
          </wp:inline>
        </w:drawing>
      </w:r>
    </w:p>
    <w:p>
      <w:pPr>
        <w:pStyle w:val="ImageCaption"/>
        <w:keepNext/>
        <w:keepLines/>
        <w:spacing w:line="240" w:lineRule="auto" w:before="240" w:after="40"/>
        <w:ind w:firstLine="0"/>
        <w:jc w:val="both"/>
      </w:pPr>
      <w:r>
        <w:rPr>
          <w:rFonts w:ascii="Arial" w:hAnsi="Arial"/>
          <w:sz w:val="22"/>
        </w:rPr>
        <w:t xml:space="preserve">Figura 7. Teto de vidro entre pares, piso pegajoso na renda do país: duas perguntas,</w:t>
      </w:r>
      <w:r>
        <w:rPr>
          <w:rFonts w:ascii="Arial" w:hAnsi="Arial"/>
          <w:sz w:val="22"/>
        </w:rPr>
        <w:t xml:space="preserve"> </w:t>
      </w:r>
      <w:r>
        <w:rPr>
          <w:rFonts w:ascii="Arial" w:hAnsi="Arial"/>
          <w:sz w:val="22"/>
        </w:rPr>
        <w:t xml:space="preserve">dois padrões. À</w:t>
      </w:r>
      <w:r>
        <w:rPr>
          <w:rFonts w:ascii="Arial" w:hAnsi="Arial"/>
          <w:sz w:val="22"/>
        </w:rPr>
        <w:t xml:space="preserve"> </w:t>
      </w:r>
      <w:r>
        <w:rPr>
          <w:rFonts w:ascii="Arial" w:hAnsi="Arial"/>
          <w:sz w:val="22"/>
        </w:rPr>
        <w:t xml:space="preserve">esquerda, a penalidade em quantis</w:t>
      </w:r>
      <w:r>
        <w:rPr>
          <w:rFonts w:ascii="Arial" w:hAnsi="Arial"/>
          <w:sz w:val="22"/>
        </w:rPr>
        <w:t xml:space="preserve"> </w:t>
      </w:r>
      <w:r>
        <w:rPr>
          <w:rFonts w:ascii="Arial" w:hAnsi="Arial"/>
          <w:sz w:val="22"/>
        </w:rPr>
        <w:t xml:space="preserve">condicionais</w:t>
      </w:r>
      <w:r>
        <w:rPr>
          <w:rFonts w:ascii="Arial" w:hAnsi="Arial"/>
          <w:sz w:val="22"/>
        </w:rPr>
        <w:t xml:space="preserve"> </w:t>
      </w:r>
      <w:r>
        <w:rPr>
          <w:rFonts w:ascii="Arial" w:hAnsi="Arial"/>
          <w:sz w:val="22"/>
        </w:rPr>
        <w:t xml:space="preserve">cresce rumo ao topo (faixa: IC 95%</w:t>
      </w:r>
      <w:r>
        <w:rPr>
          <w:rFonts w:ascii="Arial" w:hAnsi="Arial"/>
          <w:sz w:val="22"/>
        </w:rPr>
        <w:t xml:space="preserve"> </w:t>
      </w:r>
      <w:r>
        <w:rPr>
          <w:rFonts w:ascii="Arial" w:hAnsi="Arial"/>
          <w:sz w:val="22"/>
        </w:rPr>
        <w:t xml:space="preserve">por bootstrap em blocos de UPA); à direita, a parcela não explicada dos quantis</w:t>
      </w:r>
      <w:r>
        <w:rPr>
          <w:rFonts w:ascii="Arial" w:hAnsi="Arial"/>
          <w:sz w:val="22"/>
        </w:rPr>
        <w:t xml:space="preserve"> </w:t>
      </w:r>
      <w:r>
        <w:rPr>
          <w:rFonts w:ascii="Arial" w:hAnsi="Arial"/>
          <w:sz w:val="22"/>
        </w:rPr>
        <w:t xml:space="preserve">incondicionais</w:t>
      </w:r>
      <w:r>
        <w:rPr>
          <w:rFonts w:ascii="Arial" w:hAnsi="Arial"/>
          <w:sz w:val="22"/>
        </w:rPr>
        <w:t xml:space="preserve"> </w:t>
      </w:r>
      <w:r>
        <w:rPr>
          <w:rFonts w:ascii="Arial" w:hAnsi="Arial"/>
          <w:sz w:val="22"/>
        </w:rPr>
        <w:t xml:space="preserve">da renda é maior na base.</w:t>
      </w:r>
    </w:p>
    <w:bookmarkEnd w:id="87"/>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Figura 7: à esquerda, cada ponto é a penalidade racial estimada num quantil</w:t>
      </w:r>
      <w:r>
        <w:rPr>
          <w:rFonts w:ascii="Arial" w:hAnsi="Arial"/>
          <w:sz w:val="22"/>
        </w:rPr>
        <w:t xml:space="preserve"> </w:t>
      </w:r>
      <w:r>
        <w:rPr>
          <w:rFonts w:ascii="Arial" w:hAnsi="Arial"/>
          <w:sz w:val="22"/>
        </w:rPr>
        <w:t xml:space="preserve">condicional</w:t>
      </w:r>
      <w:r>
        <w:rPr>
          <w:rFonts w:ascii="Arial" w:hAnsi="Arial"/>
          <w:sz w:val="22"/>
        </w:rPr>
        <w:t xml:space="preserve"> </w:t>
      </w:r>
      <m:oMath>
        <m:r>
          <m:t>τ</m:t>
        </m:r>
      </m:oMath>
      <w:r>
        <w:rPr>
          <w:rFonts w:ascii="Arial" w:hAnsi="Arial"/>
          <w:sz w:val="22"/>
        </w:rPr>
        <w:t xml:space="preserve"> </w:t>
      </w:r>
      <w:r>
        <w:rPr>
          <w:rFonts w:ascii="Arial" w:hAnsi="Arial"/>
          <w:sz w:val="22"/>
        </w:rPr>
        <w:t xml:space="preserve">(eixo vertical em log-pontos</w:t>
      </w:r>
      <w:r>
        <w:rPr>
          <w:rFonts w:ascii="Arial" w:hAnsi="Arial"/>
          <w:sz w:val="22"/>
        </w:rPr>
        <w:t xml:space="preserve"> </w:t>
      </w:r>
      <m:oMath>
        <m:r>
          <m:rPr>
            <m:sty m:val="p"/>
          </m:rPr>
          <m:t>×</m:t>
        </m:r>
        <m:r>
          <m:t>100</m:t>
        </m:r>
      </m:oMath>
      <w:r>
        <w:rPr>
          <w:rFonts w:ascii="Arial" w:hAnsi="Arial"/>
          <w:sz w:val="22"/>
        </w:rPr>
        <w:t xml:space="preserve">), e a faixa é o intervalo de 95% por bootstrap em blocos de UPA. À direita, cada barra é um quantil</w:t>
      </w:r>
      <w:r>
        <w:rPr>
          <w:rFonts w:ascii="Arial" w:hAnsi="Arial"/>
          <w:sz w:val="22"/>
        </w:rPr>
        <w:t xml:space="preserve"> </w:t>
      </w:r>
      <w:r>
        <w:rPr>
          <w:rFonts w:ascii="Arial" w:hAnsi="Arial"/>
          <w:sz w:val="22"/>
        </w:rPr>
        <w:t xml:space="preserve">incondicional</w:t>
      </w:r>
      <w:r>
        <w:rPr>
          <w:rFonts w:ascii="Arial" w:hAnsi="Arial"/>
          <w:sz w:val="22"/>
        </w:rPr>
        <w:t xml:space="preserve"> </w:t>
      </w:r>
      <w:r>
        <w:rPr>
          <w:rFonts w:ascii="Arial" w:hAnsi="Arial"/>
          <w:sz w:val="22"/>
        </w:rPr>
        <w:t xml:space="preserve">da renda e soma 100%: a parte azul é a parcela não explicada, com o valor escrito dentro.</w:t>
      </w:r>
    </w:p>
    <w:bookmarkEnd w:id="88"/>
    <w:bookmarkStart w:id="97" w:name="X1df7cc4eb0c7cc9fb7ddad12c1316189c49cc50"/>
    <w:p>
      <w:pPr>
        <w:pStyle w:val="Ttulo2"/>
        <w:spacing w:line="360" w:lineRule="auto" w:before="280" w:after="280"/>
        <w:ind w:firstLine="709"/>
        <w:jc w:val="left"/>
      </w:pPr>
      <w:r>
        <w:rPr>
          <w:rFonts w:ascii="Arial" w:hAnsi="Arial"/>
          <w:b/>
          <w:sz w:val="22"/>
        </w:rPr>
        <w:t xml:space="preserve">Interseccionalidade: raça e gênero no acesso e no topo</w:t>
      </w:r>
    </w:p>
    <w:p>
      <w:pPr>
        <w:pStyle w:val="FirstParagraph"/>
        <w:spacing w:line="360" w:lineRule="auto" w:after="0"/>
        <w:ind w:firstLine="709"/>
        <w:jc w:val="both"/>
      </w:pPr>
      <w:r>
        <w:rPr>
          <w:rFonts w:ascii="Arial" w:hAnsi="Arial"/>
          <w:sz w:val="22"/>
        </w:rPr>
        <w:t xml:space="preserve">Até aqui, raça foi tratada como um eixo só; a última etapa pergunta quem está na interseção.</w:t>
      </w:r>
      <w:r>
        <w:rPr>
          <w:rFonts w:ascii="Arial" w:hAnsi="Arial"/>
          <w:sz w:val="22"/>
        </w:rPr>
        <w:t xml:space="preserve"> </w:t>
      </w:r>
      <w:bookmarkStart w:id="89" w:name="subsec:interseccional"/>
      <w:bookmarkEnd w:id="89"/>
    </w:p>
    <w:p>
      <w:pPr>
        <w:pStyle w:val="BodyText"/>
        <w:spacing w:line="360" w:lineRule="auto" w:after="0"/>
        <w:ind w:firstLine="709"/>
        <w:jc w:val="both"/>
      </w:pPr>
      <w:r>
        <w:rPr>
          <w:rFonts w:ascii="Arial" w:hAnsi="Arial"/>
          <w:sz w:val="22"/>
        </w:rPr>
        <w:t xml:space="preserve">Raça e gênero simplesmente se somam? Todos os modelos até aqui responderam que sim,</w:t>
      </w:r>
      <w:r>
        <w:rPr>
          <w:rFonts w:ascii="Arial" w:hAnsi="Arial"/>
          <w:sz w:val="22"/>
        </w:rPr>
        <w:t xml:space="preserve"> </w:t>
      </w:r>
      <w:r>
        <w:rPr>
          <w:rFonts w:ascii="Arial" w:hAnsi="Arial"/>
          <w:sz w:val="22"/>
        </w:rPr>
        <w:t xml:space="preserve">por construção: tratadas como penalidades aditivas, a desvantagem de ser negra</w:t>
      </w:r>
      <w:r>
        <w:rPr>
          <w:rFonts w:ascii="Arial" w:hAnsi="Arial"/>
          <w:sz w:val="22"/>
        </w:rPr>
        <w:t xml:space="preserve"> </w:t>
      </w:r>
      <w:r>
        <w:rPr>
          <w:rFonts w:ascii="Arial" w:hAnsi="Arial"/>
          <w:sz w:val="22"/>
        </w:rPr>
        <w:t xml:space="preserve">e</w:t>
      </w:r>
      <w:r>
        <w:rPr>
          <w:rFonts w:ascii="Arial" w:hAnsi="Arial"/>
          <w:sz w:val="22"/>
        </w:rPr>
        <w:t xml:space="preserve"> </w:t>
      </w:r>
      <w:r>
        <w:rPr>
          <w:rFonts w:ascii="Arial" w:hAnsi="Arial"/>
          <w:sz w:val="22"/>
        </w:rPr>
        <w:t xml:space="preserve">mulher seria a de ser negro mais a de ser mulher.</w:t>
      </w:r>
      <w:r>
        <w:rPr>
          <w:rFonts w:ascii="Arial" w:hAnsi="Arial"/>
          <w:sz w:val="22"/>
        </w:rPr>
        <w:t xml:space="preserve"> </w:t>
      </w:r>
      <w:r>
        <w:rPr>
          <w:rFonts w:ascii="Arial" w:hAnsi="Arial"/>
          <w:sz w:val="22"/>
        </w:rPr>
        <w:t xml:space="preserve">Crenshaw (1989)</w:t>
      </w:r>
      <w:r>
        <w:rPr>
          <w:rFonts w:ascii="Arial" w:hAnsi="Arial"/>
          <w:sz w:val="22"/>
        </w:rPr>
        <w:t xml:space="preserve"> </w:t>
      </w:r>
      <w:r>
        <w:rPr>
          <w:rFonts w:ascii="Arial" w:hAnsi="Arial"/>
          <w:sz w:val="22"/>
        </w:rPr>
        <w:t xml:space="preserve">desconfia</w:t>
      </w:r>
      <w:r>
        <w:rPr>
          <w:rFonts w:ascii="Arial" w:hAnsi="Arial"/>
          <w:sz w:val="22"/>
        </w:rPr>
        <w:t xml:space="preserve"> </w:t>
      </w:r>
      <w:r>
        <w:rPr>
          <w:rFonts w:ascii="Arial" w:hAnsi="Arial"/>
          <w:sz w:val="22"/>
        </w:rPr>
        <w:t xml:space="preserve">dessa aritmética, e a desconfiança é testável — basta trocar os dois indicadores</w:t>
      </w:r>
      <w:r>
        <w:rPr>
          <w:rFonts w:ascii="Arial" w:hAnsi="Arial"/>
          <w:sz w:val="22"/>
        </w:rPr>
        <w:t xml:space="preserve"> </w:t>
      </w:r>
      <w:r>
        <w:rPr>
          <w:rFonts w:ascii="Arial" w:hAnsi="Arial"/>
          <w:sz w:val="22"/>
        </w:rPr>
        <w:t xml:space="preserve">separados por um único fator de quatro grupos e deixar que os dados digam se a soma</w:t>
      </w:r>
      <w:r>
        <w:rPr>
          <w:rFonts w:ascii="Arial" w:hAnsi="Arial"/>
          <w:sz w:val="22"/>
        </w:rPr>
        <w:t xml:space="preserve"> </w:t>
      </w:r>
      <w:r>
        <w:rPr>
          <w:rFonts w:ascii="Arial" w:hAnsi="Arial"/>
          <w:sz w:val="22"/>
        </w:rPr>
        <w:t xml:space="preserve">fecha.</w:t>
      </w:r>
      <w:r>
        <w:rPr>
          <w:rStyle w:val="FootnoteReference"/>
          <w:rFonts w:ascii="Arial" w:hAnsi="Arial"/>
          <w:sz w:val="22"/>
          <w:vertAlign w:val="superscript"/>
        </w:rPr>
        <w:footnoteReference w:id="90"/>
      </w:r>
      <w:r>
        <w:rPr>
          <w:rFonts w:ascii="Arial" w:hAnsi="Arial"/>
          <w:sz w:val="22"/>
        </w:rPr>
        <w:t xml:space="preserve"> </w:t>
      </w:r>
      <w:r>
        <w:rPr>
          <w:rFonts w:ascii="Arial" w:hAnsi="Arial"/>
          <w:sz w:val="22"/>
        </w:rPr>
        <w:t xml:space="preserve">A Tabela 11 traz a decomposição de Oaxaca–Blinder dos quatro grupos contra o homem branco, e a Figura 8, as razões de chance nos três desfechos.</w:t>
      </w:r>
    </w:p>
    <w:bookmarkStart w:id="91" w:name="tab:interseccional"/>
    <w:p>
      <w:pPr>
        <w:pStyle w:val="TableCaption"/>
        <w:keepNext/>
        <w:keepLines/>
        <w:spacing w:line="240" w:lineRule="auto" w:before="240" w:after="40"/>
        <w:ind w:firstLine="0"/>
        <w:jc w:val="both"/>
      </w:pPr>
      <w:r>
        <w:rPr>
          <w:rFonts w:ascii="Arial" w:hAnsi="Arial"/>
          <w:sz w:val="22"/>
        </w:rPr>
        <w:t xml:space="preserve">Tabela 11. Decomposição interseccional (raça</w:t>
      </w:r>
      <w:r>
        <w:rPr>
          <w:rFonts w:ascii="Arial" w:hAnsi="Arial"/>
          <w:sz w:val="22"/>
        </w:rPr>
        <w:t xml:space="preserve"> </w:t>
      </w:r>
      <m:oMath>
        <m:r>
          <m:rPr>
            <m:sty m:val="p"/>
          </m:rPr>
          <m:t>×</m:t>
        </m:r>
      </m:oMath>
      <w:r>
        <w:rPr>
          <w:rFonts w:ascii="Arial" w:hAnsi="Arial"/>
          <w:sz w:val="22"/>
        </w:rPr>
        <w:t xml:space="preserve"> </w:t>
      </w:r>
      <w:r>
        <w:rPr>
          <w:rFonts w:ascii="Arial" w:hAnsi="Arial"/>
          <w:sz w:val="22"/>
        </w:rPr>
        <w:t xml:space="preserve">gênero) do gap de rendimento</w:t>
      </w:r>
      <w:r>
        <w:rPr>
          <w:rFonts w:ascii="Arial" w:hAnsi="Arial"/>
          <w:sz w:val="22"/>
        </w:rPr>
        <w:t xml:space="preserve"> </w:t>
      </w:r>
      <w:r>
        <w:rPr>
          <w:rFonts w:ascii="Arial" w:hAnsi="Arial"/>
          <w:sz w:val="22"/>
        </w:rPr>
        <w:t xml:space="preserve">vs.</w:t>
      </w:r>
      <w:r>
        <w:rPr>
          <w:rFonts w:ascii="Arial" w:hAnsi="Arial"/>
          <w:sz w:val="22"/>
        </w:rPr>
        <w:t xml:space="preserve"> o Homem Branco (grupo de referência). Dotações: parcela explicada por</w:t>
      </w:r>
      <w:r>
        <w:rPr>
          <w:rFonts w:ascii="Arial" w:hAnsi="Arial"/>
          <w:sz w:val="22"/>
        </w:rPr>
        <w:t xml:space="preserve"> </w:t>
      </w:r>
      <w:r>
        <w:rPr>
          <w:rFonts w:ascii="Arial" w:hAnsi="Arial"/>
          <w:sz w:val="22"/>
        </w:rPr>
        <w:t xml:space="preserve">características observáveis; Retornos: parcela não explicada (discriminação). Gap (log):</w:t>
      </w:r>
      <w:r>
        <w:rPr>
          <w:rFonts w:ascii="Arial" w:hAnsi="Arial"/>
          <w:sz w:val="22"/>
        </w:rPr>
        <w:t xml:space="preserve"> </w:t>
      </w:r>
      <w:r>
        <w:rPr>
          <w:rFonts w:ascii="Arial" w:hAnsi="Arial"/>
          <w:sz w:val="22"/>
        </w:rPr>
        <w:t xml:space="preserve">a mesma desvantagem em log-pontos, a escala em que os efeitos de raça e de gênero se somam</w:t>
      </w:r>
      <w:r>
        <w:rPr>
          <w:rFonts w:ascii="Arial" w:hAnsi="Arial"/>
          <w:sz w:val="22"/>
        </w:rPr>
        <w:t xml:space="preserve"> </w:t>
      </w:r>
      <w:r>
        <w:rPr>
          <w:rFonts w:ascii="Arial" w:hAnsi="Arial"/>
          <w:sz w:val="22"/>
        </w:rPr>
        <w:t xml:space="preserve">(Crenshaw, 1989)</w:t>
      </w:r>
      <w:r>
        <w:rPr>
          <w:rFonts w:ascii="Arial" w:hAnsi="Arial"/>
          <w:sz w:val="22"/>
        </w:rPr>
        <w:t xml:space="preserve">. PNAD Contínua, população completa</w:t>
      </w:r>
      <w:r>
        <w:rPr>
          <w:rFonts w:ascii="Arial" w:hAnsi="Arial"/>
          <w:sz w:val="22"/>
        </w:rPr>
        <w:t xml:space="preserve"> </w:t>
      </w:r>
      <w:r>
        <w:rPr>
          <w:rFonts w:ascii="Arial" w:hAnsi="Arial"/>
          <w:sz w:val="22"/>
        </w:rPr>
        <w:t xml:space="preserve">(</w:t>
      </w:r>
      <m:oMath>
        <m:r>
          <m:t>N</m:t>
        </m:r>
      </m:oMath>
      <w:r>
        <w:rPr>
          <w:rFonts w:ascii="Arial" w:hAnsi="Arial"/>
          <w:sz w:val="22"/>
        </w:rPr>
        <w:t xml:space="preserve"> </w:t>
      </w:r>
      <w:r>
        <w:rPr>
          <w:rFonts w:ascii="Arial" w:hAnsi="Arial"/>
          <w:sz w:val="22"/>
        </w:rPr>
        <w:t xml:space="preserve">do grupo de referência — homens brancos — na última linha da nota). Entre</w:t>
      </w:r>
      <w:r>
        <w:rPr>
          <w:rFonts w:ascii="Arial" w:hAnsi="Arial"/>
          <w:sz w:val="22"/>
        </w:rPr>
        <w:t xml:space="preserve"> </w:t>
      </w:r>
      <w:r>
        <w:rPr>
          <w:rFonts w:ascii="Arial" w:hAnsi="Arial"/>
          <w:sz w:val="22"/>
        </w:rPr>
        <w:t xml:space="preserve">parênteses: erro-padrão por bootstrap em blocos por UPA.</w:t>
      </w:r>
    </w:p>
    <w:tbl>
      <w:tblPr>
        <w:tblStyle w:val="Table"/>
        <w:tblW w:type="auto" w:w="0"/>
        <w:tblLayout w:type="fixed"/>
        <w:tblLook w:firstRow="1" w:lastRow="0" w:firstColumn="0" w:lastColumn="0" w:noHBand="0" w:noVBand="0" w:val="0020"/>
        <w:tblCaption w:val="Tabela 11. Decomposição interseccional (raça \times gênero) do gap de rendimento vs. o Homem Branco (grupo de referência). Dotações: parcela explicada por características observáveis; Retornos: parcela não explicada (discriminação). Gap (log): a mesma desvantagem em log-pontos, a escala em que os efeitos de raça e de gênero se somam (Crenshaw, 1989). PNAD Contínua, população completa (N do grupo de referência — homens brancos — na última linha da nota). Entre parênteses: erro-padrão por bootstrap em blocos por UPA."/>
        <w:tblBorders>
          <w:top w:val="nil"/>
          <w:left w:val="nil"/>
          <w:bottom w:val="nil"/>
          <w:right w:val="nil"/>
          <w:insideH w:val="nil"/>
          <w:insideV w:val="nil"/>
        </w:tblBorders>
      </w:tblPr>
      <w:tblGrid>
        <w:gridCol w:w="1709"/>
        <w:gridCol w:w="1709"/>
        <w:gridCol w:w="1183"/>
        <w:gridCol w:w="1578"/>
        <w:gridCol w:w="1578"/>
        <w:gridCol w:w="1315"/>
      </w:tblGrid>
      <w:tr>
        <w:trPr>
          <w:tblHeader w:val="on"/>
          <w:cantSplit/>
        </w:trPr>
        <w:tc>
          <w:tcPr>
            <w:tcW w:type="dxa" w:w="1709"/>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Grupo</w:t>
            </w:r>
          </w:p>
        </w:tc>
        <w:tc>
          <w:tcPr>
            <w:tcW w:type="dxa" w:w="1709"/>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Gap vs HB (%)</w:t>
            </w:r>
          </w:p>
        </w:tc>
        <w:tc>
          <w:tcPr>
            <w:tcW w:type="dxa" w:w="1183"/>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Gap (log)</w:t>
            </w:r>
          </w:p>
        </w:tc>
        <w:tc>
          <w:tcPr>
            <w:tcW w:type="dxa" w:w="1578"/>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Dotações (%)</w:t>
            </w:r>
          </w:p>
        </w:tc>
        <w:tc>
          <w:tcPr>
            <w:tcW w:type="dxa" w:w="1578"/>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Retornos (%)</w:t>
            </w:r>
          </w:p>
        </w:tc>
        <w:tc>
          <w:tcPr>
            <w:tcW w:type="dxa" w:w="1315"/>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i/>
                <w:iCs/>
                <w:sz w:val="20"/>
              </w:rPr>
              <w:t xml:space="preserve">N</w:t>
            </w:r>
            <w:r>
              <w:rPr>
                <w:rFonts w:ascii="Arial" w:hAnsi="Arial"/>
                <w:b w:val="0"/>
                <w:sz w:val="20"/>
              </w:rPr>
              <w:t xml:space="preserve"> </w:t>
            </w:r>
            <w:r>
              <w:rPr>
                <w:rFonts w:ascii="Arial" w:hAnsi="Arial"/>
                <w:b w:val="0"/>
                <w:sz w:val="20"/>
              </w:rPr>
              <w:t xml:space="preserve">do grupo</w:t>
            </w:r>
          </w:p>
        </w:tc>
      </w:tr>
      <w:tr>
        <w:trPr>
          <w:cantSplit/>
        </w:trPr>
        <w:tc>
          <w:tcPr>
            <w:tcW w:type="dxa" w:w="1709"/>
          </w:tcPr>
          <w:p>
            <w:pPr>
              <w:pStyle w:val="Compact"/>
              <w:keepNext/>
              <w:spacing w:line="240" w:lineRule="auto" w:after="0"/>
              <w:ind w:firstLine="0"/>
              <w:jc w:val="left"/>
            </w:pPr>
            <w:r>
              <w:rPr>
                <w:rFonts w:ascii="Arial" w:hAnsi="Arial"/>
                <w:b w:val="0"/>
                <w:sz w:val="20"/>
              </w:rPr>
              <w:t xml:space="preserve">Mulher Branca</w:t>
            </w:r>
          </w:p>
        </w:tc>
        <w:tc>
          <w:tcPr>
            <w:tcW w:type="dxa" w:w="1709"/>
          </w:tcPr>
          <w:p>
            <w:pPr>
              <w:pStyle w:val="Compact"/>
              <w:keepNext/>
              <w:spacing w:line="240" w:lineRule="auto" w:after="0"/>
              <w:ind w:firstLine="0"/>
              <w:jc w:val="right"/>
            </w:pPr>
            <w:r>
              <w:rPr>
                <w:rFonts w:ascii="Arial" w:hAnsi="Arial"/>
                <w:b w:val="0"/>
                <w:sz w:val="20"/>
              </w:rPr>
              <w:t xml:space="preserve">19,9 (0,2)</w:t>
            </w:r>
          </w:p>
        </w:tc>
        <w:tc>
          <w:tcPr>
            <w:tcW w:type="dxa" w:w="1183"/>
          </w:tcPr>
          <w:p>
            <w:pPr>
              <w:pStyle w:val="Compact"/>
              <w:keepNext/>
              <w:spacing w:line="240" w:lineRule="auto" w:after="0"/>
              <w:ind w:firstLine="0"/>
              <w:jc w:val="right"/>
            </w:pPr>
            <w:r>
              <w:rPr>
                <w:rFonts w:ascii="Arial" w:hAnsi="Arial"/>
                <w:b w:val="0"/>
                <w:sz w:val="20"/>
              </w:rPr>
              <w:t xml:space="preserve">0,182</w:t>
            </w:r>
          </w:p>
        </w:tc>
        <w:tc>
          <w:tcPr>
            <w:tcW w:type="dxa" w:w="1578"/>
          </w:tcPr>
          <w:p>
            <w:pPr>
              <w:pStyle w:val="Compact"/>
              <w:keepNext/>
              <w:spacing w:line="240" w:lineRule="auto" w:after="0"/>
              <w:ind w:firstLine="0"/>
              <w:jc w:val="right"/>
            </w:pPr>
            <w:r>
              <w:rPr>
                <w:rFonts w:ascii="Arial" w:hAnsi="Arial"/>
                <w:b w:val="0"/>
                <w:sz w:val="20"/>
              </w:rPr>
              <w:t xml:space="preserve">−97,0 (1,8)</w:t>
            </w:r>
          </w:p>
        </w:tc>
        <w:tc>
          <w:tcPr>
            <w:tcW w:type="dxa" w:w="1578"/>
          </w:tcPr>
          <w:p>
            <w:pPr>
              <w:pStyle w:val="Compact"/>
              <w:keepNext/>
              <w:spacing w:line="240" w:lineRule="auto" w:after="0"/>
              <w:ind w:firstLine="0"/>
              <w:jc w:val="right"/>
            </w:pPr>
            <w:r>
              <w:rPr>
                <w:rFonts w:ascii="Arial" w:hAnsi="Arial"/>
                <w:b w:val="0"/>
                <w:sz w:val="20"/>
              </w:rPr>
              <w:t xml:space="preserve">197,0 (1,8)</w:t>
            </w:r>
          </w:p>
        </w:tc>
        <w:tc>
          <w:tcPr>
            <w:tcW w:type="dxa" w:w="1315"/>
          </w:tcPr>
          <w:p>
            <w:pPr>
              <w:pStyle w:val="Compact"/>
              <w:keepNext/>
              <w:spacing w:line="240" w:lineRule="auto" w:after="0"/>
              <w:ind w:firstLine="0"/>
              <w:jc w:val="right"/>
            </w:pPr>
            <w:r>
              <w:rPr>
                <w:rFonts w:ascii="Arial" w:hAnsi="Arial"/>
                <w:b w:val="0"/>
                <w:sz w:val="20"/>
              </w:rPr>
              <w:t xml:space="preserve">1.429.355</w:t>
            </w:r>
          </w:p>
        </w:tc>
      </w:tr>
      <w:tr>
        <w:trPr>
          <w:cantSplit/>
        </w:trPr>
        <w:tc>
          <w:tcPr>
            <w:tcW w:type="dxa" w:w="1709"/>
          </w:tcPr>
          <w:p>
            <w:pPr>
              <w:pStyle w:val="Compact"/>
              <w:keepNext/>
              <w:spacing w:line="240" w:lineRule="auto" w:after="0"/>
              <w:ind w:firstLine="0"/>
              <w:jc w:val="left"/>
            </w:pPr>
            <w:r>
              <w:rPr>
                <w:rFonts w:ascii="Arial" w:hAnsi="Arial"/>
                <w:b w:val="0"/>
                <w:sz w:val="20"/>
              </w:rPr>
              <w:t xml:space="preserve">Homem Negro</w:t>
            </w:r>
          </w:p>
        </w:tc>
        <w:tc>
          <w:tcPr>
            <w:tcW w:type="dxa" w:w="1709"/>
          </w:tcPr>
          <w:p>
            <w:pPr>
              <w:pStyle w:val="Compact"/>
              <w:keepNext/>
              <w:spacing w:line="240" w:lineRule="auto" w:after="0"/>
              <w:ind w:firstLine="0"/>
              <w:jc w:val="right"/>
            </w:pPr>
            <w:r>
              <w:rPr>
                <w:rFonts w:ascii="Arial" w:hAnsi="Arial"/>
                <w:b w:val="0"/>
                <w:sz w:val="20"/>
              </w:rPr>
              <w:t xml:space="preserve">56,4 (0,5)</w:t>
            </w:r>
          </w:p>
        </w:tc>
        <w:tc>
          <w:tcPr>
            <w:tcW w:type="dxa" w:w="1183"/>
          </w:tcPr>
          <w:p>
            <w:pPr>
              <w:pStyle w:val="Compact"/>
              <w:keepNext/>
              <w:spacing w:line="240" w:lineRule="auto" w:after="0"/>
              <w:ind w:firstLine="0"/>
              <w:jc w:val="right"/>
            </w:pPr>
            <w:r>
              <w:rPr>
                <w:rFonts w:ascii="Arial" w:hAnsi="Arial"/>
                <w:b w:val="0"/>
                <w:sz w:val="20"/>
              </w:rPr>
              <w:t xml:space="preserve">0,447</w:t>
            </w:r>
          </w:p>
        </w:tc>
        <w:tc>
          <w:tcPr>
            <w:tcW w:type="dxa" w:w="1578"/>
          </w:tcPr>
          <w:p>
            <w:pPr>
              <w:pStyle w:val="Compact"/>
              <w:keepNext/>
              <w:spacing w:line="240" w:lineRule="auto" w:after="0"/>
              <w:ind w:firstLine="0"/>
              <w:jc w:val="right"/>
            </w:pPr>
            <w:r>
              <w:rPr>
                <w:rFonts w:ascii="Arial" w:hAnsi="Arial"/>
                <w:b w:val="0"/>
                <w:sz w:val="20"/>
              </w:rPr>
              <w:t xml:space="preserve">77,2 (0,3)</w:t>
            </w:r>
          </w:p>
        </w:tc>
        <w:tc>
          <w:tcPr>
            <w:tcW w:type="dxa" w:w="1578"/>
          </w:tcPr>
          <w:p>
            <w:pPr>
              <w:pStyle w:val="Compact"/>
              <w:keepNext/>
              <w:spacing w:line="240" w:lineRule="auto" w:after="0"/>
              <w:ind w:firstLine="0"/>
              <w:jc w:val="right"/>
            </w:pPr>
            <w:r>
              <w:rPr>
                <w:rFonts w:ascii="Arial" w:hAnsi="Arial"/>
                <w:b w:val="0"/>
                <w:sz w:val="20"/>
              </w:rPr>
              <w:t xml:space="preserve">22,8 (0,3)</w:t>
            </w:r>
          </w:p>
        </w:tc>
        <w:tc>
          <w:tcPr>
            <w:tcW w:type="dxa" w:w="1315"/>
          </w:tcPr>
          <w:p>
            <w:pPr>
              <w:pStyle w:val="Compact"/>
              <w:keepNext/>
              <w:spacing w:line="240" w:lineRule="auto" w:after="0"/>
              <w:ind w:firstLine="0"/>
              <w:jc w:val="right"/>
            </w:pPr>
            <w:r>
              <w:rPr>
                <w:rFonts w:ascii="Arial" w:hAnsi="Arial"/>
                <w:b w:val="0"/>
                <w:sz w:val="20"/>
              </w:rPr>
              <w:t xml:space="preserve">2.662.039</w:t>
            </w:r>
          </w:p>
        </w:tc>
      </w:tr>
      <w:tr>
        <w:trPr>
          <w:cantSplit/>
        </w:trPr>
        <w:tc>
          <w:tcPr>
            <w:tcW w:type="dxa" w:w="1709"/>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Mulher Negra</w:t>
            </w:r>
          </w:p>
        </w:tc>
        <w:tc>
          <w:tcPr>
            <w:tcW w:type="dxa" w:w="1709"/>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80,7 (0,6)</w:t>
            </w:r>
          </w:p>
        </w:tc>
        <w:tc>
          <w:tcPr>
            <w:tcW w:type="dxa" w:w="1183"/>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0,592</w:t>
            </w:r>
          </w:p>
        </w:tc>
        <w:tc>
          <w:tcPr>
            <w:tcW w:type="dxa" w:w="1578"/>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27,4 (0,4)</w:t>
            </w:r>
          </w:p>
        </w:tc>
        <w:tc>
          <w:tcPr>
            <w:tcW w:type="dxa" w:w="1578"/>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72,6 (0,4)</w:t>
            </w:r>
          </w:p>
        </w:tc>
        <w:tc>
          <w:tcPr>
            <w:tcW w:type="dxa" w:w="1315"/>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1.765.796</w:t>
            </w:r>
          </w:p>
        </w:tc>
      </w:tr>
    </w:tbl>
    <w:bookmarkEnd w:id="91"/>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w:t>
      </w:r>
      <w:r>
        <w:rPr>
          <w:rFonts w:ascii="Arial" w:hAnsi="Arial"/>
          <w:sz w:val="22"/>
        </w:rPr>
        <w:t xml:space="preserve"> </w:t>
      </w:r>
      <w:r>
        <w:rPr>
          <w:rFonts w:ascii="Arial" w:hAnsi="Arial"/>
          <w:sz w:val="22"/>
        </w:rPr>
        <w:t xml:space="preserve">“Gap vs HB”</w:t>
      </w:r>
      <w:r>
        <w:rPr>
          <w:rFonts w:ascii="Arial" w:hAnsi="Arial"/>
          <w:sz w:val="22"/>
        </w:rPr>
        <w:t xml:space="preserve"> </w:t>
      </w:r>
      <w:r>
        <w:rPr>
          <w:rFonts w:ascii="Arial" w:hAnsi="Arial"/>
          <w:sz w:val="22"/>
        </w:rPr>
        <w:t xml:space="preserve">é a desvantagem de renda de cada grupo</w:t>
      </w:r>
      <w:r>
        <w:rPr>
          <w:rFonts w:ascii="Arial" w:hAnsi="Arial"/>
          <w:sz w:val="22"/>
        </w:rPr>
        <w:t xml:space="preserve"> </w:t>
      </w:r>
      <w:r>
        <w:rPr>
          <w:rFonts w:ascii="Arial" w:hAnsi="Arial"/>
          <w:sz w:val="22"/>
        </w:rPr>
        <w:t xml:space="preserve">vs.</w:t>
      </w:r>
      <w:r>
        <w:rPr>
          <w:rFonts w:ascii="Arial" w:hAnsi="Arial"/>
          <w:sz w:val="22"/>
        </w:rPr>
        <w:t xml:space="preserve"> o Homem Branco; Dotações</w:t>
      </w:r>
      <w:r>
        <w:rPr>
          <w:rFonts w:ascii="Arial" w:hAnsi="Arial"/>
          <w:sz w:val="22"/>
        </w:rPr>
        <w:t xml:space="preserve"> </w:t>
      </w:r>
      <m:oMath>
        <m:r>
          <m:rPr>
            <m:sty m:val="p"/>
          </m:rPr>
          <m:t>+</m:t>
        </m:r>
      </m:oMath>
      <w:r>
        <w:rPr>
          <w:rFonts w:ascii="Arial" w:hAnsi="Arial"/>
          <w:sz w:val="22"/>
        </w:rPr>
        <w:t xml:space="preserve"> </w:t>
      </w:r>
      <w:r>
        <w:rPr>
          <w:rFonts w:ascii="Arial" w:hAnsi="Arial"/>
          <w:sz w:val="22"/>
        </w:rPr>
        <w:t xml:space="preserve">Retornos</w:t>
      </w:r>
      <w:r>
        <w:rPr>
          <w:rFonts w:ascii="Arial" w:hAnsi="Arial"/>
          <w:sz w:val="22"/>
        </w:rPr>
        <w:t xml:space="preserve"> </w:t>
      </w:r>
      <m:oMath>
        <m:r>
          <m:rPr>
            <m:sty m:val="p"/>
          </m:rPr>
          <m:t>=</m:t>
        </m:r>
        <m:r>
          <m:t>100</m:t>
        </m:r>
        <m:r>
          <m:rPr>
            <m:sty m:val="p"/>
          </m:rPr>
          <m:t>%</m:t>
        </m:r>
      </m:oMath>
      <w:r>
        <w:rPr>
          <w:rFonts w:ascii="Arial" w:hAnsi="Arial"/>
          <w:sz w:val="22"/>
        </w:rPr>
        <w:t xml:space="preserve"> </w:t>
      </w:r>
      <w:r>
        <w:rPr>
          <w:rFonts w:ascii="Arial" w:hAnsi="Arial"/>
          <w:sz w:val="22"/>
        </w:rPr>
        <w:t xml:space="preserve">do gap. A Mulher Negra tem o</w:t>
      </w:r>
      <w:r>
        <w:rPr>
          <w:rFonts w:ascii="Arial" w:hAnsi="Arial"/>
          <w:sz w:val="22"/>
        </w:rPr>
        <w:t xml:space="preserve"> </w:t>
      </w:r>
      <w:r>
        <w:rPr>
          <w:rFonts w:ascii="Arial" w:hAnsi="Arial"/>
          <w:sz w:val="22"/>
        </w:rPr>
        <w:t xml:space="preserve">maior gap. Em log-pontos, o gap da Mulher Negra (0,592) fica abaixo da soma dos gaps da Mulher Branca e do Homem Negro (0,629): as desvantagens de raça e de gênero se acumulam sem se multiplicar — a interação é sub-aditiva, como no modelo de acesso. Somar os percentuais daria a impressão contrária, porque a escala percentual é convexa. O sinal negativo das dotações da Mulher</w:t>
      </w:r>
      <w:r>
        <w:rPr>
          <w:rFonts w:ascii="Arial" w:hAnsi="Arial"/>
          <w:sz w:val="22"/>
        </w:rPr>
        <w:t xml:space="preserve"> </w:t>
      </w:r>
      <w:r>
        <w:rPr>
          <w:rFonts w:ascii="Arial" w:hAnsi="Arial"/>
          <w:sz w:val="22"/>
        </w:rPr>
        <w:t xml:space="preserve">Branca indica que suas características observáveis</w:t>
      </w:r>
      <w:r>
        <w:rPr>
          <w:rFonts w:ascii="Arial" w:hAnsi="Arial"/>
          <w:sz w:val="22"/>
        </w:rPr>
        <w:t xml:space="preserve"> </w:t>
      </w:r>
      <w:r>
        <w:rPr>
          <w:rFonts w:ascii="Arial" w:hAnsi="Arial"/>
          <w:sz w:val="22"/>
        </w:rPr>
        <w:t xml:space="preserve">superam</w:t>
      </w:r>
      <w:r>
        <w:rPr>
          <w:rFonts w:ascii="Arial" w:hAnsi="Arial"/>
          <w:sz w:val="22"/>
        </w:rPr>
        <w:t xml:space="preserve"> </w:t>
      </w:r>
      <w:r>
        <w:rPr>
          <w:rFonts w:ascii="Arial" w:hAnsi="Arial"/>
          <w:sz w:val="22"/>
        </w:rPr>
        <w:t xml:space="preserve">as do homem branco: todo</w:t>
      </w:r>
      <w:r>
        <w:rPr>
          <w:rFonts w:ascii="Arial" w:hAnsi="Arial"/>
          <w:sz w:val="22"/>
        </w:rPr>
        <w:t xml:space="preserve"> </w:t>
      </w:r>
      <w:r>
        <w:rPr>
          <w:rFonts w:ascii="Arial" w:hAnsi="Arial"/>
          <w:sz w:val="22"/>
        </w:rPr>
        <w:t xml:space="preserve">o gap vem de retornos diferenciais. Grupo de referência: 1.842.088 homens brancos.</w:t>
      </w:r>
    </w:p>
    <w:bookmarkStart w:id="95" w:name="fig:interseccional"/>
    <w:p>
      <w:pPr>
        <w:pStyle w:val="CaptionedFigure"/>
        <w:keepNext/>
        <w:keepLines/>
      </w:pPr>
      <w:r>
        <w:rPr>
          <w:rFonts w:ascii="Arial" w:hAnsi="Arial"/>
          <w:sz w:val="22"/>
        </w:rPr>
        <w:drawing>
          <wp:inline>
            <wp:extent cx="4717542" cy="1814439"/>
            <wp:effectExtent b="0" l="0" r="0" t="0"/>
            <wp:docPr descr="" title="" id="93" name="Picture"/>
            <a:graphic>
              <a:graphicData uri="http://schemas.openxmlformats.org/drawingml/2006/picture">
                <pic:pic>
                  <pic:nvPicPr>
                    <pic:cNvPr descr="outputs/figures/grupo_rg_interseccional.png" id="94" name="Picture"/>
                    <pic:cNvPicPr>
                      <a:picLocks noChangeArrowheads="1" noChangeAspect="1"/>
                    </pic:cNvPicPr>
                  </pic:nvPicPr>
                  <pic:blipFill>
                    <a:blip r:embed="rId92"/>
                    <a:stretch>
                      <a:fillRect/>
                    </a:stretch>
                  </pic:blipFill>
                  <pic:spPr bwMode="auto">
                    <a:xfrm>
                      <a:off x="0" y="0"/>
                      <a:ext cx="4717542" cy="1814439"/>
                    </a:xfrm>
                    <a:prstGeom prst="rect">
                      <a:avLst/>
                    </a:prstGeom>
                    <a:noFill/>
                    <a:ln w="9525">
                      <a:noFill/>
                      <a:headEnd/>
                      <a:tailEnd/>
                    </a:ln>
                  </pic:spPr>
                </pic:pic>
              </a:graphicData>
            </a:graphic>
          </wp:inline>
        </w:drawing>
      </w:r>
    </w:p>
    <w:p>
      <w:pPr>
        <w:pStyle w:val="ImageCaption"/>
        <w:keepNext/>
        <w:keepLines/>
        <w:spacing w:line="240" w:lineRule="auto" w:before="240" w:after="40"/>
        <w:ind w:firstLine="0"/>
        <w:jc w:val="both"/>
      </w:pPr>
      <w:r>
        <w:rPr>
          <w:rFonts w:ascii="Arial" w:hAnsi="Arial"/>
          <w:sz w:val="22"/>
        </w:rPr>
        <w:t xml:space="preserve">Figura 8. A vantagem aparente da mulher negra no acesso é de composição: razões de chance dos quatro grupos raça</w:t>
      </w:r>
      <m:oMath>
        <m:r>
          <m:rPr>
            <m:sty m:val="p"/>
          </m:rPr>
          <m:t>×</m:t>
        </m:r>
      </m:oMath>
      <w:r>
        <w:rPr>
          <w:rFonts w:ascii="Arial" w:hAnsi="Arial"/>
          <w:sz w:val="22"/>
        </w:rPr>
        <w:t xml:space="preserve">gênero</w:t>
      </w:r>
      <w:r>
        <w:rPr>
          <w:rFonts w:ascii="Arial" w:hAnsi="Arial"/>
          <w:sz w:val="22"/>
        </w:rPr>
        <w:t xml:space="preserve"> </w:t>
      </w:r>
      <w:r>
        <w:rPr>
          <w:rFonts w:ascii="Arial" w:hAnsi="Arial"/>
          <w:sz w:val="22"/>
        </w:rPr>
        <w:t xml:space="preserve">vs.</w:t>
      </w:r>
      <w:r>
        <w:rPr>
          <w:rFonts w:ascii="Arial" w:hAnsi="Arial"/>
          <w:sz w:val="22"/>
        </w:rPr>
        <w:t xml:space="preserve"> homem</w:t>
      </w:r>
      <w:r>
        <w:rPr>
          <w:rFonts w:ascii="Arial" w:hAnsi="Arial"/>
          <w:sz w:val="22"/>
        </w:rPr>
        <w:t xml:space="preserve"> </w:t>
      </w:r>
      <w:r>
        <w:rPr>
          <w:rFonts w:ascii="Arial" w:hAnsi="Arial"/>
          <w:sz w:val="22"/>
        </w:rPr>
        <w:t xml:space="preserve">branco, em três desfechos. Na categoria agregada ela aparece acima da referência,</w:t>
      </w:r>
      <w:r>
        <w:rPr>
          <w:rFonts w:ascii="Arial" w:hAnsi="Arial"/>
          <w:sz w:val="22"/>
        </w:rPr>
        <w:t xml:space="preserve"> </w:t>
      </w:r>
      <w:r>
        <w:rPr>
          <w:rFonts w:ascii="Arial" w:hAnsi="Arial"/>
          <w:sz w:val="22"/>
        </w:rPr>
        <w:t xml:space="preserve">mas por composição: entra pelas ocupações feminizadas e é a mais distante do homem</w:t>
      </w:r>
      <w:r>
        <w:rPr>
          <w:rFonts w:ascii="Arial" w:hAnsi="Arial"/>
          <w:sz w:val="22"/>
        </w:rPr>
        <w:t xml:space="preserve"> </w:t>
      </w:r>
      <w:r>
        <w:rPr>
          <w:rFonts w:ascii="Arial" w:hAnsi="Arial"/>
          <w:sz w:val="22"/>
        </w:rPr>
        <w:t xml:space="preserve">branco entre os dirigentes e no topo da renda.</w:t>
      </w:r>
    </w:p>
    <w:bookmarkEnd w:id="95"/>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Figura 8: cada série é um grupo raça</w:t>
      </w:r>
      <m:oMath>
        <m:r>
          <m:rPr>
            <m:sty m:val="p"/>
          </m:rPr>
          <m:t>×</m:t>
        </m:r>
      </m:oMath>
      <w:r>
        <w:rPr>
          <w:rFonts w:ascii="Arial" w:hAnsi="Arial"/>
          <w:sz w:val="22"/>
        </w:rPr>
        <w:t xml:space="preserve">gênero e cada ponto, a razão de chances contra o homem branco, cuja referência é a linha tracejada em 1; abaixo dela, o grupo tem menos chance que ele. À esquerda, siga a série azul (mulher negra): ela aparece acima da referência na categoria agregada e termina como o grupo mais distante da referência no topo da renda. À direita, a mesma comparação por grande grupo da CBO mostra de onde vem a aparente vantagem: das ocupações feminizadas, não do comando.</w:t>
      </w:r>
    </w:p>
    <w:p>
      <w:pPr>
        <w:pStyle w:val="BodyText"/>
        <w:spacing w:line="360" w:lineRule="auto" w:after="0"/>
        <w:ind w:firstLine="709"/>
        <w:jc w:val="both"/>
      </w:pPr>
      <w:r>
        <w:rPr>
          <w:rFonts w:ascii="Arial" w:hAnsi="Arial"/>
          <w:b/>
          <w:bCs/>
          <w:sz w:val="22"/>
        </w:rPr>
        <w:t xml:space="preserve">Na entrada, a vantagem da mulher negra é de ocupações feminizadas.</w:t>
      </w:r>
      <w:r>
        <w:rPr>
          <w:rFonts w:ascii="Arial" w:hAnsi="Arial"/>
          <w:sz w:val="22"/>
        </w:rPr>
        <w:t xml:space="preserve"> </w:t>
      </w:r>
      <w:r>
        <w:rPr>
          <w:rFonts w:ascii="Arial" w:hAnsi="Arial"/>
          <w:sz w:val="22"/>
        </w:rPr>
        <w:t xml:space="preserve">No acesso à ocupação qualificada (CBO 1–4) a mulher negra tem OR </w:t>
      </w:r>
      <m:oMath>
        <m:r>
          <m:rPr>
            <m:sty m:val="p"/>
          </m:rPr>
          <m:t>=</m:t>
        </m:r>
        <m:r>
          <m:t>1</m:t>
        </m:r>
        <m:r>
          <m:rPr>
            <m:sty m:val="p"/>
          </m:rPr>
          <m:t>,</m:t>
        </m:r>
        <m:r>
          <m:t>31</m:t>
        </m:r>
      </m:oMath>
      <w:r>
        <w:rPr>
          <w:rFonts w:ascii="Arial" w:hAnsi="Arial"/>
          <w:sz w:val="22"/>
        </w:rPr>
        <w:t xml:space="preserve">,</w:t>
      </w:r>
      <w:r>
        <w:rPr>
          <w:rFonts w:ascii="Arial" w:hAnsi="Arial"/>
          <w:sz w:val="22"/>
        </w:rPr>
        <w:t xml:space="preserve"> </w:t>
      </w:r>
      <w:r>
        <w:rPr>
          <w:rFonts w:ascii="Arial" w:hAnsi="Arial"/>
          <w:sz w:val="22"/>
        </w:rPr>
        <w:t xml:space="preserve">mais chance do que o homem branco de referência, e o grupo mais penalizado na entrada</w:t>
      </w:r>
      <w:r>
        <w:rPr>
          <w:rFonts w:ascii="Arial" w:hAnsi="Arial"/>
          <w:sz w:val="22"/>
        </w:rPr>
        <w:t xml:space="preserve"> </w:t>
      </w:r>
      <w:r>
        <w:rPr>
          <w:rFonts w:ascii="Arial" w:hAnsi="Arial"/>
          <w:sz w:val="22"/>
        </w:rPr>
        <w:t xml:space="preserve">é o</w:t>
      </w:r>
      <w:r>
        <w:rPr>
          <w:rFonts w:ascii="Arial" w:hAnsi="Arial"/>
          <w:sz w:val="22"/>
        </w:rPr>
        <w:t xml:space="preserve"> </w:t>
      </w:r>
      <w:r>
        <w:rPr>
          <w:rFonts w:ascii="Arial" w:hAnsi="Arial"/>
          <w:b/>
          <w:bCs/>
          <w:sz w:val="22"/>
        </w:rPr>
        <w:t xml:space="preserve">homem negro</w:t>
      </w:r>
      <w:r>
        <w:rPr>
          <w:rFonts w:ascii="Arial" w:hAnsi="Arial"/>
          <w:sz w:val="22"/>
        </w:rPr>
        <w:t xml:space="preserve"> </w:t>
      </w:r>
      <w:r>
        <w:rPr>
          <w:rFonts w:ascii="Arial" w:hAnsi="Arial"/>
          <w:sz w:val="22"/>
        </w:rPr>
        <w:t xml:space="preserve">(OR </w:t>
      </w:r>
      <m:oMath>
        <m:r>
          <m:rPr>
            <m:sty m:val="p"/>
          </m:rPr>
          <m:t>=</m:t>
        </m:r>
        <m:r>
          <m:t>0</m:t>
        </m:r>
        <m:r>
          <m:rPr>
            <m:sty m:val="p"/>
          </m:rPr>
          <m:t>,</m:t>
        </m:r>
        <m:r>
          <m:t>76</m:t>
        </m:r>
      </m:oMath>
      <w:r>
        <w:rPr>
          <w:rFonts w:ascii="Arial" w:hAnsi="Arial"/>
          <w:sz w:val="22"/>
        </w:rPr>
        <w:t xml:space="preserve">). O agregado, porém, junta portas</w:t>
      </w:r>
      <w:r>
        <w:rPr>
          <w:rFonts w:ascii="Arial" w:hAnsi="Arial"/>
          <w:sz w:val="22"/>
        </w:rPr>
        <w:t xml:space="preserve"> </w:t>
      </w:r>
      <w:r>
        <w:rPr>
          <w:rFonts w:ascii="Arial" w:hAnsi="Arial"/>
          <w:sz w:val="22"/>
        </w:rPr>
        <w:t xml:space="preserve">muito diferentes, e estimar o mesmo modelo para cada grande grupo da CBO muda o</w:t>
      </w:r>
      <w:r>
        <w:rPr>
          <w:rFonts w:ascii="Arial" w:hAnsi="Arial"/>
          <w:sz w:val="22"/>
        </w:rPr>
        <w:t xml:space="preserve"> </w:t>
      </w:r>
      <w:r>
        <w:rPr>
          <w:rFonts w:ascii="Arial" w:hAnsi="Arial"/>
          <w:sz w:val="22"/>
        </w:rPr>
        <w:t xml:space="preserve">quadro. A aparente vantagem da mulher negra no acesso a cargos CBO 1–4 é composição: vem do apoio administrativo (OR 1,96) e das profissões de nível superior, sobretudo ensino e saúde (OR 1,36), ocupações feminizadas em que a mulher branca entra ainda mais (2,20 e 1,42). Entre os dirigentes, onde se exerce comando, a mulher negra tem a menor chance de todos os grupos (OR 0,63). Se a análise parasse no agregado, concluiria que a</w:t>
      </w:r>
      <w:r>
        <w:rPr>
          <w:rFonts w:ascii="Arial" w:hAnsi="Arial"/>
          <w:sz w:val="22"/>
        </w:rPr>
        <w:t xml:space="preserve"> </w:t>
      </w:r>
      <w:r>
        <w:rPr>
          <w:rFonts w:ascii="Arial" w:hAnsi="Arial"/>
          <w:sz w:val="22"/>
        </w:rPr>
        <w:t xml:space="preserve">interseccionalidade não se confirma na entrada; separada a ocupação, ela se confirma.</w:t>
      </w:r>
    </w:p>
    <w:p>
      <w:pPr>
        <w:pStyle w:val="BodyText"/>
        <w:spacing w:line="360" w:lineRule="auto" w:after="0"/>
        <w:ind w:firstLine="709"/>
        <w:jc w:val="both"/>
      </w:pPr>
      <w:r>
        <w:rPr>
          <w:rFonts w:ascii="Arial" w:hAnsi="Arial"/>
          <w:b/>
          <w:bCs/>
          <w:sz w:val="22"/>
        </w:rPr>
        <w:t xml:space="preserve">No topo, a ordem se inverte e ela passa a ser a mais excluída.</w:t>
      </w:r>
      <w:r>
        <w:rPr>
          <w:rFonts w:ascii="Arial" w:hAnsi="Arial"/>
          <w:sz w:val="22"/>
        </w:rPr>
        <w:t xml:space="preserve"> </w:t>
      </w:r>
      <w:r>
        <w:rPr>
          <w:rFonts w:ascii="Arial" w:hAnsi="Arial"/>
          <w:sz w:val="22"/>
        </w:rPr>
        <w:t xml:space="preserve">No decil superior de renda o quadro vira: a mulher negra tem OR </w:t>
      </w:r>
      <m:oMath>
        <m:r>
          <m:rPr>
            <m:sty m:val="p"/>
          </m:rPr>
          <m:t>=</m:t>
        </m:r>
        <m:r>
          <m:t>0</m:t>
        </m:r>
        <m:r>
          <m:rPr>
            <m:sty m:val="p"/>
          </m:rPr>
          <m:t>,</m:t>
        </m:r>
        <m:r>
          <m:t>28</m:t>
        </m:r>
      </m:oMath>
      <w:r>
        <w:rPr>
          <w:rFonts w:ascii="Arial" w:hAnsi="Arial"/>
          <w:sz w:val="22"/>
        </w:rPr>
        <w:t xml:space="preserve">,</w:t>
      </w:r>
      <w:r>
        <w:rPr>
          <w:rFonts w:ascii="Arial" w:hAnsi="Arial"/>
          <w:sz w:val="22"/>
        </w:rPr>
        <w:t xml:space="preserve"> </w:t>
      </w:r>
      <w:r>
        <w:rPr>
          <w:rFonts w:ascii="Arial" w:hAnsi="Arial"/>
          <w:sz w:val="22"/>
        </w:rPr>
        <w:t xml:space="preserve">abaixo da mulher branca (</w:t>
      </w:r>
      <m:oMath>
        <m:r>
          <m:t>0</m:t>
        </m:r>
        <m:r>
          <m:rPr>
            <m:sty m:val="p"/>
          </m:rPr>
          <m:t>,</m:t>
        </m:r>
        <m:r>
          <m:t>37</m:t>
        </m:r>
      </m:oMath>
      <w:r>
        <w:rPr>
          <w:rFonts w:ascii="Arial" w:hAnsi="Arial"/>
          <w:sz w:val="22"/>
        </w:rPr>
        <w:t xml:space="preserve">) e do homem negro</w:t>
      </w:r>
      <w:r>
        <w:rPr>
          <w:rFonts w:ascii="Arial" w:hAnsi="Arial"/>
          <w:sz w:val="22"/>
        </w:rPr>
        <w:t xml:space="preserve"> </w:t>
      </w:r>
      <w:r>
        <w:rPr>
          <w:rFonts w:ascii="Arial" w:hAnsi="Arial"/>
          <w:sz w:val="22"/>
        </w:rPr>
        <w:t xml:space="preserve">(</w:t>
      </w:r>
      <m:oMath>
        <m:r>
          <m:t>0</m:t>
        </m:r>
        <m:r>
          <m:rPr>
            <m:sty m:val="p"/>
          </m:rPr>
          <m:t>,</m:t>
        </m:r>
        <m:r>
          <m:t>73</m:t>
        </m:r>
      </m:oMath>
      <w:r>
        <w:rPr>
          <w:rFonts w:ascii="Arial" w:hAnsi="Arial"/>
          <w:sz w:val="22"/>
        </w:rPr>
        <w:t xml:space="preserve">). Em linguagem de leitor: as chances (</w:t>
      </w:r>
      <w:r>
        <w:rPr>
          <w:rFonts w:ascii="Arial" w:hAnsi="Arial"/>
          <w:sz w:val="22"/>
        </w:rPr>
        <w:t xml:space="preserve">odds</w:t>
      </w:r>
      <w:r>
        <w:rPr>
          <w:rFonts w:ascii="Arial" w:hAnsi="Arial"/>
          <w:sz w:val="22"/>
        </w:rPr>
        <w:t xml:space="preserve">) de uma</w:t>
      </w:r>
      <w:r>
        <w:rPr>
          <w:rFonts w:ascii="Arial" w:hAnsi="Arial"/>
          <w:sz w:val="22"/>
        </w:rPr>
        <w:t xml:space="preserve"> </w:t>
      </w:r>
      <w:r>
        <w:rPr>
          <w:rFonts w:ascii="Arial" w:hAnsi="Arial"/>
          <w:sz w:val="22"/>
        </w:rPr>
        <w:t xml:space="preserve">mulher negra chegar aos 10% mais ricos equivalem a 28% das de um homem branco com a</w:t>
      </w:r>
      <w:r>
        <w:rPr>
          <w:rFonts w:ascii="Arial" w:hAnsi="Arial"/>
          <w:sz w:val="22"/>
        </w:rPr>
        <w:t xml:space="preserve"> </w:t>
      </w:r>
      <w:r>
        <w:rPr>
          <w:rFonts w:ascii="Arial" w:hAnsi="Arial"/>
          <w:sz w:val="22"/>
        </w:rPr>
        <w:t xml:space="preserve">mesma escolaridade, idade, jornada, estado e bairro. A vantagem de gênero na</w:t>
      </w:r>
      <w:r>
        <w:rPr>
          <w:rFonts w:ascii="Arial" w:hAnsi="Arial"/>
          <w:sz w:val="22"/>
        </w:rPr>
        <w:t xml:space="preserve"> </w:t>
      </w:r>
      <w:r>
        <w:rPr>
          <w:rFonts w:ascii="Arial" w:hAnsi="Arial"/>
          <w:sz w:val="22"/>
        </w:rPr>
        <w:t xml:space="preserve">entrada, que já vinha das ocupações feminizadas, desaparece exatamente onde a ascensão</w:t>
      </w:r>
      <w:r>
        <w:rPr>
          <w:rFonts w:ascii="Arial" w:hAnsi="Arial"/>
          <w:sz w:val="22"/>
        </w:rPr>
        <w:t xml:space="preserve"> </w:t>
      </w:r>
      <w:r>
        <w:rPr>
          <w:rFonts w:ascii="Arial" w:hAnsi="Arial"/>
          <w:sz w:val="22"/>
        </w:rPr>
        <w:t xml:space="preserve">se decide, e o que sobra é o acúmulo das duas barreiras, um pouco abaixo da soma.</w:t>
      </w:r>
      <w:r>
        <w:rPr>
          <w:rStyle w:val="FootnoteReference"/>
          <w:rFonts w:ascii="Arial" w:hAnsi="Arial"/>
          <w:sz w:val="22"/>
          <w:vertAlign w:val="superscript"/>
        </w:rPr>
        <w:footnoteReference w:id="96"/>
      </w:r>
    </w:p>
    <w:p>
      <w:pPr>
        <w:pStyle w:val="BodyText"/>
        <w:spacing w:line="360" w:lineRule="auto" w:after="0"/>
        <w:ind w:firstLine="709"/>
        <w:jc w:val="both"/>
      </w:pPr>
      <w:r>
        <w:rPr>
          <w:rFonts w:ascii="Arial" w:hAnsi="Arial"/>
          <w:sz w:val="22"/>
        </w:rPr>
        <w:t xml:space="preserve">Em uma frase: a mulher negra entra pelas ocupações feminizadas, mas não chega ao</w:t>
      </w:r>
      <w:r>
        <w:rPr>
          <w:rFonts w:ascii="Arial" w:hAnsi="Arial"/>
          <w:sz w:val="22"/>
        </w:rPr>
        <w:t xml:space="preserve"> </w:t>
      </w:r>
      <w:r>
        <w:rPr>
          <w:rFonts w:ascii="Arial" w:hAnsi="Arial"/>
          <w:sz w:val="22"/>
        </w:rPr>
        <w:t xml:space="preserve">comando nem ao topo.</w:t>
      </w:r>
    </w:p>
    <w:p>
      <w:pPr>
        <w:pStyle w:val="BodyText"/>
        <w:spacing w:line="360" w:lineRule="auto" w:after="0"/>
        <w:ind w:firstLine="709"/>
        <w:jc w:val="both"/>
      </w:pPr>
      <w:r>
        <w:rPr>
          <w:rFonts w:ascii="Arial" w:hAnsi="Arial"/>
          <w:sz w:val="22"/>
        </w:rPr>
        <w:t xml:space="preserve">Esse achado refina a tese central: o teto de vidro não é racial nem sexualmente neutro</w:t>
      </w:r>
      <w:r>
        <w:rPr>
          <w:rFonts w:ascii="Arial" w:hAnsi="Arial"/>
          <w:sz w:val="22"/>
        </w:rPr>
        <w:t xml:space="preserve"> </w:t>
      </w:r>
      <w:r>
        <w:rPr>
          <w:rFonts w:ascii="Arial" w:hAnsi="Arial"/>
          <w:sz w:val="22"/>
        </w:rPr>
        <w:t xml:space="preserve">— recai com força máxima sobre a mulher negra, que pode</w:t>
      </w:r>
      <w:r>
        <w:rPr>
          <w:rFonts w:ascii="Arial" w:hAnsi="Arial"/>
          <w:sz w:val="22"/>
        </w:rPr>
        <w:t xml:space="preserve"> </w:t>
      </w:r>
      <w:r>
        <w:rPr>
          <w:rFonts w:ascii="Arial" w:hAnsi="Arial"/>
          <w:sz w:val="22"/>
        </w:rPr>
        <w:t xml:space="preserve">entrar</w:t>
      </w:r>
      <w:r>
        <w:rPr>
          <w:rFonts w:ascii="Arial" w:hAnsi="Arial"/>
          <w:sz w:val="22"/>
        </w:rPr>
        <w:t xml:space="preserve"> </w:t>
      </w:r>
      <w:r>
        <w:rPr>
          <w:rFonts w:ascii="Arial" w:hAnsi="Arial"/>
          <w:sz w:val="22"/>
        </w:rPr>
        <w:t xml:space="preserve">em ocupações</w:t>
      </w:r>
      <w:r>
        <w:rPr>
          <w:rFonts w:ascii="Arial" w:hAnsi="Arial"/>
          <w:sz w:val="22"/>
        </w:rPr>
        <w:t xml:space="preserve"> </w:t>
      </w:r>
      <w:r>
        <w:rPr>
          <w:rFonts w:ascii="Arial" w:hAnsi="Arial"/>
          <w:sz w:val="22"/>
        </w:rPr>
        <w:t xml:space="preserve">qualificadas, mas é sistematicamente barrada de</w:t>
      </w:r>
      <w:r>
        <w:rPr>
          <w:rFonts w:ascii="Arial" w:hAnsi="Arial"/>
          <w:sz w:val="22"/>
        </w:rPr>
        <w:t xml:space="preserve"> </w:t>
      </w:r>
      <w:r>
        <w:rPr>
          <w:rFonts w:ascii="Arial" w:hAnsi="Arial"/>
          <w:sz w:val="22"/>
        </w:rPr>
        <w:t xml:space="preserve">chegar ao topo</w:t>
      </w:r>
      <w:r>
        <w:rPr>
          <w:rFonts w:ascii="Arial" w:hAnsi="Arial"/>
          <w:sz w:val="22"/>
        </w:rPr>
        <w:t xml:space="preserve"> </w:t>
      </w:r>
      <w:r>
        <w:rPr>
          <w:rFonts w:ascii="Arial" w:hAnsi="Arial"/>
          <w:sz w:val="22"/>
        </w:rPr>
        <w:t xml:space="preserve">da remuneração.</w:t>
      </w:r>
    </w:p>
    <w:bookmarkEnd w:id="97"/>
    <w:bookmarkStart w:id="99" w:name="X74b1c1bf1019c6f3b4ecd38ec7350fd55009220"/>
    <w:p>
      <w:pPr>
        <w:pStyle w:val="Ttulo2"/>
        <w:spacing w:line="360" w:lineRule="auto" w:before="280" w:after="280"/>
        <w:ind w:firstLine="709"/>
        <w:jc w:val="left"/>
      </w:pPr>
      <w:r>
        <w:rPr>
          <w:rFonts w:ascii="Arial" w:hAnsi="Arial"/>
          <w:b/>
          <w:sz w:val="22"/>
        </w:rPr>
        <w:t xml:space="preserve">O que o agregado esconde: cor, setor e idade</w:t>
      </w:r>
    </w:p>
    <w:p>
      <w:pPr>
        <w:pStyle w:val="FirstParagraph"/>
        <w:spacing w:line="360" w:lineRule="auto" w:after="0"/>
        <w:ind w:firstLine="709"/>
        <w:jc w:val="both"/>
      </w:pPr>
      <w:r>
        <w:rPr>
          <w:rFonts w:ascii="Arial" w:hAnsi="Arial"/>
          <w:sz w:val="22"/>
        </w:rPr>
        <w:t xml:space="preserve">Os resultados até aqui tratam negros como um grupo e o mercado como um todo. Estimados os mesmos modelos por recorte, três diferenças aparecem.</w:t>
      </w:r>
    </w:p>
    <w:bookmarkStart w:id="98" w:name="tab:heterogeneidade"/>
    <w:p>
      <w:pPr>
        <w:pStyle w:val="TableCaption"/>
        <w:keepNext/>
        <w:keepLines/>
        <w:spacing w:line="240" w:lineRule="auto" w:before="240" w:after="40"/>
        <w:ind w:firstLine="0"/>
        <w:jc w:val="both"/>
      </w:pPr>
      <w:r>
        <w:rPr>
          <w:rFonts w:ascii="Arial" w:hAnsi="Arial"/>
          <w:sz w:val="22"/>
        </w:rPr>
        <w:t xml:space="preserve">Tabela 12. O que a categoria agregada esconde: penalidade racial por cor, setor, idade e</w:t>
      </w:r>
      <w:r>
        <w:rPr>
          <w:rFonts w:ascii="Arial" w:hAnsi="Arial"/>
          <w:sz w:val="22"/>
        </w:rPr>
        <w:t xml:space="preserve"> </w:t>
      </w:r>
      <w:r>
        <w:rPr>
          <w:rFonts w:ascii="Arial" w:hAnsi="Arial"/>
          <w:sz w:val="22"/>
        </w:rPr>
        <w:t xml:space="preserve">corte de renda. Penalidade salarial: HLM M3 (mesmo bairro, escolaridade, idade, sexo,</w:t>
      </w:r>
      <w:r>
        <w:rPr>
          <w:rFonts w:ascii="Arial" w:hAnsi="Arial"/>
          <w:sz w:val="22"/>
        </w:rPr>
        <w:t xml:space="preserve"> </w:t>
      </w:r>
      <w:r>
        <w:rPr>
          <w:rFonts w:ascii="Arial" w:hAnsi="Arial"/>
          <w:sz w:val="22"/>
        </w:rPr>
        <w:t xml:space="preserve">jornada e estado), em % de renda; por idade, M3 com a interação negro</w:t>
      </w:r>
      <w:r>
        <w:rPr>
          <w:rFonts w:ascii="Arial" w:hAnsi="Arial"/>
          <w:sz w:val="22"/>
        </w:rPr>
        <w:t xml:space="preserve"> </w:t>
      </w:r>
      <m:oMath>
        <m:r>
          <m:rPr>
            <m:sty m:val="p"/>
          </m:rPr>
          <m:t>×</m:t>
        </m:r>
      </m:oMath>
      <w:r>
        <w:rPr>
          <w:rFonts w:ascii="Arial" w:hAnsi="Arial"/>
          <w:sz w:val="22"/>
        </w:rPr>
        <w:t xml:space="preserve"> </w:t>
      </w:r>
      <w:r>
        <w:rPr>
          <w:rFonts w:ascii="Arial" w:hAnsi="Arial"/>
          <w:sz w:val="22"/>
        </w:rPr>
        <w:t xml:space="preserve">faixa</w:t>
      </w:r>
      <w:r>
        <w:rPr>
          <w:rFonts w:ascii="Arial" w:hAnsi="Arial"/>
          <w:sz w:val="22"/>
        </w:rPr>
        <w:t xml:space="preserve"> </w:t>
      </w:r>
      <w:r>
        <w:rPr>
          <w:rFonts w:ascii="Arial" w:hAnsi="Arial"/>
          <w:sz w:val="22"/>
        </w:rPr>
        <w:t xml:space="preserve">etária. Razões de chance: GLMM de acesso e de teto de vidro (top 10%), contra brancos</w:t>
      </w:r>
      <w:r>
        <w:rPr>
          <w:rFonts w:ascii="Arial" w:hAnsi="Arial"/>
          <w:sz w:val="22"/>
        </w:rPr>
        <w:t xml:space="preserve"> </w:t>
      </w:r>
      <w:r>
        <w:rPr>
          <w:rFonts w:ascii="Arial" w:hAnsi="Arial"/>
          <w:sz w:val="22"/>
        </w:rPr>
        <w:t xml:space="preserve">de mesmo perfil e bairro. Preço: parcela não explicada da Oaxaca–Blinder (A), contra</w:t>
      </w:r>
      <w:r>
        <w:rPr>
          <w:rFonts w:ascii="Arial" w:hAnsi="Arial"/>
          <w:sz w:val="22"/>
        </w:rPr>
        <w:t xml:space="preserve"> </w:t>
      </w:r>
      <w:r>
        <w:rPr>
          <w:rFonts w:ascii="Arial" w:hAnsi="Arial"/>
          <w:sz w:val="22"/>
        </w:rPr>
        <w:t xml:space="preserve">brancos. Setor público: empregados do setor público, inclusive militares e estatutários</w:t>
      </w:r>
      <w:r>
        <w:rPr>
          <w:rFonts w:ascii="Arial" w:hAnsi="Arial"/>
          <w:sz w:val="22"/>
        </w:rPr>
        <w:t xml:space="preserve"> </w:t>
      </w:r>
      <w:r>
        <w:rPr>
          <w:rFonts w:ascii="Arial" w:hAnsi="Arial"/>
          <w:sz w:val="22"/>
        </w:rPr>
        <w:t xml:space="preserve">(VD4009); privado: os demais ocupados. Cada recorte foi estimado em todos os seus</w:t>
      </w:r>
      <w:r>
        <w:rPr>
          <w:rFonts w:ascii="Arial" w:hAnsi="Arial"/>
          <w:sz w:val="22"/>
        </w:rPr>
        <w:t xml:space="preserve"> </w:t>
      </w:r>
      <w:r>
        <w:rPr>
          <w:rFonts w:ascii="Arial" w:hAnsi="Arial"/>
          <w:sz w:val="22"/>
        </w:rPr>
        <w:t xml:space="preserve">indivíduos, sem amostragem, com a especificação do modelo de referência.</w:t>
      </w:r>
    </w:p>
    <w:tbl>
      <w:tblPr>
        <w:tblStyle w:val="Table"/>
        <w:tblW w:type="auto" w:w="0"/>
        <w:tblLayout w:type="fixed"/>
        <w:tblLook w:firstRow="1" w:lastRow="0" w:firstColumn="0" w:lastColumn="0" w:noHBand="0" w:noVBand="0" w:val="0020"/>
        <w:tblCaption w:val="Tabela 12. O que a categoria agregada esconde: penalidade racial por cor, setor, idade e corte de renda. Penalidade salarial: HLM M3 (mesmo bairro, escolaridade, idade, sexo, jornada e estado), em % de renda; por idade, M3 com a interação negro \times faixa etária. Razões de chance: GLMM de acesso e de teto de vidro (top 10%), contra brancos de mesmo perfil e bairro. Preço: parcela não explicada da Oaxaca–Blinder (A), contra brancos. Setor público: empregados do setor público, inclusive militares e estatutários (VD4009); privado: os demais ocupados. Cada recorte foi estimado em todos os seus indivíduos, sem amostragem, com a especificação do modelo de referência."/>
        <w:tblBorders>
          <w:top w:val="nil"/>
          <w:left w:val="nil"/>
          <w:bottom w:val="nil"/>
          <w:right w:val="nil"/>
          <w:insideH w:val="nil"/>
          <w:insideV w:val="nil"/>
        </w:tblBorders>
      </w:tblPr>
      <w:tblGrid>
        <w:gridCol w:w="3832"/>
        <w:gridCol w:w="1415"/>
        <w:gridCol w:w="1531"/>
        <w:gridCol w:w="1260"/>
        <w:gridCol w:w="1033"/>
      </w:tblGrid>
      <w:tr>
        <w:trPr>
          <w:tblHeader w:val="on"/>
          <w:cantSplit/>
        </w:trPr>
        <w:tc>
          <w:tcPr>
            <w:tcW w:type="dxa" w:w="3832"/>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Recorte</w:t>
            </w:r>
          </w:p>
        </w:tc>
        <w:tc>
          <w:tcPr>
            <w:tcW w:type="dxa" w:w="1415"/>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Penalidade salarial (%)</w:t>
            </w:r>
          </w:p>
        </w:tc>
        <w:tc>
          <w:tcPr>
            <w:tcW w:type="dxa" w:w="1531"/>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OR cargo qualificado</w:t>
            </w:r>
          </w:p>
        </w:tc>
        <w:tc>
          <w:tcPr>
            <w:tcW w:type="dxa" w:w="1260"/>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OR top 10%</w:t>
            </w:r>
          </w:p>
        </w:tc>
        <w:tc>
          <w:tcPr>
            <w:tcW w:type="dxa" w:w="1033"/>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sz w:val="20"/>
              </w:rPr>
              <w:t xml:space="preserve">Preço (%)</w:t>
            </w:r>
          </w:p>
        </w:tc>
      </w:tr>
      <w:tr>
        <w:trPr>
          <w:cantSplit/>
        </w:trPr>
        <w:tc>
          <w:tcPr>
            <w:tcW w:type="dxa" w:w="3832"/>
          </w:tcPr>
          <w:p>
            <w:pPr>
              <w:pStyle w:val="Compact"/>
              <w:keepNext/>
              <w:spacing w:line="240" w:lineRule="auto" w:after="0"/>
              <w:ind w:firstLine="0"/>
              <w:jc w:val="left"/>
            </w:pPr>
            <w:r>
              <w:rPr>
                <w:rFonts w:ascii="Arial" w:hAnsi="Arial"/>
                <w:b w:val="0"/>
                <w:sz w:val="20"/>
              </w:rPr>
              <w:t xml:space="preserve">Negro (categoria do trabalho)</w:t>
            </w:r>
          </w:p>
        </w:tc>
        <w:tc>
          <w:tcPr>
            <w:tcW w:type="dxa" w:w="1415"/>
          </w:tcPr>
          <w:p>
            <w:pPr>
              <w:pStyle w:val="Compact"/>
              <w:keepNext/>
              <w:spacing w:line="240" w:lineRule="auto" w:after="0"/>
              <w:ind w:firstLine="0"/>
              <w:jc w:val="right"/>
            </w:pPr>
            <w:r>
              <w:rPr>
                <w:rFonts w:ascii="Arial" w:hAnsi="Arial"/>
                <w:b w:val="0"/>
                <w:sz w:val="20"/>
              </w:rPr>
              <w:t xml:space="preserve">6,1</w:t>
            </w:r>
          </w:p>
        </w:tc>
        <w:tc>
          <w:tcPr>
            <w:tcW w:type="dxa" w:w="1531"/>
          </w:tcPr>
          <w:p>
            <w:pPr>
              <w:pStyle w:val="Compact"/>
              <w:keepNext/>
              <w:spacing w:line="240" w:lineRule="auto" w:after="0"/>
              <w:ind w:firstLine="0"/>
              <w:jc w:val="right"/>
            </w:pPr>
            <w:r>
              <w:rPr>
                <w:rFonts w:ascii="Arial" w:hAnsi="Arial"/>
                <w:b w:val="0"/>
                <w:sz w:val="20"/>
              </w:rPr>
              <w:t xml:space="preserve">0,814</w:t>
            </w:r>
          </w:p>
        </w:tc>
        <w:tc>
          <w:tcPr>
            <w:tcW w:type="dxa" w:w="1260"/>
          </w:tcPr>
          <w:p>
            <w:pPr>
              <w:pStyle w:val="Compact"/>
              <w:keepNext/>
              <w:spacing w:line="240" w:lineRule="auto" w:after="0"/>
              <w:ind w:firstLine="0"/>
              <w:jc w:val="right"/>
            </w:pPr>
            <w:r>
              <w:rPr>
                <w:rFonts w:ascii="Arial" w:hAnsi="Arial"/>
                <w:b w:val="0"/>
                <w:sz w:val="20"/>
              </w:rPr>
              <w:t xml:space="preserve">0,761</w:t>
            </w:r>
          </w:p>
        </w:tc>
        <w:tc>
          <w:tcPr>
            <w:tcW w:type="dxa" w:w="1033"/>
          </w:tcPr>
          <w:p>
            <w:pPr>
              <w:pStyle w:val="Compact"/>
              <w:keepNext/>
              <w:spacing w:line="240" w:lineRule="auto" w:after="0"/>
              <w:ind w:firstLine="0"/>
              <w:jc w:val="right"/>
            </w:pPr>
            <w:r>
              <w:rPr>
                <w:rFonts w:ascii="Arial" w:hAnsi="Arial"/>
                <w:b w:val="0"/>
                <w:sz w:val="20"/>
              </w:rPr>
              <w:t xml:space="preserve">17,9</w:t>
            </w:r>
          </w:p>
        </w:tc>
      </w:tr>
      <w:tr>
        <w:trPr>
          <w:cantSplit/>
        </w:trPr>
        <w:tc>
          <w:tcPr>
            <w:tcW w:type="dxa" w:w="3832"/>
          </w:tcPr>
          <w:p>
            <w:pPr>
              <w:pStyle w:val="Compact"/>
              <w:keepNext/>
              <w:spacing w:line="240" w:lineRule="auto" w:after="0"/>
              <w:ind w:firstLine="0"/>
              <w:jc w:val="left"/>
            </w:pPr>
            <w:r>
              <w:rPr>
                <w:rFonts w:ascii="Arial" w:hAnsi="Arial"/>
                <w:b w:val="0"/>
                <w:sz w:val="20"/>
              </w:rPr>
              <w:t xml:space="preserve">Pardo</w:t>
            </w:r>
          </w:p>
        </w:tc>
        <w:tc>
          <w:tcPr>
            <w:tcW w:type="dxa" w:w="1415"/>
          </w:tcPr>
          <w:p>
            <w:pPr>
              <w:pStyle w:val="Compact"/>
              <w:keepNext/>
              <w:spacing w:line="240" w:lineRule="auto" w:after="0"/>
              <w:ind w:firstLine="0"/>
              <w:jc w:val="right"/>
            </w:pPr>
            <w:r>
              <w:rPr>
                <w:rFonts w:ascii="Arial" w:hAnsi="Arial"/>
                <w:b w:val="0"/>
                <w:sz w:val="20"/>
              </w:rPr>
              <w:t xml:space="preserve">5,8</w:t>
            </w:r>
          </w:p>
        </w:tc>
        <w:tc>
          <w:tcPr>
            <w:tcW w:type="dxa" w:w="1531"/>
          </w:tcPr>
          <w:p>
            <w:pPr>
              <w:pStyle w:val="Compact"/>
              <w:keepNext/>
              <w:spacing w:line="240" w:lineRule="auto" w:after="0"/>
              <w:ind w:firstLine="0"/>
              <w:jc w:val="right"/>
            </w:pPr>
            <w:r>
              <w:rPr>
                <w:rFonts w:ascii="Arial" w:hAnsi="Arial"/>
                <w:b w:val="0"/>
                <w:sz w:val="20"/>
              </w:rPr>
              <w:t xml:space="preserve">0,820</w:t>
            </w:r>
          </w:p>
        </w:tc>
        <w:tc>
          <w:tcPr>
            <w:tcW w:type="dxa" w:w="1260"/>
          </w:tcPr>
          <w:p>
            <w:pPr>
              <w:pStyle w:val="Compact"/>
              <w:keepNext/>
              <w:spacing w:line="240" w:lineRule="auto" w:after="0"/>
              <w:ind w:firstLine="0"/>
              <w:jc w:val="right"/>
            </w:pPr>
            <w:r>
              <w:rPr>
                <w:rFonts w:ascii="Arial" w:hAnsi="Arial"/>
                <w:b w:val="0"/>
                <w:sz w:val="20"/>
              </w:rPr>
              <w:t xml:space="preserve">0,768</w:t>
            </w:r>
          </w:p>
        </w:tc>
        <w:tc>
          <w:tcPr>
            <w:tcW w:type="dxa" w:w="1033"/>
          </w:tcPr>
          <w:p>
            <w:pPr>
              <w:pStyle w:val="Compact"/>
              <w:keepNext/>
              <w:spacing w:line="240" w:lineRule="auto" w:after="0"/>
              <w:ind w:firstLine="0"/>
              <w:jc w:val="right"/>
            </w:pPr>
            <w:r>
              <w:rPr>
                <w:rFonts w:ascii="Arial" w:hAnsi="Arial"/>
                <w:b w:val="0"/>
                <w:sz w:val="20"/>
              </w:rPr>
              <w:t xml:space="preserve">17,5</w:t>
            </w:r>
          </w:p>
        </w:tc>
      </w:tr>
      <w:tr>
        <w:trPr>
          <w:cantSplit/>
        </w:trPr>
        <w:tc>
          <w:tcPr>
            <w:tcW w:type="dxa" w:w="3832"/>
          </w:tcPr>
          <w:p>
            <w:pPr>
              <w:pStyle w:val="Compact"/>
              <w:keepNext/>
              <w:spacing w:line="240" w:lineRule="auto" w:after="0"/>
              <w:ind w:firstLine="0"/>
              <w:jc w:val="left"/>
            </w:pPr>
            <w:r>
              <w:rPr>
                <w:rFonts w:ascii="Arial" w:hAnsi="Arial"/>
                <w:b w:val="0"/>
                <w:sz w:val="20"/>
              </w:rPr>
              <w:t xml:space="preserve">Preto</w:t>
            </w:r>
          </w:p>
        </w:tc>
        <w:tc>
          <w:tcPr>
            <w:tcW w:type="dxa" w:w="1415"/>
          </w:tcPr>
          <w:p>
            <w:pPr>
              <w:pStyle w:val="Compact"/>
              <w:keepNext/>
              <w:spacing w:line="240" w:lineRule="auto" w:after="0"/>
              <w:ind w:firstLine="0"/>
              <w:jc w:val="right"/>
            </w:pPr>
            <w:r>
              <w:rPr>
                <w:rFonts w:ascii="Arial" w:hAnsi="Arial"/>
                <w:b w:val="0"/>
                <w:sz w:val="20"/>
              </w:rPr>
              <w:t xml:space="preserve">7,4</w:t>
            </w:r>
          </w:p>
        </w:tc>
        <w:tc>
          <w:tcPr>
            <w:tcW w:type="dxa" w:w="1531"/>
          </w:tcPr>
          <w:p>
            <w:pPr>
              <w:pStyle w:val="Compact"/>
              <w:keepNext/>
              <w:spacing w:line="240" w:lineRule="auto" w:after="0"/>
              <w:ind w:firstLine="0"/>
              <w:jc w:val="right"/>
            </w:pPr>
            <w:r>
              <w:rPr>
                <w:rFonts w:ascii="Arial" w:hAnsi="Arial"/>
                <w:b w:val="0"/>
                <w:sz w:val="20"/>
              </w:rPr>
              <w:t xml:space="preserve">0,785</w:t>
            </w:r>
          </w:p>
        </w:tc>
        <w:tc>
          <w:tcPr>
            <w:tcW w:type="dxa" w:w="1260"/>
          </w:tcPr>
          <w:p>
            <w:pPr>
              <w:pStyle w:val="Compact"/>
              <w:keepNext/>
              <w:spacing w:line="240" w:lineRule="auto" w:after="0"/>
              <w:ind w:firstLine="0"/>
              <w:jc w:val="right"/>
            </w:pPr>
            <w:r>
              <w:rPr>
                <w:rFonts w:ascii="Arial" w:hAnsi="Arial"/>
                <w:b w:val="0"/>
                <w:sz w:val="20"/>
              </w:rPr>
              <w:t xml:space="preserve">0,725</w:t>
            </w:r>
          </w:p>
        </w:tc>
        <w:tc>
          <w:tcPr>
            <w:tcW w:type="dxa" w:w="1033"/>
          </w:tcPr>
          <w:p>
            <w:pPr>
              <w:pStyle w:val="Compact"/>
              <w:keepNext/>
              <w:spacing w:line="240" w:lineRule="auto" w:after="0"/>
              <w:ind w:firstLine="0"/>
              <w:jc w:val="right"/>
            </w:pPr>
            <w:r>
              <w:rPr>
                <w:rFonts w:ascii="Arial" w:hAnsi="Arial"/>
                <w:b w:val="0"/>
                <w:sz w:val="20"/>
              </w:rPr>
              <w:t xml:space="preserve">20,0</w:t>
            </w:r>
          </w:p>
        </w:tc>
      </w:tr>
      <w:tr>
        <w:trPr>
          <w:cantSplit/>
        </w:trPr>
        <w:tc>
          <w:tcPr>
            <w:tcW w:type="dxa" w:w="3832"/>
          </w:tcPr>
          <w:p>
            <w:pPr>
              <w:pStyle w:val="Compact"/>
              <w:keepNext/>
              <w:spacing w:line="240" w:lineRule="auto" w:after="0"/>
              <w:ind w:firstLine="0"/>
              <w:jc w:val="left"/>
            </w:pPr>
            <w:r>
              <w:rPr>
                <w:rFonts w:ascii="Arial" w:hAnsi="Arial"/>
                <w:b w:val="0"/>
                <w:sz w:val="20"/>
              </w:rPr>
              <w:t xml:space="preserve">Setor privado</w:t>
            </w:r>
          </w:p>
        </w:tc>
        <w:tc>
          <w:tcPr>
            <w:tcW w:type="dxa" w:w="1415"/>
          </w:tcPr>
          <w:p>
            <w:pPr>
              <w:pStyle w:val="Compact"/>
              <w:keepNext/>
              <w:spacing w:line="240" w:lineRule="auto" w:after="0"/>
              <w:ind w:firstLine="0"/>
              <w:jc w:val="right"/>
            </w:pPr>
            <w:r>
              <w:rPr>
                <w:rFonts w:ascii="Arial" w:hAnsi="Arial"/>
                <w:b w:val="0"/>
                <w:sz w:val="20"/>
              </w:rPr>
              <w:t xml:space="preserve">7,2</w:t>
            </w:r>
          </w:p>
        </w:tc>
        <w:tc>
          <w:tcPr>
            <w:tcW w:type="dxa" w:w="1531"/>
          </w:tcPr>
          <w:p>
            <w:pPr>
              <w:pStyle w:val="Compact"/>
              <w:keepNext/>
              <w:spacing w:line="240" w:lineRule="auto" w:after="0"/>
              <w:ind w:firstLine="0"/>
              <w:jc w:val="right"/>
            </w:pPr>
            <w:r>
              <w:rPr>
                <w:rFonts w:ascii="Arial" w:hAnsi="Arial"/>
                <w:b w:val="0"/>
                <w:sz w:val="20"/>
              </w:rPr>
              <w:t xml:space="preserve">0,783</w:t>
            </w:r>
          </w:p>
        </w:tc>
        <w:tc>
          <w:tcPr>
            <w:tcW w:type="dxa" w:w="1260"/>
          </w:tcPr>
          <w:p>
            <w:pPr>
              <w:pStyle w:val="Compact"/>
              <w:keepNext/>
              <w:spacing w:line="240" w:lineRule="auto" w:after="0"/>
              <w:ind w:firstLine="0"/>
              <w:jc w:val="right"/>
            </w:pPr>
            <w:r>
              <w:rPr>
                <w:rFonts w:ascii="Arial" w:hAnsi="Arial"/>
                <w:b w:val="0"/>
                <w:sz w:val="20"/>
              </w:rPr>
              <w:t xml:space="preserve">0,685</w:t>
            </w:r>
          </w:p>
        </w:tc>
        <w:tc>
          <w:tcPr>
            <w:tcW w:type="dxa" w:w="1033"/>
          </w:tcPr>
          <w:p>
            <w:pPr>
              <w:pStyle w:val="Compact"/>
              <w:keepNext/>
              <w:spacing w:line="240" w:lineRule="auto" w:after="0"/>
              <w:ind w:firstLine="0"/>
              <w:jc w:val="left"/>
            </w:pPr>
            <w:r>
              <w:rPr>
                <w:rFonts w:ascii="Arial" w:hAnsi="Arial"/>
                <w:b w:val="0"/>
                <w:sz w:val="20"/>
              </w:rPr>
              <w:t xml:space="preserve">—</w:t>
            </w:r>
          </w:p>
        </w:tc>
      </w:tr>
      <w:tr>
        <w:trPr>
          <w:cantSplit/>
        </w:trPr>
        <w:tc>
          <w:tcPr>
            <w:tcW w:type="dxa" w:w="3832"/>
          </w:tcPr>
          <w:p>
            <w:pPr>
              <w:pStyle w:val="Compact"/>
              <w:keepNext/>
              <w:spacing w:line="240" w:lineRule="auto" w:after="0"/>
              <w:ind w:firstLine="0"/>
              <w:jc w:val="left"/>
            </w:pPr>
            <w:r>
              <w:rPr>
                <w:rFonts w:ascii="Arial" w:hAnsi="Arial"/>
                <w:b w:val="0"/>
                <w:sz w:val="20"/>
              </w:rPr>
              <w:t xml:space="preserve">Setor público</w:t>
            </w:r>
          </w:p>
        </w:tc>
        <w:tc>
          <w:tcPr>
            <w:tcW w:type="dxa" w:w="1415"/>
          </w:tcPr>
          <w:p>
            <w:pPr>
              <w:pStyle w:val="Compact"/>
              <w:keepNext/>
              <w:spacing w:line="240" w:lineRule="auto" w:after="0"/>
              <w:ind w:firstLine="0"/>
              <w:jc w:val="right"/>
            </w:pPr>
            <w:r>
              <w:rPr>
                <w:rFonts w:ascii="Arial" w:hAnsi="Arial"/>
                <w:b w:val="0"/>
                <w:sz w:val="20"/>
              </w:rPr>
              <w:t xml:space="preserve">4,6</w:t>
            </w:r>
          </w:p>
        </w:tc>
        <w:tc>
          <w:tcPr>
            <w:tcW w:type="dxa" w:w="1531"/>
          </w:tcPr>
          <w:p>
            <w:pPr>
              <w:pStyle w:val="Compact"/>
              <w:keepNext/>
              <w:spacing w:line="240" w:lineRule="auto" w:after="0"/>
              <w:ind w:firstLine="0"/>
              <w:jc w:val="right"/>
            </w:pPr>
            <w:r>
              <w:rPr>
                <w:rFonts w:ascii="Arial" w:hAnsi="Arial"/>
                <w:b w:val="0"/>
                <w:sz w:val="20"/>
              </w:rPr>
              <w:t xml:space="preserve">0,786</w:t>
            </w:r>
          </w:p>
        </w:tc>
        <w:tc>
          <w:tcPr>
            <w:tcW w:type="dxa" w:w="1260"/>
          </w:tcPr>
          <w:p>
            <w:pPr>
              <w:pStyle w:val="Compact"/>
              <w:keepNext/>
              <w:spacing w:line="240" w:lineRule="auto" w:after="0"/>
              <w:ind w:firstLine="0"/>
              <w:jc w:val="right"/>
            </w:pPr>
            <w:r>
              <w:rPr>
                <w:rFonts w:ascii="Arial" w:hAnsi="Arial"/>
                <w:b w:val="0"/>
                <w:sz w:val="20"/>
              </w:rPr>
              <w:t xml:space="preserve">0,843</w:t>
            </w:r>
          </w:p>
        </w:tc>
        <w:tc>
          <w:tcPr>
            <w:tcW w:type="dxa" w:w="1033"/>
          </w:tcPr>
          <w:p>
            <w:pPr>
              <w:pStyle w:val="Compact"/>
              <w:keepNext/>
              <w:spacing w:line="240" w:lineRule="auto" w:after="0"/>
              <w:ind w:firstLine="0"/>
              <w:jc w:val="left"/>
            </w:pPr>
            <w:r>
              <w:rPr>
                <w:rFonts w:ascii="Arial" w:hAnsi="Arial"/>
                <w:b w:val="0"/>
                <w:sz w:val="20"/>
              </w:rPr>
              <w:t xml:space="preserve">—</w:t>
            </w:r>
          </w:p>
        </w:tc>
      </w:tr>
      <w:tr>
        <w:trPr>
          <w:cantSplit/>
        </w:trPr>
        <w:tc>
          <w:tcPr>
            <w:tcW w:type="dxa" w:w="3832"/>
          </w:tcPr>
          <w:p>
            <w:pPr>
              <w:pStyle w:val="Compact"/>
              <w:keepNext/>
              <w:spacing w:line="240" w:lineRule="auto" w:after="0"/>
              <w:ind w:firstLine="0"/>
              <w:jc w:val="left"/>
            </w:pPr>
            <w:r>
              <w:rPr>
                <w:rFonts w:ascii="Arial" w:hAnsi="Arial"/>
                <w:b w:val="0"/>
                <w:sz w:val="20"/>
              </w:rPr>
              <w:t xml:space="preserve">Idade 14–29 anos</w:t>
            </w:r>
          </w:p>
        </w:tc>
        <w:tc>
          <w:tcPr>
            <w:tcW w:type="dxa" w:w="1415"/>
          </w:tcPr>
          <w:p>
            <w:pPr>
              <w:pStyle w:val="Compact"/>
              <w:keepNext/>
              <w:spacing w:line="240" w:lineRule="auto" w:after="0"/>
              <w:ind w:firstLine="0"/>
              <w:jc w:val="right"/>
            </w:pPr>
            <w:r>
              <w:rPr>
                <w:rFonts w:ascii="Arial" w:hAnsi="Arial"/>
                <w:b w:val="0"/>
                <w:sz w:val="20"/>
              </w:rPr>
              <w:t xml:space="preserve">1,7</w:t>
            </w:r>
          </w:p>
        </w:tc>
        <w:tc>
          <w:tcPr>
            <w:tcW w:type="dxa" w:w="1531"/>
          </w:tcPr>
          <w:p>
            <w:pPr>
              <w:pStyle w:val="Compact"/>
              <w:keepNext/>
              <w:spacing w:line="240" w:lineRule="auto" w:after="0"/>
              <w:ind w:firstLine="0"/>
              <w:jc w:val="left"/>
            </w:pPr>
            <w:r>
              <w:rPr>
                <w:rFonts w:ascii="Arial" w:hAnsi="Arial"/>
                <w:b w:val="0"/>
                <w:sz w:val="20"/>
              </w:rPr>
              <w:t xml:space="preserve">—</w:t>
            </w:r>
          </w:p>
        </w:tc>
        <w:tc>
          <w:tcPr>
            <w:tcW w:type="dxa" w:w="1260"/>
          </w:tcPr>
          <w:p>
            <w:pPr>
              <w:pStyle w:val="Compact"/>
              <w:keepNext/>
              <w:spacing w:line="240" w:lineRule="auto" w:after="0"/>
              <w:ind w:firstLine="0"/>
              <w:jc w:val="left"/>
            </w:pPr>
            <w:r>
              <w:rPr>
                <w:rFonts w:ascii="Arial" w:hAnsi="Arial"/>
                <w:b w:val="0"/>
                <w:sz w:val="20"/>
              </w:rPr>
              <w:t xml:space="preserve">—</w:t>
            </w:r>
          </w:p>
        </w:tc>
        <w:tc>
          <w:tcPr>
            <w:tcW w:type="dxa" w:w="1033"/>
          </w:tcPr>
          <w:p>
            <w:pPr>
              <w:pStyle w:val="Compact"/>
              <w:keepNext/>
              <w:spacing w:line="240" w:lineRule="auto" w:after="0"/>
              <w:ind w:firstLine="0"/>
              <w:jc w:val="left"/>
            </w:pPr>
            <w:r>
              <w:rPr>
                <w:rFonts w:ascii="Arial" w:hAnsi="Arial"/>
                <w:b w:val="0"/>
                <w:sz w:val="20"/>
              </w:rPr>
              <w:t xml:space="preserve">—</w:t>
            </w:r>
          </w:p>
        </w:tc>
      </w:tr>
      <w:tr>
        <w:trPr>
          <w:cantSplit/>
        </w:trPr>
        <w:tc>
          <w:tcPr>
            <w:tcW w:type="dxa" w:w="3832"/>
          </w:tcPr>
          <w:p>
            <w:pPr>
              <w:pStyle w:val="Compact"/>
              <w:keepNext/>
              <w:spacing w:line="240" w:lineRule="auto" w:after="0"/>
              <w:ind w:firstLine="0"/>
              <w:jc w:val="left"/>
            </w:pPr>
            <w:r>
              <w:rPr>
                <w:rFonts w:ascii="Arial" w:hAnsi="Arial"/>
                <w:b w:val="0"/>
                <w:sz w:val="20"/>
              </w:rPr>
              <w:t xml:space="preserve">Idade 30–39 anos</w:t>
            </w:r>
          </w:p>
        </w:tc>
        <w:tc>
          <w:tcPr>
            <w:tcW w:type="dxa" w:w="1415"/>
          </w:tcPr>
          <w:p>
            <w:pPr>
              <w:pStyle w:val="Compact"/>
              <w:keepNext/>
              <w:spacing w:line="240" w:lineRule="auto" w:after="0"/>
              <w:ind w:firstLine="0"/>
              <w:jc w:val="right"/>
            </w:pPr>
            <w:r>
              <w:rPr>
                <w:rFonts w:ascii="Arial" w:hAnsi="Arial"/>
                <w:b w:val="0"/>
                <w:sz w:val="20"/>
              </w:rPr>
              <w:t xml:space="preserve">5,8</w:t>
            </w:r>
          </w:p>
        </w:tc>
        <w:tc>
          <w:tcPr>
            <w:tcW w:type="dxa" w:w="1531"/>
          </w:tcPr>
          <w:p>
            <w:pPr>
              <w:pStyle w:val="Compact"/>
              <w:keepNext/>
              <w:spacing w:line="240" w:lineRule="auto" w:after="0"/>
              <w:ind w:firstLine="0"/>
              <w:jc w:val="left"/>
            </w:pPr>
            <w:r>
              <w:rPr>
                <w:rFonts w:ascii="Arial" w:hAnsi="Arial"/>
                <w:b w:val="0"/>
                <w:sz w:val="20"/>
              </w:rPr>
              <w:t xml:space="preserve">—</w:t>
            </w:r>
          </w:p>
        </w:tc>
        <w:tc>
          <w:tcPr>
            <w:tcW w:type="dxa" w:w="1260"/>
          </w:tcPr>
          <w:p>
            <w:pPr>
              <w:pStyle w:val="Compact"/>
              <w:keepNext/>
              <w:spacing w:line="240" w:lineRule="auto" w:after="0"/>
              <w:ind w:firstLine="0"/>
              <w:jc w:val="left"/>
            </w:pPr>
            <w:r>
              <w:rPr>
                <w:rFonts w:ascii="Arial" w:hAnsi="Arial"/>
                <w:b w:val="0"/>
                <w:sz w:val="20"/>
              </w:rPr>
              <w:t xml:space="preserve">—</w:t>
            </w:r>
          </w:p>
        </w:tc>
        <w:tc>
          <w:tcPr>
            <w:tcW w:type="dxa" w:w="1033"/>
          </w:tcPr>
          <w:p>
            <w:pPr>
              <w:pStyle w:val="Compact"/>
              <w:keepNext/>
              <w:spacing w:line="240" w:lineRule="auto" w:after="0"/>
              <w:ind w:firstLine="0"/>
              <w:jc w:val="left"/>
            </w:pPr>
            <w:r>
              <w:rPr>
                <w:rFonts w:ascii="Arial" w:hAnsi="Arial"/>
                <w:b w:val="0"/>
                <w:sz w:val="20"/>
              </w:rPr>
              <w:t xml:space="preserve">—</w:t>
            </w:r>
          </w:p>
        </w:tc>
      </w:tr>
      <w:tr>
        <w:trPr>
          <w:cantSplit/>
        </w:trPr>
        <w:tc>
          <w:tcPr>
            <w:tcW w:type="dxa" w:w="3832"/>
          </w:tcPr>
          <w:p>
            <w:pPr>
              <w:pStyle w:val="Compact"/>
              <w:keepNext/>
              <w:spacing w:line="240" w:lineRule="auto" w:after="0"/>
              <w:ind w:firstLine="0"/>
              <w:jc w:val="left"/>
            </w:pPr>
            <w:r>
              <w:rPr>
                <w:rFonts w:ascii="Arial" w:hAnsi="Arial"/>
                <w:b w:val="0"/>
                <w:sz w:val="20"/>
              </w:rPr>
              <w:t xml:space="preserve">Idade 40–49 anos</w:t>
            </w:r>
          </w:p>
        </w:tc>
        <w:tc>
          <w:tcPr>
            <w:tcW w:type="dxa" w:w="1415"/>
          </w:tcPr>
          <w:p>
            <w:pPr>
              <w:pStyle w:val="Compact"/>
              <w:keepNext/>
              <w:spacing w:line="240" w:lineRule="auto" w:after="0"/>
              <w:ind w:firstLine="0"/>
              <w:jc w:val="right"/>
            </w:pPr>
            <w:r>
              <w:rPr>
                <w:rFonts w:ascii="Arial" w:hAnsi="Arial"/>
                <w:b w:val="0"/>
                <w:sz w:val="20"/>
              </w:rPr>
              <w:t xml:space="preserve">6,9</w:t>
            </w:r>
          </w:p>
        </w:tc>
        <w:tc>
          <w:tcPr>
            <w:tcW w:type="dxa" w:w="1531"/>
          </w:tcPr>
          <w:p>
            <w:pPr>
              <w:pStyle w:val="Compact"/>
              <w:keepNext/>
              <w:spacing w:line="240" w:lineRule="auto" w:after="0"/>
              <w:ind w:firstLine="0"/>
              <w:jc w:val="left"/>
            </w:pPr>
            <w:r>
              <w:rPr>
                <w:rFonts w:ascii="Arial" w:hAnsi="Arial"/>
                <w:b w:val="0"/>
                <w:sz w:val="20"/>
              </w:rPr>
              <w:t xml:space="preserve">—</w:t>
            </w:r>
          </w:p>
        </w:tc>
        <w:tc>
          <w:tcPr>
            <w:tcW w:type="dxa" w:w="1260"/>
          </w:tcPr>
          <w:p>
            <w:pPr>
              <w:pStyle w:val="Compact"/>
              <w:keepNext/>
              <w:spacing w:line="240" w:lineRule="auto" w:after="0"/>
              <w:ind w:firstLine="0"/>
              <w:jc w:val="left"/>
            </w:pPr>
            <w:r>
              <w:rPr>
                <w:rFonts w:ascii="Arial" w:hAnsi="Arial"/>
                <w:b w:val="0"/>
                <w:sz w:val="20"/>
              </w:rPr>
              <w:t xml:space="preserve">—</w:t>
            </w:r>
          </w:p>
        </w:tc>
        <w:tc>
          <w:tcPr>
            <w:tcW w:type="dxa" w:w="1033"/>
          </w:tcPr>
          <w:p>
            <w:pPr>
              <w:pStyle w:val="Compact"/>
              <w:keepNext/>
              <w:spacing w:line="240" w:lineRule="auto" w:after="0"/>
              <w:ind w:firstLine="0"/>
              <w:jc w:val="left"/>
            </w:pPr>
            <w:r>
              <w:rPr>
                <w:rFonts w:ascii="Arial" w:hAnsi="Arial"/>
                <w:b w:val="0"/>
                <w:sz w:val="20"/>
              </w:rPr>
              <w:t xml:space="preserve">—</w:t>
            </w:r>
          </w:p>
        </w:tc>
      </w:tr>
      <w:tr>
        <w:trPr>
          <w:cantSplit/>
        </w:trPr>
        <w:tc>
          <w:tcPr>
            <w:tcW w:type="dxa" w:w="3832"/>
          </w:tcPr>
          <w:p>
            <w:pPr>
              <w:pStyle w:val="Compact"/>
              <w:keepNext/>
              <w:spacing w:line="240" w:lineRule="auto" w:after="0"/>
              <w:ind w:firstLine="0"/>
              <w:jc w:val="left"/>
            </w:pPr>
            <w:r>
              <w:rPr>
                <w:rFonts w:ascii="Arial" w:hAnsi="Arial"/>
                <w:b w:val="0"/>
                <w:sz w:val="20"/>
              </w:rPr>
              <w:t xml:space="preserve">Idade 50–64 anos</w:t>
            </w:r>
          </w:p>
        </w:tc>
        <w:tc>
          <w:tcPr>
            <w:tcW w:type="dxa" w:w="1415"/>
          </w:tcPr>
          <w:p>
            <w:pPr>
              <w:pStyle w:val="Compact"/>
              <w:keepNext/>
              <w:spacing w:line="240" w:lineRule="auto" w:after="0"/>
              <w:ind w:firstLine="0"/>
              <w:jc w:val="right"/>
            </w:pPr>
            <w:r>
              <w:rPr>
                <w:rFonts w:ascii="Arial" w:hAnsi="Arial"/>
                <w:b w:val="0"/>
                <w:sz w:val="20"/>
              </w:rPr>
              <w:t xml:space="preserve">8,8</w:t>
            </w:r>
          </w:p>
        </w:tc>
        <w:tc>
          <w:tcPr>
            <w:tcW w:type="dxa" w:w="1531"/>
          </w:tcPr>
          <w:p>
            <w:pPr>
              <w:pStyle w:val="Compact"/>
              <w:keepNext/>
              <w:spacing w:line="240" w:lineRule="auto" w:after="0"/>
              <w:ind w:firstLine="0"/>
              <w:jc w:val="left"/>
            </w:pPr>
            <w:r>
              <w:rPr>
                <w:rFonts w:ascii="Arial" w:hAnsi="Arial"/>
                <w:b w:val="0"/>
                <w:sz w:val="20"/>
              </w:rPr>
              <w:t xml:space="preserve">—</w:t>
            </w:r>
          </w:p>
        </w:tc>
        <w:tc>
          <w:tcPr>
            <w:tcW w:type="dxa" w:w="1260"/>
          </w:tcPr>
          <w:p>
            <w:pPr>
              <w:pStyle w:val="Compact"/>
              <w:keepNext/>
              <w:spacing w:line="240" w:lineRule="auto" w:after="0"/>
              <w:ind w:firstLine="0"/>
              <w:jc w:val="left"/>
            </w:pPr>
            <w:r>
              <w:rPr>
                <w:rFonts w:ascii="Arial" w:hAnsi="Arial"/>
                <w:b w:val="0"/>
                <w:sz w:val="20"/>
              </w:rPr>
              <w:t xml:space="preserve">—</w:t>
            </w:r>
          </w:p>
        </w:tc>
        <w:tc>
          <w:tcPr>
            <w:tcW w:type="dxa" w:w="1033"/>
          </w:tcPr>
          <w:p>
            <w:pPr>
              <w:pStyle w:val="Compact"/>
              <w:keepNext/>
              <w:spacing w:line="240" w:lineRule="auto" w:after="0"/>
              <w:ind w:firstLine="0"/>
              <w:jc w:val="left"/>
            </w:pPr>
            <w:r>
              <w:rPr>
                <w:rFonts w:ascii="Arial" w:hAnsi="Arial"/>
                <w:b w:val="0"/>
                <w:sz w:val="20"/>
              </w:rPr>
              <w:t xml:space="preserve">—</w:t>
            </w:r>
          </w:p>
        </w:tc>
      </w:tr>
      <w:tr>
        <w:trPr>
          <w:cantSplit/>
        </w:trPr>
        <w:tc>
          <w:tcPr>
            <w:tcW w:type="dxa" w:w="3832"/>
          </w:tcPr>
          <w:p>
            <w:pPr>
              <w:pStyle w:val="Compact"/>
              <w:keepNext/>
              <w:spacing w:line="240" w:lineRule="auto" w:after="0"/>
              <w:ind w:firstLine="0"/>
              <w:jc w:val="left"/>
            </w:pPr>
            <w:r>
              <w:rPr>
                <w:rFonts w:ascii="Arial" w:hAnsi="Arial"/>
                <w:b w:val="0"/>
                <w:sz w:val="20"/>
              </w:rPr>
              <w:t xml:space="preserve">Idade 65 anos ou mais</w:t>
            </w:r>
          </w:p>
        </w:tc>
        <w:tc>
          <w:tcPr>
            <w:tcW w:type="dxa" w:w="1415"/>
          </w:tcPr>
          <w:p>
            <w:pPr>
              <w:pStyle w:val="Compact"/>
              <w:keepNext/>
              <w:spacing w:line="240" w:lineRule="auto" w:after="0"/>
              <w:ind w:firstLine="0"/>
              <w:jc w:val="right"/>
            </w:pPr>
            <w:r>
              <w:rPr>
                <w:rFonts w:ascii="Arial" w:hAnsi="Arial"/>
                <w:b w:val="0"/>
                <w:sz w:val="20"/>
              </w:rPr>
              <w:t xml:space="preserve">14,7</w:t>
            </w:r>
          </w:p>
        </w:tc>
        <w:tc>
          <w:tcPr>
            <w:tcW w:type="dxa" w:w="1531"/>
          </w:tcPr>
          <w:p>
            <w:pPr>
              <w:pStyle w:val="Compact"/>
              <w:keepNext/>
              <w:spacing w:line="240" w:lineRule="auto" w:after="0"/>
              <w:ind w:firstLine="0"/>
              <w:jc w:val="left"/>
            </w:pPr>
            <w:r>
              <w:rPr>
                <w:rFonts w:ascii="Arial" w:hAnsi="Arial"/>
                <w:b w:val="0"/>
                <w:sz w:val="20"/>
              </w:rPr>
              <w:t xml:space="preserve">—</w:t>
            </w:r>
          </w:p>
        </w:tc>
        <w:tc>
          <w:tcPr>
            <w:tcW w:type="dxa" w:w="1260"/>
          </w:tcPr>
          <w:p>
            <w:pPr>
              <w:pStyle w:val="Compact"/>
              <w:keepNext/>
              <w:spacing w:line="240" w:lineRule="auto" w:after="0"/>
              <w:ind w:firstLine="0"/>
              <w:jc w:val="left"/>
            </w:pPr>
            <w:r>
              <w:rPr>
                <w:rFonts w:ascii="Arial" w:hAnsi="Arial"/>
                <w:b w:val="0"/>
                <w:sz w:val="20"/>
              </w:rPr>
              <w:t xml:space="preserve">—</w:t>
            </w:r>
          </w:p>
        </w:tc>
        <w:tc>
          <w:tcPr>
            <w:tcW w:type="dxa" w:w="1033"/>
          </w:tcPr>
          <w:p>
            <w:pPr>
              <w:pStyle w:val="Compact"/>
              <w:keepNext/>
              <w:spacing w:line="240" w:lineRule="auto" w:after="0"/>
              <w:ind w:firstLine="0"/>
              <w:jc w:val="left"/>
            </w:pPr>
            <w:r>
              <w:rPr>
                <w:rFonts w:ascii="Arial" w:hAnsi="Arial"/>
                <w:b w:val="0"/>
                <w:sz w:val="20"/>
              </w:rPr>
              <w:t xml:space="preserve">—</w:t>
            </w:r>
          </w:p>
        </w:tc>
      </w:tr>
      <w:tr>
        <w:trPr>
          <w:cantSplit/>
        </w:trPr>
        <w:tc>
          <w:tcPr>
            <w:tcW w:type="dxa" w:w="3832"/>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Top 10% dentro da UF</w:t>
            </w:r>
          </w:p>
        </w:tc>
        <w:tc>
          <w:tcPr>
            <w:tcW w:type="dxa" w:w="1415"/>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w:t>
            </w:r>
          </w:p>
        </w:tc>
        <w:tc>
          <w:tcPr>
            <w:tcW w:type="dxa" w:w="1531"/>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w:t>
            </w:r>
          </w:p>
        </w:tc>
        <w:tc>
          <w:tcPr>
            <w:tcW w:type="dxa" w:w="1260"/>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0,762</w:t>
            </w:r>
          </w:p>
        </w:tc>
        <w:tc>
          <w:tcPr>
            <w:tcW w:type="dxa" w:w="1033"/>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w:t>
            </w:r>
          </w:p>
        </w:tc>
      </w:tr>
    </w:tbl>
    <w:bookmarkEnd w:id="98"/>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OR abaixo de 1 é menor chance que a de um branco</w:t>
      </w:r>
      <w:r>
        <w:rPr>
          <w:rFonts w:ascii="Arial" w:hAnsi="Arial"/>
          <w:sz w:val="22"/>
        </w:rPr>
        <w:t xml:space="preserve"> </w:t>
      </w:r>
      <w:r>
        <w:rPr>
          <w:rFonts w:ascii="Arial" w:hAnsi="Arial"/>
          <w:sz w:val="22"/>
        </w:rPr>
        <w:t xml:space="preserve">comparável;</w:t>
      </w:r>
      <w:r>
        <w:rPr>
          <w:rFonts w:ascii="Arial" w:hAnsi="Arial"/>
          <w:sz w:val="22"/>
        </w:rPr>
        <w:t xml:space="preserve"> </w:t>
      </w:r>
      <w:r>
        <w:rPr>
          <w:rFonts w:ascii="Arial" w:hAnsi="Arial"/>
          <w:sz w:val="22"/>
        </w:rPr>
        <w:t xml:space="preserve">“Preço”</w:t>
      </w:r>
      <w:r>
        <w:rPr>
          <w:rFonts w:ascii="Arial" w:hAnsi="Arial"/>
          <w:sz w:val="22"/>
        </w:rPr>
        <w:t xml:space="preserve"> </w:t>
      </w:r>
      <w:r>
        <w:rPr>
          <w:rFonts w:ascii="Arial" w:hAnsi="Arial"/>
          <w:sz w:val="22"/>
        </w:rPr>
        <w:t xml:space="preserve">é a parte do gap que as características observáveis não explicam.</w:t>
      </w:r>
      <w:r>
        <w:rPr>
          <w:rFonts w:ascii="Arial" w:hAnsi="Arial"/>
          <w:sz w:val="22"/>
        </w:rPr>
        <w:t xml:space="preserve"> </w:t>
      </w:r>
      <w:r>
        <w:rPr>
          <w:rFonts w:ascii="Arial" w:hAnsi="Arial"/>
          <w:sz w:val="22"/>
        </w:rPr>
        <w:t xml:space="preserve">Na última linha, o topo é definido dentro de cada estado, e não pelo corte nacional.</w:t>
      </w:r>
    </w:p>
    <w:p>
      <w:pPr>
        <w:pStyle w:val="BodyText"/>
        <w:spacing w:line="360" w:lineRule="auto" w:after="0"/>
        <w:ind w:firstLine="709"/>
        <w:jc w:val="both"/>
      </w:pPr>
      <w:r>
        <w:rPr>
          <w:rFonts w:ascii="Arial" w:hAnsi="Arial"/>
          <w:sz w:val="22"/>
        </w:rPr>
        <w:t xml:space="preserve">Pretos e pardos estão abaixo dos brancos em todas as medidas (salário, acesso, topo e preço), o que sustenta a categoria negro como referência de política; mas a penalidade dos pretos é maior em todas elas: 7,4% contra 5,8% no salário, OR </w:t>
      </w:r>
      <m:oMath>
        <m:r>
          <m:rPr>
            <m:sty m:val="p"/>
          </m:rPr>
          <m:t>=</m:t>
        </m:r>
        <m:r>
          <m:t>0</m:t>
        </m:r>
        <m:r>
          <m:rPr>
            <m:sty m:val="p"/>
          </m:rPr>
          <m:t>,</m:t>
        </m:r>
        <m:r>
          <m:t>785</m:t>
        </m:r>
      </m:oMath>
      <w:r>
        <w:rPr>
          <w:rFonts w:ascii="Arial" w:hAnsi="Arial"/>
          <w:sz w:val="22"/>
        </w:rPr>
        <w:t xml:space="preserve"> </w:t>
      </w:r>
      <w:r>
        <w:rPr>
          <w:rFonts w:ascii="Arial" w:hAnsi="Arial"/>
          <w:sz w:val="22"/>
        </w:rPr>
        <w:t xml:space="preserve">contra</w:t>
      </w:r>
      <w:r>
        <w:rPr>
          <w:rFonts w:ascii="Arial" w:hAnsi="Arial"/>
          <w:sz w:val="22"/>
        </w:rPr>
        <w:t xml:space="preserve"> </w:t>
      </w:r>
      <m:oMath>
        <m:r>
          <m:t>0</m:t>
        </m:r>
        <m:r>
          <m:rPr>
            <m:sty m:val="p"/>
          </m:rPr>
          <m:t>,</m:t>
        </m:r>
        <m:r>
          <m:t>820</m:t>
        </m:r>
      </m:oMath>
      <w:r>
        <w:rPr>
          <w:rFonts w:ascii="Arial" w:hAnsi="Arial"/>
          <w:sz w:val="22"/>
        </w:rPr>
        <w:t xml:space="preserve"> </w:t>
      </w:r>
      <w:r>
        <w:rPr>
          <w:rFonts w:ascii="Arial" w:hAnsi="Arial"/>
          <w:sz w:val="22"/>
        </w:rPr>
        <w:t xml:space="preserve">no acesso e</w:t>
      </w:r>
      <w:r>
        <w:rPr>
          <w:rFonts w:ascii="Arial" w:hAnsi="Arial"/>
          <w:sz w:val="22"/>
        </w:rPr>
        <w:t xml:space="preserve"> </w:t>
      </w:r>
      <m:oMath>
        <m:r>
          <m:t>0</m:t>
        </m:r>
        <m:r>
          <m:rPr>
            <m:sty m:val="p"/>
          </m:rPr>
          <m:t>,</m:t>
        </m:r>
        <m:r>
          <m:t>725</m:t>
        </m:r>
      </m:oMath>
      <w:r>
        <w:rPr>
          <w:rFonts w:ascii="Arial" w:hAnsi="Arial"/>
          <w:sz w:val="22"/>
        </w:rPr>
        <w:t xml:space="preserve"> </w:t>
      </w:r>
      <w:r>
        <w:rPr>
          <w:rFonts w:ascii="Arial" w:hAnsi="Arial"/>
          <w:sz w:val="22"/>
        </w:rPr>
        <w:t xml:space="preserve">contra</w:t>
      </w:r>
      <w:r>
        <w:rPr>
          <w:rFonts w:ascii="Arial" w:hAnsi="Arial"/>
          <w:sz w:val="22"/>
        </w:rPr>
        <w:t xml:space="preserve"> </w:t>
      </w:r>
      <m:oMath>
        <m:r>
          <m:t>0</m:t>
        </m:r>
        <m:r>
          <m:rPr>
            <m:sty m:val="p"/>
          </m:rPr>
          <m:t>,</m:t>
        </m:r>
        <m:r>
          <m:t>768</m:t>
        </m:r>
      </m:oMath>
      <w:r>
        <w:rPr>
          <w:rFonts w:ascii="Arial" w:hAnsi="Arial"/>
          <w:sz w:val="22"/>
        </w:rPr>
        <w:t xml:space="preserve"> </w:t>
      </w:r>
      <w:r>
        <w:rPr>
          <w:rFonts w:ascii="Arial" w:hAnsi="Arial"/>
          <w:sz w:val="22"/>
        </w:rPr>
        <w:t xml:space="preserve">no décimo mais rico (Tabela 12); as diferenças entre os dois grupos ficam fora dos intervalos de 95%. A distância entre os dois grupos cresce rumo ao topo: na regressão quantílica, a penalidade de pretos e pardos, respectivamente, vai de 4,7% e 4,2% no primeiro decil a 10,0% e 8,0% no nono. A parcela de preço da decomposição RIF também se distribui de outro modo: nos pardos, cai de 26,9% no primeiro decil para 19,8% na mediana e 7,4% no nono, como no agregado; nos pretos, passa de 21,2% para 24,8% e 11,9%, sem ceder no topo. O padrão é compatível com o colorismo — a discriminação graduada pela tonalidade da pele</w:t>
      </w:r>
      <w:r>
        <w:rPr>
          <w:rFonts w:ascii="Arial" w:hAnsi="Arial"/>
          <w:sz w:val="22"/>
        </w:rPr>
        <w:t xml:space="preserve"> </w:t>
      </w:r>
      <w:r>
        <w:rPr>
          <w:rFonts w:ascii="Arial" w:hAnsi="Arial"/>
          <w:sz w:val="22"/>
        </w:rPr>
        <w:t xml:space="preserve">(Telles, 2004)</w:t>
      </w:r>
      <w:r>
        <w:rPr>
          <w:rFonts w:ascii="Arial" w:hAnsi="Arial"/>
          <w:sz w:val="22"/>
        </w:rPr>
        <w:t xml:space="preserve"> </w:t>
      </w:r>
      <w:r>
        <w:rPr>
          <w:rFonts w:ascii="Arial" w:hAnsi="Arial"/>
          <w:sz w:val="22"/>
        </w:rPr>
        <w:t xml:space="preserve">—, sem que estes dados o identifiquem como causa.</w:t>
      </w:r>
    </w:p>
    <w:p>
      <w:pPr>
        <w:pStyle w:val="BodyText"/>
        <w:spacing w:line="360" w:lineRule="auto" w:after="0"/>
        <w:ind w:firstLine="709"/>
        <w:jc w:val="both"/>
      </w:pPr>
      <w:r>
        <w:rPr>
          <w:rFonts w:ascii="Arial" w:hAnsi="Arial"/>
          <w:sz w:val="22"/>
        </w:rPr>
        <w:t xml:space="preserve">Entre pessoas comparáveis, a entrada em cargo qualificado é igualmente desigual no setor privado (OR </w:t>
      </w:r>
      <m:oMath>
        <m:r>
          <m:rPr>
            <m:sty m:val="p"/>
          </m:rPr>
          <m:t>=</m:t>
        </m:r>
        <m:r>
          <m:t>0</m:t>
        </m:r>
        <m:r>
          <m:rPr>
            <m:sty m:val="p"/>
          </m:rPr>
          <m:t>,</m:t>
        </m:r>
        <m:r>
          <m:t>783</m:t>
        </m:r>
      </m:oMath>
      <w:r>
        <w:rPr>
          <w:rFonts w:ascii="Arial" w:hAnsi="Arial"/>
          <w:sz w:val="22"/>
        </w:rPr>
        <w:t xml:space="preserve">) e no público (</w:t>
      </w:r>
      <m:oMath>
        <m:r>
          <m:t>0</m:t>
        </m:r>
        <m:r>
          <m:rPr>
            <m:sty m:val="p"/>
          </m:rPr>
          <m:t>,</m:t>
        </m:r>
        <m:r>
          <m:t>786</m:t>
        </m:r>
      </m:oMath>
      <w:r>
        <w:rPr>
          <w:rFonts w:ascii="Arial" w:hAnsi="Arial"/>
          <w:sz w:val="22"/>
        </w:rPr>
        <w:t xml:space="preserve">, com intervalos de 95% que se sobrepõem); a diferença entre os setores está na subida. No privado, a penalidade salarial é de 7,2% e a chance de chegar ao décimo mais rico tem OR </w:t>
      </w:r>
      <m:oMath>
        <m:r>
          <m:rPr>
            <m:sty m:val="p"/>
          </m:rPr>
          <m:t>=</m:t>
        </m:r>
        <m:r>
          <m:t>0</m:t>
        </m:r>
        <m:r>
          <m:rPr>
            <m:sty m:val="p"/>
          </m:rPr>
          <m:t>,</m:t>
        </m:r>
        <m:r>
          <m:t>685</m:t>
        </m:r>
      </m:oMath>
      <w:r>
        <w:rPr>
          <w:rFonts w:ascii="Arial" w:hAnsi="Arial"/>
          <w:sz w:val="22"/>
        </w:rPr>
        <w:t xml:space="preserve">; no público, 4,6% e</w:t>
      </w:r>
      <w:r>
        <w:rPr>
          <w:rFonts w:ascii="Arial" w:hAnsi="Arial"/>
          <w:sz w:val="22"/>
        </w:rPr>
        <w:t xml:space="preserve"> </w:t>
      </w:r>
      <m:oMath>
        <m:r>
          <m:t>0</m:t>
        </m:r>
        <m:r>
          <m:rPr>
            <m:sty m:val="p"/>
          </m:rPr>
          <m:t>,</m:t>
        </m:r>
        <m:r>
          <m:t>843</m:t>
        </m:r>
      </m:oMath>
      <w:r>
        <w:rPr>
          <w:rFonts w:ascii="Arial" w:hAnsi="Arial"/>
          <w:sz w:val="22"/>
        </w:rPr>
        <w:t xml:space="preserve">. O teto de vidro não decorre da composição regional dos salários: com o topo definido dentro de cada estado, o OR é</w:t>
      </w:r>
      <w:r>
        <w:rPr>
          <w:rFonts w:ascii="Arial" w:hAnsi="Arial"/>
          <w:sz w:val="22"/>
        </w:rPr>
        <w:t xml:space="preserve"> </w:t>
      </w:r>
      <m:oMath>
        <m:r>
          <m:t>0</m:t>
        </m:r>
        <m:r>
          <m:rPr>
            <m:sty m:val="p"/>
          </m:rPr>
          <m:t>,</m:t>
        </m:r>
        <m:r>
          <m:t>762</m:t>
        </m:r>
      </m:oMath>
      <w:r>
        <w:rPr>
          <w:rFonts w:ascii="Arial" w:hAnsi="Arial"/>
          <w:sz w:val="22"/>
        </w:rPr>
        <w:t xml:space="preserve">, como no corte nacional (</w:t>
      </w:r>
      <m:oMath>
        <m:r>
          <m:t>0</m:t>
        </m:r>
        <m:r>
          <m:rPr>
            <m:sty m:val="p"/>
          </m:rPr>
          <m:t>,</m:t>
        </m:r>
        <m:r>
          <m:t>761</m:t>
        </m:r>
      </m:oMath>
      <w:r>
        <w:rPr>
          <w:rFonts w:ascii="Arial" w:hAnsi="Arial"/>
          <w:sz w:val="22"/>
        </w:rPr>
        <w:t xml:space="preserve">).</w:t>
      </w:r>
    </w:p>
    <w:p>
      <w:pPr>
        <w:pStyle w:val="BodyText"/>
        <w:spacing w:line="360" w:lineRule="auto" w:after="0"/>
        <w:ind w:firstLine="709"/>
        <w:jc w:val="both"/>
      </w:pPr>
      <w:r>
        <w:rPr>
          <w:rFonts w:ascii="Arial" w:hAnsi="Arial"/>
          <w:sz w:val="22"/>
        </w:rPr>
        <w:t xml:space="preserve">A penalidade cresce com a idade: 1,7% entre 14 e 29 anos, 8,8% entre 50 e 64 e 14,7% a partir dos 65. Dados transversais não separam as duas leituras possíveis: a de ciclo de vida (a desigualdade se acumula ao longo da carreira) é compatível com o teto de vidro; a de coorte, com melhora entre gerações. Acima dos 65 anos, o grupo é selecionado — só quem ainda trabalha — e menor, o que pede cautela com essa estimativa.</w:t>
      </w:r>
    </w:p>
    <w:bookmarkEnd w:id="99"/>
    <w:bookmarkStart w:id="119" w:name="X2fa09b9a92b7e4ecab29a199a12e4882559d3f9"/>
    <w:p>
      <w:pPr>
        <w:pStyle w:val="Ttulo2"/>
        <w:spacing w:line="360" w:lineRule="auto" w:before="280" w:after="280"/>
        <w:ind w:firstLine="709"/>
        <w:jc w:val="left"/>
      </w:pPr>
      <w:r>
        <w:rPr>
          <w:rFonts w:ascii="Arial" w:hAnsi="Arial"/>
          <w:b/>
          <w:sz w:val="22"/>
        </w:rPr>
        <w:t xml:space="preserve">Modelos de Machine Learning e SHAP Values</w:t>
      </w:r>
    </w:p>
    <w:p>
      <w:pPr>
        <w:pStyle w:val="FirstParagraph"/>
        <w:spacing w:line="360" w:lineRule="auto" w:after="0"/>
        <w:ind w:firstLine="709"/>
        <w:jc w:val="both"/>
      </w:pPr>
      <w:r>
        <w:rPr>
          <w:rFonts w:ascii="Arial" w:hAnsi="Arial"/>
          <w:sz w:val="22"/>
        </w:rPr>
        <w:t xml:space="preserve">Resta verificar se o padrão depende da forma funcional imposta pelos modelos.</w:t>
      </w:r>
      <w:r>
        <w:rPr>
          <w:rFonts w:ascii="Arial" w:hAnsi="Arial"/>
          <w:sz w:val="22"/>
        </w:rPr>
        <w:t xml:space="preserve"> </w:t>
      </w:r>
      <w:bookmarkStart w:id="100" w:name="subsec:ml"/>
      <w:bookmarkEnd w:id="100"/>
    </w:p>
    <w:p>
      <w:pPr>
        <w:pStyle w:val="BodyText"/>
        <w:spacing w:line="360" w:lineRule="auto" w:after="0"/>
        <w:ind w:firstLine="709"/>
        <w:jc w:val="both"/>
      </w:pPr>
      <w:r>
        <w:rPr>
          <w:rFonts w:ascii="Arial" w:hAnsi="Arial"/>
          <w:sz w:val="22"/>
        </w:rPr>
        <w:t xml:space="preserve">Todos os modelos até aqui impuseram uma forma à realidade: rendimento linear nos</w:t>
      </w:r>
      <w:r>
        <w:rPr>
          <w:rFonts w:ascii="Arial" w:hAnsi="Arial"/>
          <w:sz w:val="22"/>
        </w:rPr>
        <w:t xml:space="preserve"> </w:t>
      </w:r>
      <w:r>
        <w:rPr>
          <w:rFonts w:ascii="Arial" w:hAnsi="Arial"/>
          <w:sz w:val="22"/>
        </w:rPr>
        <w:t xml:space="preserve">controles, efeitos que se somam, penalidade racial constante. E se a forma estiver</w:t>
      </w:r>
      <w:r>
        <w:rPr>
          <w:rFonts w:ascii="Arial" w:hAnsi="Arial"/>
          <w:sz w:val="22"/>
        </w:rPr>
        <w:t xml:space="preserve"> </w:t>
      </w:r>
      <w:r>
        <w:rPr>
          <w:rFonts w:ascii="Arial" w:hAnsi="Arial"/>
          <w:sz w:val="22"/>
        </w:rPr>
        <w:t xml:space="preserve">errada — se o gap que os coeficientes mostram for, em alguma medida, artefato da</w:t>
      </w:r>
      <w:r>
        <w:rPr>
          <w:rFonts w:ascii="Arial" w:hAnsi="Arial"/>
          <w:sz w:val="22"/>
        </w:rPr>
        <w:t xml:space="preserve"> </w:t>
      </w:r>
      <w:r>
        <w:rPr>
          <w:rFonts w:ascii="Arial" w:hAnsi="Arial"/>
          <w:sz w:val="22"/>
        </w:rPr>
        <w:t xml:space="preserve">equação escolhida? Árvores de decisão respondem a essa objeção porque não pressupõem</w:t>
      </w:r>
      <w:r>
        <w:rPr>
          <w:rFonts w:ascii="Arial" w:hAnsi="Arial"/>
          <w:sz w:val="22"/>
        </w:rPr>
        <w:t xml:space="preserve"> </w:t>
      </w:r>
      <w:r>
        <w:rPr>
          <w:rFonts w:ascii="Arial" w:hAnsi="Arial"/>
          <w:sz w:val="22"/>
        </w:rPr>
        <w:t xml:space="preserve">forma nenhuma: descobrem sozinhas interações e não linearidades e, com os valores SHAP,</w:t>
      </w:r>
      <w:r>
        <w:rPr>
          <w:rFonts w:ascii="Arial" w:hAnsi="Arial"/>
          <w:sz w:val="22"/>
        </w:rPr>
        <w:t xml:space="preserve"> </w:t>
      </w:r>
      <w:r>
        <w:rPr>
          <w:rFonts w:ascii="Arial" w:hAnsi="Arial"/>
          <w:sz w:val="22"/>
        </w:rPr>
        <w:t xml:space="preserve">dizem quanto cada variável pesou em cada previsão. Se a raça aparecer entre os</w:t>
      </w:r>
      <w:r>
        <w:rPr>
          <w:rFonts w:ascii="Arial" w:hAnsi="Arial"/>
          <w:sz w:val="22"/>
        </w:rPr>
        <w:t xml:space="preserve"> </w:t>
      </w:r>
      <w:r>
        <w:rPr>
          <w:rFonts w:ascii="Arial" w:hAnsi="Arial"/>
          <w:sz w:val="22"/>
        </w:rPr>
        <w:t xml:space="preserve">preditores relevantes de um modelo que nunca foi instruído a procurá-la, o achado deixa</w:t>
      </w:r>
      <w:r>
        <w:rPr>
          <w:rFonts w:ascii="Arial" w:hAnsi="Arial"/>
          <w:sz w:val="22"/>
        </w:rPr>
        <w:t xml:space="preserve"> </w:t>
      </w:r>
      <w:r>
        <w:rPr>
          <w:rFonts w:ascii="Arial" w:hAnsi="Arial"/>
          <w:sz w:val="22"/>
        </w:rPr>
        <w:t xml:space="preserve">de depender da especificação. A Tabela 13 traz o desempenho dos modelos</w:t>
      </w:r>
      <w:r>
        <w:rPr>
          <w:rFonts w:ascii="Arial" w:hAnsi="Arial"/>
          <w:sz w:val="22"/>
        </w:rPr>
        <w:t xml:space="preserve"> </w:t>
      </w:r>
      <w:r>
        <w:rPr>
          <w:rFonts w:ascii="Arial" w:hAnsi="Arial"/>
          <w:sz w:val="22"/>
        </w:rPr>
        <w:t xml:space="preserve">sobre o conjunto de teste, separado antes de qualquer ajuste.</w:t>
      </w:r>
    </w:p>
    <w:bookmarkStart w:id="101" w:name="tab:ml_perf"/>
    <w:p>
      <w:pPr>
        <w:pStyle w:val="TableCaption"/>
        <w:keepNext/>
        <w:keepLines/>
        <w:spacing w:line="240" w:lineRule="auto" w:before="240" w:after="40"/>
        <w:ind w:firstLine="0"/>
        <w:jc w:val="both"/>
      </w:pPr>
      <w:r>
        <w:rPr>
          <w:rFonts w:ascii="Arial" w:hAnsi="Arial"/>
          <w:sz w:val="22"/>
        </w:rPr>
        <w:t xml:space="preserve">Tabela 13. Desempenho preditivo — Random Forest, XGBoost e XGBoost sem renda de vizinhança (robustez ao problema do reflexo).</w:t>
      </w:r>
      <w:r>
        <w:rPr>
          <w:rFonts w:ascii="Arial" w:hAnsi="Arial"/>
          <w:sz w:val="22"/>
        </w:rPr>
        <w:t xml:space="preserve"> </w:t>
      </w:r>
      <w:r>
        <w:rPr>
          <w:rFonts w:ascii="Arial" w:hAnsi="Arial"/>
          <w:sz w:val="22"/>
        </w:rPr>
        <w:t xml:space="preserve">Hold-out</w:t>
      </w:r>
      <w:r>
        <w:rPr>
          <w:rFonts w:ascii="Arial" w:hAnsi="Arial"/>
          <w:sz w:val="22"/>
        </w:rPr>
        <w:t xml:space="preserve"> </w:t>
      </w:r>
      <w:r>
        <w:rPr>
          <w:rFonts w:ascii="Arial" w:hAnsi="Arial"/>
          <w:sz w:val="22"/>
        </w:rPr>
        <w:t xml:space="preserve">20% da população (</w:t>
      </w:r>
      <m:oMath>
        <m:sSub>
          <m:e>
            <m:r>
              <m:t>N</m:t>
            </m:r>
          </m:e>
          <m:sub>
            <m:r>
              <m:rPr>
                <m:nor/>
                <m:sty m:val="p"/>
              </m:rPr>
              <m:t>teste</m:t>
            </m:r>
          </m:sub>
        </m:sSub>
        <m:r>
          <m:rPr>
            <m:sty m:val="p"/>
          </m:rPr>
          <m:t>≈</m:t>
        </m:r>
        <m:r>
          <m:t>1</m:t>
        </m:r>
        <m:r>
          <m:rPr>
            <m:sty m:val="p"/>
          </m:rPr>
          <m:t>,</m:t>
        </m:r>
        <m:r>
          <m:t>54</m:t>
        </m:r>
      </m:oMath>
      <w:r>
        <w:rPr>
          <w:rFonts w:ascii="Arial" w:hAnsi="Arial"/>
          <w:sz w:val="22"/>
        </w:rPr>
        <w:t xml:space="preserve"> </w:t>
      </w:r>
      <w:r>
        <w:rPr>
          <w:rFonts w:ascii="Arial" w:hAnsi="Arial"/>
          <w:sz w:val="22"/>
        </w:rPr>
        <w:t xml:space="preserve">milhão).</w:t>
      </w:r>
    </w:p>
    <w:tbl>
      <w:tblPr>
        <w:tblStyle w:val="Table"/>
        <w:tblW w:type="auto" w:w="0"/>
        <w:tblLayout w:type="fixed"/>
        <w:tblLook w:firstRow="1" w:lastRow="0" w:firstColumn="0" w:lastColumn="0" w:noHBand="0" w:noVBand="0" w:val="0020"/>
        <w:tblCaption w:val="Tabela 13. Desempenho preditivo — Random Forest, XGBoost e XGBoost sem renda de vizinhança (robustez ao problema do reflexo). Hold-out 20% da população (N_\text{teste}\approx 1{,}54 milhão)."/>
        <w:tblBorders>
          <w:top w:val="nil"/>
          <w:left w:val="nil"/>
          <w:bottom w:val="nil"/>
          <w:right w:val="nil"/>
          <w:insideH w:val="nil"/>
          <w:insideV w:val="nil"/>
        </w:tblBorders>
      </w:tblPr>
      <w:tblGrid>
        <w:gridCol w:w="3787"/>
        <w:gridCol w:w="951"/>
        <w:gridCol w:w="951"/>
        <w:gridCol w:w="951"/>
        <w:gridCol w:w="2430"/>
      </w:tblGrid>
      <w:tr>
        <w:trPr>
          <w:tblHeader w:val="on"/>
          <w:cantSplit/>
        </w:trPr>
        <w:tc>
          <w:tcPr>
            <w:tcW w:type="dxa" w:w="3787"/>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bCs/>
                <w:sz w:val="20"/>
              </w:rPr>
              <w:t xml:space="preserve">Modelo</w:t>
            </w:r>
          </w:p>
        </w:tc>
        <w:tc>
          <w:tcPr>
            <w:tcW w:type="dxa" w:w="951"/>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i/>
                <w:iCs/>
                <w:sz w:val="20"/>
              </w:rPr>
              <w:t xml:space="preserve">R</w:t>
            </w:r>
            <w:r>
              <w:rPr>
                <w:rFonts w:ascii="Arial" w:hAnsi="Arial"/>
                <w:b w:val="0"/>
                <w:sz w:val="20"/>
                <w:vertAlign w:val="superscript"/>
              </w:rPr>
              <w:t xml:space="preserve">2</w:t>
            </w:r>
          </w:p>
        </w:tc>
        <w:tc>
          <w:tcPr>
            <w:tcW w:type="dxa" w:w="951"/>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bCs/>
                <w:sz w:val="20"/>
              </w:rPr>
              <w:t xml:space="preserve">MAE</w:t>
            </w:r>
          </w:p>
        </w:tc>
        <w:tc>
          <w:tcPr>
            <w:tcW w:type="dxa" w:w="951"/>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bCs/>
                <w:sz w:val="20"/>
              </w:rPr>
              <w:t xml:space="preserve">RMSE</w:t>
            </w:r>
          </w:p>
        </w:tc>
        <w:tc>
          <w:tcPr>
            <w:tcW w:type="dxa" w:w="2430"/>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bCs/>
                <w:sz w:val="20"/>
              </w:rPr>
              <w:t xml:space="preserve">Gap treino–teste</w:t>
            </w:r>
          </w:p>
        </w:tc>
      </w:tr>
      <w:tr>
        <w:trPr>
          <w:cantSplit/>
        </w:trPr>
        <w:tc>
          <w:tcPr>
            <w:tcW w:type="dxa" w:w="3787"/>
          </w:tcPr>
          <w:p>
            <w:pPr>
              <w:pStyle w:val="Compact"/>
              <w:keepNext/>
              <w:spacing w:line="240" w:lineRule="auto" w:after="0"/>
              <w:ind w:firstLine="0"/>
              <w:jc w:val="left"/>
            </w:pPr>
            <w:r>
              <w:rPr>
                <w:rFonts w:ascii="Arial" w:hAnsi="Arial"/>
                <w:b w:val="0"/>
                <w:sz w:val="20"/>
              </w:rPr>
              <w:t xml:space="preserve">Random Forest</w:t>
            </w:r>
          </w:p>
        </w:tc>
        <w:tc>
          <w:tcPr>
            <w:tcW w:type="dxa" w:w="951"/>
          </w:tcPr>
          <w:p>
            <w:pPr>
              <w:pStyle w:val="Compact"/>
              <w:keepNext/>
              <w:spacing w:line="240" w:lineRule="auto" w:after="0"/>
              <w:ind w:firstLine="0"/>
              <w:jc w:val="right"/>
            </w:pPr>
            <w:r>
              <w:rPr>
                <w:rFonts w:ascii="Arial" w:hAnsi="Arial"/>
                <w:b w:val="0"/>
                <w:sz w:val="20"/>
              </w:rPr>
              <w:t xml:space="preserve">0,5891</w:t>
            </w:r>
          </w:p>
        </w:tc>
        <w:tc>
          <w:tcPr>
            <w:tcW w:type="dxa" w:w="951"/>
          </w:tcPr>
          <w:p>
            <w:pPr>
              <w:pStyle w:val="Compact"/>
              <w:keepNext/>
              <w:spacing w:line="240" w:lineRule="auto" w:after="0"/>
              <w:ind w:firstLine="0"/>
              <w:jc w:val="right"/>
            </w:pPr>
            <w:r>
              <w:rPr>
                <w:rFonts w:ascii="Arial" w:hAnsi="Arial"/>
                <w:b w:val="0"/>
                <w:sz w:val="20"/>
              </w:rPr>
              <w:t xml:space="preserve">0,4288</w:t>
            </w:r>
          </w:p>
        </w:tc>
        <w:tc>
          <w:tcPr>
            <w:tcW w:type="dxa" w:w="951"/>
          </w:tcPr>
          <w:p>
            <w:pPr>
              <w:pStyle w:val="Compact"/>
              <w:keepNext/>
              <w:spacing w:line="240" w:lineRule="auto" w:after="0"/>
              <w:ind w:firstLine="0"/>
              <w:jc w:val="right"/>
            </w:pPr>
            <w:r>
              <w:rPr>
                <w:rFonts w:ascii="Arial" w:hAnsi="Arial"/>
                <w:b w:val="0"/>
                <w:sz w:val="20"/>
              </w:rPr>
              <w:t xml:space="preserve">0,5753</w:t>
            </w:r>
          </w:p>
        </w:tc>
        <w:tc>
          <w:tcPr>
            <w:tcW w:type="dxa" w:w="2430"/>
          </w:tcPr>
          <w:p>
            <w:pPr>
              <w:pStyle w:val="Compact"/>
              <w:keepNext/>
              <w:spacing w:line="240" w:lineRule="auto" w:after="0"/>
              <w:ind w:firstLine="0"/>
              <w:jc w:val="right"/>
            </w:pPr>
            <w:r>
              <w:rPr>
                <w:rFonts w:ascii="Arial" w:hAnsi="Arial"/>
                <w:b w:val="0"/>
                <w:sz w:val="20"/>
              </w:rPr>
              <w:t xml:space="preserve">0,0003</w:t>
            </w:r>
          </w:p>
        </w:tc>
      </w:tr>
      <w:tr>
        <w:trPr>
          <w:cantSplit/>
        </w:trPr>
        <w:tc>
          <w:tcPr>
            <w:tcW w:type="dxa" w:w="3787"/>
          </w:tcPr>
          <w:p>
            <w:pPr>
              <w:pStyle w:val="Compact"/>
              <w:keepNext/>
              <w:spacing w:line="240" w:lineRule="auto" w:after="0"/>
              <w:ind w:firstLine="0"/>
              <w:jc w:val="left"/>
            </w:pPr>
            <w:r>
              <w:rPr>
                <w:rFonts w:ascii="Arial" w:hAnsi="Arial"/>
                <w:b w:val="0"/>
                <w:bCs/>
                <w:sz w:val="20"/>
              </w:rPr>
              <w:t xml:space="preserve">XGBoost</w:t>
            </w:r>
          </w:p>
        </w:tc>
        <w:tc>
          <w:tcPr>
            <w:tcW w:type="dxa" w:w="951"/>
          </w:tcPr>
          <w:p>
            <w:pPr>
              <w:pStyle w:val="Compact"/>
              <w:keepNext/>
              <w:spacing w:line="240" w:lineRule="auto" w:after="0"/>
              <w:ind w:firstLine="0"/>
              <w:jc w:val="right"/>
            </w:pPr>
            <w:r>
              <w:rPr>
                <w:rFonts w:ascii="Arial" w:hAnsi="Arial"/>
                <w:b w:val="0"/>
                <w:bCs/>
                <w:sz w:val="20"/>
              </w:rPr>
              <w:t xml:space="preserve">0,6444</w:t>
            </w:r>
          </w:p>
        </w:tc>
        <w:tc>
          <w:tcPr>
            <w:tcW w:type="dxa" w:w="951"/>
          </w:tcPr>
          <w:p>
            <w:pPr>
              <w:pStyle w:val="Compact"/>
              <w:keepNext/>
              <w:spacing w:line="240" w:lineRule="auto" w:after="0"/>
              <w:ind w:firstLine="0"/>
              <w:jc w:val="right"/>
            </w:pPr>
            <w:r>
              <w:rPr>
                <w:rFonts w:ascii="Arial" w:hAnsi="Arial"/>
                <w:b w:val="0"/>
                <w:bCs/>
                <w:sz w:val="20"/>
              </w:rPr>
              <w:t xml:space="preserve">0,3970</w:t>
            </w:r>
          </w:p>
        </w:tc>
        <w:tc>
          <w:tcPr>
            <w:tcW w:type="dxa" w:w="951"/>
          </w:tcPr>
          <w:p>
            <w:pPr>
              <w:pStyle w:val="Compact"/>
              <w:keepNext/>
              <w:spacing w:line="240" w:lineRule="auto" w:after="0"/>
              <w:ind w:firstLine="0"/>
              <w:jc w:val="right"/>
            </w:pPr>
            <w:r>
              <w:rPr>
                <w:rFonts w:ascii="Arial" w:hAnsi="Arial"/>
                <w:b w:val="0"/>
                <w:bCs/>
                <w:sz w:val="20"/>
              </w:rPr>
              <w:t xml:space="preserve">0,5352</w:t>
            </w:r>
          </w:p>
        </w:tc>
        <w:tc>
          <w:tcPr>
            <w:tcW w:type="dxa" w:w="2430"/>
          </w:tcPr>
          <w:p>
            <w:pPr>
              <w:pStyle w:val="Compact"/>
              <w:keepNext/>
              <w:spacing w:line="240" w:lineRule="auto" w:after="0"/>
              <w:ind w:firstLine="0"/>
              <w:jc w:val="right"/>
            </w:pPr>
            <w:r>
              <w:rPr>
                <w:rFonts w:ascii="Arial" w:hAnsi="Arial"/>
                <w:b w:val="0"/>
                <w:bCs/>
                <w:sz w:val="20"/>
              </w:rPr>
              <w:t xml:space="preserve">0,0084</w:t>
            </w:r>
          </w:p>
        </w:tc>
      </w:tr>
      <w:tr>
        <w:trPr>
          <w:cantSplit/>
        </w:trPr>
        <w:tc>
          <w:tcPr>
            <w:tcW w:type="dxa" w:w="3787"/>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XGBoost (sem renda da UPA)</w:t>
            </w:r>
          </w:p>
        </w:tc>
        <w:tc>
          <w:tcPr>
            <w:tcW w:type="dxa" w:w="951"/>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0,6321</w:t>
            </w:r>
          </w:p>
        </w:tc>
        <w:tc>
          <w:tcPr>
            <w:tcW w:type="dxa" w:w="951"/>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0,4040</w:t>
            </w:r>
          </w:p>
        </w:tc>
        <w:tc>
          <w:tcPr>
            <w:tcW w:type="dxa" w:w="951"/>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0,5443</w:t>
            </w:r>
          </w:p>
        </w:tc>
        <w:tc>
          <w:tcPr>
            <w:tcW w:type="dxa" w:w="2430"/>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0,0081</w:t>
            </w:r>
          </w:p>
        </w:tc>
      </w:tr>
    </w:tbl>
    <w:bookmarkEnd w:id="101"/>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Tabela 13: R</w:t>
      </w:r>
      <w:r>
        <w:rPr>
          <w:rFonts w:ascii="Arial" w:hAnsi="Arial"/>
          <w:sz w:val="22"/>
          <w:vertAlign w:val="superscript"/>
        </w:rPr>
        <w:t xml:space="preserve">2</w:t>
      </w:r>
      <w:r>
        <w:rPr>
          <w:rFonts w:ascii="Arial" w:hAnsi="Arial"/>
          <w:sz w:val="22"/>
        </w:rPr>
        <w:t xml:space="preserve"> </w:t>
      </w:r>
      <w:r>
        <w:rPr>
          <w:rFonts w:ascii="Arial" w:hAnsi="Arial"/>
          <w:sz w:val="22"/>
        </w:rPr>
        <w:t xml:space="preserve">mais alto = melhor previsão; o</w:t>
      </w:r>
      <w:r>
        <w:rPr>
          <w:rFonts w:ascii="Arial" w:hAnsi="Arial"/>
          <w:sz w:val="22"/>
        </w:rPr>
        <w:t xml:space="preserve"> </w:t>
      </w:r>
      <w:r>
        <w:rPr>
          <w:rFonts w:ascii="Arial" w:hAnsi="Arial"/>
          <w:sz w:val="22"/>
        </w:rPr>
        <w:t xml:space="preserve">gap</w:t>
      </w:r>
      <w:r>
        <w:rPr>
          <w:rFonts w:ascii="Arial" w:hAnsi="Arial"/>
          <w:sz w:val="22"/>
        </w:rPr>
        <w:t xml:space="preserve"> </w:t>
      </w:r>
      <w:r>
        <w:rPr>
          <w:rFonts w:ascii="Arial" w:hAnsi="Arial"/>
          <w:sz w:val="22"/>
        </w:rPr>
        <w:t xml:space="preserve">treino–teste próximo de zero indica ausência de sobreajuste.</w:t>
      </w:r>
    </w:p>
    <w:p>
      <w:pPr>
        <w:pStyle w:val="BodyText"/>
        <w:spacing w:line="360" w:lineRule="auto" w:after="0"/>
        <w:ind w:firstLine="709"/>
        <w:jc w:val="both"/>
      </w:pPr>
      <w:r>
        <w:rPr>
          <w:rFonts w:ascii="Arial" w:hAnsi="Arial"/>
          <w:sz w:val="22"/>
        </w:rPr>
        <w:t xml:space="preserve">O</w:t>
      </w:r>
      <w:r>
        <w:rPr>
          <w:rFonts w:ascii="Arial" w:hAnsi="Arial"/>
          <w:sz w:val="22"/>
        </w:rPr>
        <w:t xml:space="preserve"> </w:t>
      </w:r>
      <m:oMath>
        <m:sSup>
          <m:e>
            <m:r>
              <m:t>R</m:t>
            </m:r>
          </m:e>
          <m:sup>
            <m:r>
              <m:t>2</m:t>
            </m:r>
          </m:sup>
        </m:sSup>
      </m:oMath>
      <w:r>
        <w:rPr>
          <w:rFonts w:ascii="Arial" w:hAnsi="Arial"/>
          <w:sz w:val="22"/>
        </w:rPr>
        <w:t xml:space="preserve"> </w:t>
      </w:r>
      <w:r>
        <w:rPr>
          <w:rFonts w:ascii="Arial" w:hAnsi="Arial"/>
          <w:sz w:val="22"/>
        </w:rPr>
        <w:t xml:space="preserve">de teste de 0</w:t>
      </w:r>
      <w:r>
        <w:rPr>
          <w:rFonts w:ascii="Arial" w:hAnsi="Arial"/>
          <w:sz w:val="22"/>
        </w:rPr>
        <w:t xml:space="preserve">,</w:t>
      </w:r>
      <w:r>
        <w:rPr>
          <w:rFonts w:ascii="Arial" w:hAnsi="Arial"/>
          <w:sz w:val="22"/>
        </w:rPr>
        <w:t xml:space="preserve">64 (XGBoost) é elevado para dados de rendimento individual,</w:t>
      </w:r>
      <w:r>
        <w:rPr>
          <w:rFonts w:ascii="Arial" w:hAnsi="Arial"/>
          <w:sz w:val="22"/>
        </w:rPr>
        <w:t xml:space="preserve"> </w:t>
      </w:r>
      <w:r>
        <w:rPr>
          <w:rFonts w:ascii="Arial" w:hAnsi="Arial"/>
          <w:sz w:val="22"/>
        </w:rPr>
        <w:t xml:space="preserve">onde a variância não observada (setor, cargo, tempo de serviço) responde</w:t>
      </w:r>
      <w:r>
        <w:rPr>
          <w:rFonts w:ascii="Arial" w:hAnsi="Arial"/>
          <w:sz w:val="22"/>
        </w:rPr>
        <w:t xml:space="preserve"> </w:t>
      </w:r>
      <w:r>
        <w:rPr>
          <w:rFonts w:ascii="Arial" w:hAnsi="Arial"/>
          <w:sz w:val="22"/>
        </w:rPr>
        <w:t xml:space="preserve">pela maior parte do resíduo.</w:t>
      </w:r>
    </w:p>
    <w:p>
      <w:pPr>
        <w:pStyle w:val="BodyText"/>
        <w:spacing w:line="360" w:lineRule="auto" w:after="0"/>
        <w:ind w:firstLine="709"/>
        <w:jc w:val="both"/>
      </w:pPr>
      <w:r>
        <w:rPr>
          <w:rFonts w:ascii="Arial" w:hAnsi="Arial"/>
          <w:b/>
          <w:bCs/>
          <w:sz w:val="22"/>
        </w:rPr>
        <w:t xml:space="preserve">Escolha de hiperparâmetros e validação cruzada.</w:t>
      </w:r>
      <w:r>
        <w:rPr>
          <w:rFonts w:ascii="Arial" w:hAnsi="Arial"/>
          <w:sz w:val="22"/>
        </w:rPr>
        <w:t xml:space="preserve"> </w:t>
      </w:r>
      <w:r>
        <w:rPr>
          <w:rFonts w:ascii="Arial" w:hAnsi="Arial"/>
          <w:sz w:val="22"/>
        </w:rPr>
        <w:t xml:space="preserve">A profundidade das árvores, a taxa de aprendizado e o número de iterações não foram</w:t>
      </w:r>
      <w:r>
        <w:rPr>
          <w:rFonts w:ascii="Arial" w:hAnsi="Arial"/>
          <w:sz w:val="22"/>
        </w:rPr>
        <w:t xml:space="preserve"> </w:t>
      </w:r>
      <w:r>
        <w:rPr>
          <w:rFonts w:ascii="Arial" w:hAnsi="Arial"/>
          <w:sz w:val="22"/>
        </w:rPr>
        <w:t xml:space="preserve">fixados por conveniência: seis configurações foram comparadas numa partição de validação</w:t>
      </w:r>
      <w:r>
        <w:rPr>
          <w:rFonts w:ascii="Arial" w:hAnsi="Arial"/>
          <w:sz w:val="22"/>
        </w:rPr>
        <w:t xml:space="preserve"> </w:t>
      </w:r>
      <w:r>
        <w:rPr>
          <w:rFonts w:ascii="Arial" w:hAnsi="Arial"/>
          <w:sz w:val="22"/>
        </w:rPr>
        <w:t xml:space="preserve">dentro</w:t>
      </w:r>
      <w:r>
        <w:rPr>
          <w:rFonts w:ascii="Arial" w:hAnsi="Arial"/>
          <w:sz w:val="22"/>
        </w:rPr>
        <w:t xml:space="preserve"> </w:t>
      </w:r>
      <w:r>
        <w:rPr>
          <w:rFonts w:ascii="Arial" w:hAnsi="Arial"/>
          <w:sz w:val="22"/>
        </w:rPr>
        <w:t xml:space="preserve">do conjunto de treino — o teste permanece intocado —, e a vencedora foi</w:t>
      </w:r>
      <w:r>
        <w:rPr>
          <w:rFonts w:ascii="Arial" w:hAnsi="Arial"/>
          <w:sz w:val="22"/>
        </w:rPr>
        <w:t xml:space="preserve"> </w:t>
      </w:r>
      <w:r>
        <w:rPr>
          <w:rFonts w:ascii="Arial" w:hAnsi="Arial"/>
          <w:sz w:val="22"/>
        </w:rPr>
        <w:t xml:space="preserve">submetida a validação cruzada</w:t>
      </w:r>
      <w:r>
        <w:rPr>
          <w:rFonts w:ascii="Arial" w:hAnsi="Arial"/>
          <w:sz w:val="22"/>
        </w:rPr>
        <w:t xml:space="preserve"> </w:t>
      </w:r>
      <m:oMath>
        <m:r>
          <m:t>k</m:t>
        </m:r>
      </m:oMath>
      <w:r>
        <w:rPr>
          <w:rFonts w:ascii="Arial" w:hAnsi="Arial"/>
          <w:sz w:val="22"/>
        </w:rPr>
        <w:t xml:space="preserve">-</w:t>
      </w:r>
      <w:r>
        <w:rPr>
          <w:rFonts w:ascii="Arial" w:hAnsi="Arial"/>
          <w:sz w:val="22"/>
        </w:rPr>
        <w:t xml:space="preserve">fold</w:t>
      </w:r>
      <w:r>
        <w:rPr>
          <w:rFonts w:ascii="Arial" w:hAnsi="Arial"/>
          <w:sz w:val="22"/>
        </w:rPr>
        <w:t xml:space="preserve"> </w:t>
      </w:r>
      <w:r>
        <w:rPr>
          <w:rFonts w:ascii="Arial" w:hAnsi="Arial"/>
          <w:sz w:val="22"/>
        </w:rPr>
        <w:t xml:space="preserve">(</w:t>
      </w:r>
      <m:oMath>
        <m:r>
          <m:t>k</m:t>
        </m:r>
        <m:r>
          <m:rPr>
            <m:sty m:val="p"/>
          </m:rPr>
          <m:t>=</m:t>
        </m:r>
        <m:r>
          <m:t>5</m:t>
        </m:r>
      </m:oMath>
      <w:r>
        <w:rPr>
          <w:rFonts w:ascii="Arial" w:hAnsi="Arial"/>
          <w:sz w:val="22"/>
        </w:rPr>
        <w:t xml:space="preserve">) no treino completo</w:t>
      </w:r>
      <w:r>
        <w:rPr>
          <w:rFonts w:ascii="Arial" w:hAnsi="Arial"/>
          <w:sz w:val="22"/>
        </w:rPr>
        <w:t xml:space="preserve"> </w:t>
      </w:r>
      <w:r>
        <w:rPr>
          <w:rFonts w:ascii="Arial" w:hAnsi="Arial"/>
          <w:sz w:val="22"/>
        </w:rPr>
        <w:t xml:space="preserve">(Tabela 14). A configuração escolhida melhora o</w:t>
      </w:r>
      <w:r>
        <w:rPr>
          <w:rFonts w:ascii="Arial" w:hAnsi="Arial"/>
          <w:sz w:val="22"/>
        </w:rPr>
        <w:t xml:space="preserve"> </w:t>
      </w:r>
      <m:oMath>
        <m:sSup>
          <m:e>
            <m:r>
              <m:t>R</m:t>
            </m:r>
          </m:e>
          <m:sup>
            <m:r>
              <m:t>2</m:t>
            </m:r>
          </m:sup>
        </m:sSup>
      </m:oMath>
      <w:r>
        <w:rPr>
          <w:rFonts w:ascii="Arial" w:hAnsi="Arial"/>
          <w:sz w:val="22"/>
        </w:rPr>
        <w:t xml:space="preserve"> </w:t>
      </w:r>
      <w:r>
        <w:rPr>
          <w:rFonts w:ascii="Arial" w:hAnsi="Arial"/>
          <w:sz w:val="22"/>
        </w:rPr>
        <w:t xml:space="preserve">em relação à configuração de referência</w:t>
      </w:r>
      <w:r>
        <w:rPr>
          <w:rFonts w:ascii="Arial" w:hAnsi="Arial"/>
          <w:sz w:val="22"/>
        </w:rPr>
        <w:t xml:space="preserve"> </w:t>
      </w:r>
      <w:r>
        <w:rPr>
          <w:rFonts w:ascii="Arial" w:hAnsi="Arial"/>
          <w:sz w:val="22"/>
        </w:rPr>
        <w:t xml:space="preserve">(profundidade 6), com sobreajuste maior, mas ainda desprezível</w:t>
      </w:r>
      <w:r>
        <w:rPr>
          <w:rFonts w:ascii="Arial" w:hAnsi="Arial"/>
          <w:sz w:val="22"/>
        </w:rPr>
        <w:t xml:space="preserve"> </w:t>
      </w:r>
      <w:r>
        <w:rPr>
          <w:rFonts w:ascii="Arial" w:hAnsi="Arial"/>
          <w:sz w:val="22"/>
        </w:rPr>
        <w:t xml:space="preserve">(Tabela 14).</w:t>
      </w:r>
      <w:r>
        <w:rPr>
          <w:rStyle w:val="FootnoteReference"/>
          <w:rFonts w:ascii="Arial" w:hAnsi="Arial"/>
          <w:sz w:val="22"/>
          <w:vertAlign w:val="superscript"/>
        </w:rPr>
        <w:footnoteReference w:id="102"/>
      </w:r>
      <w:r>
        <w:rPr>
          <w:rFonts w:ascii="Arial" w:hAnsi="Arial"/>
          <w:sz w:val="22"/>
        </w:rPr>
        <w:t xml:space="preserve"> </w:t>
      </w:r>
      <w:r>
        <w:rPr>
          <w:rFonts w:ascii="Arial" w:hAnsi="Arial"/>
          <w:sz w:val="22"/>
        </w:rPr>
        <w:t xml:space="preserve">Com um treino desse tamanho, a variação entre</w:t>
      </w:r>
      <w:r>
        <w:rPr>
          <w:rFonts w:ascii="Arial" w:hAnsi="Arial"/>
          <w:sz w:val="22"/>
        </w:rPr>
        <w:t xml:space="preserve"> </w:t>
      </w:r>
      <w:r>
        <w:rPr>
          <w:rFonts w:ascii="Arial" w:hAnsi="Arial"/>
          <w:sz w:val="22"/>
        </w:rPr>
        <w:t xml:space="preserve">folds</w:t>
      </w:r>
      <w:r>
        <w:rPr>
          <w:rFonts w:ascii="Arial" w:hAnsi="Arial"/>
          <w:sz w:val="22"/>
        </w:rPr>
        <w:t xml:space="preserve"> </w:t>
      </w:r>
      <w:r>
        <w:rPr>
          <w:rFonts w:ascii="Arial" w:hAnsi="Arial"/>
          <w:sz w:val="22"/>
        </w:rPr>
        <w:t xml:space="preserve">cai na quarta casa decimal: aqui a validação cruzada serve menos para</w:t>
      </w:r>
      <w:r>
        <w:rPr>
          <w:rFonts w:ascii="Arial" w:hAnsi="Arial"/>
          <w:sz w:val="22"/>
        </w:rPr>
        <w:t xml:space="preserve"> </w:t>
      </w:r>
      <w:r>
        <w:rPr>
          <w:rFonts w:ascii="Arial" w:hAnsi="Arial"/>
          <w:sz w:val="22"/>
        </w:rPr>
        <w:t xml:space="preserve">estimar incerteza e mais para justificar a especificação.</w:t>
      </w:r>
    </w:p>
    <w:bookmarkStart w:id="103" w:name="tab:ml_cv"/>
    <w:p>
      <w:pPr>
        <w:pStyle w:val="TableCaption"/>
        <w:keepNext/>
        <w:keepLines/>
        <w:spacing w:line="240" w:lineRule="auto" w:before="240" w:after="40"/>
        <w:ind w:firstLine="0"/>
        <w:jc w:val="both"/>
      </w:pPr>
      <w:r>
        <w:rPr>
          <w:rFonts w:ascii="Arial" w:hAnsi="Arial"/>
          <w:sz w:val="22"/>
        </w:rPr>
        <w:t xml:space="preserve">Tabela 14. Escolha de hiperparâmetros e validação cruzada do XGBoost (Alencar, 2024)</w:t>
      </w:r>
      <w:r>
        <w:rPr>
          <w:rFonts w:ascii="Arial" w:hAnsi="Arial"/>
          <w:sz w:val="22"/>
        </w:rPr>
        <w:t xml:space="preserve"> </w:t>
      </w:r>
      <w:r>
        <w:rPr>
          <w:rFonts w:ascii="Arial" w:hAnsi="Arial"/>
          <w:sz w:val="22"/>
        </w:rPr>
        <w:t xml:space="preserve">(Géron, 2021)</w:t>
      </w:r>
      <w:r>
        <w:rPr>
          <w:rFonts w:ascii="Arial" w:hAnsi="Arial"/>
          <w:sz w:val="22"/>
        </w:rPr>
        <w:t xml:space="preserve">. Painel A: seis configurações comparadas numa partição de validação</w:t>
      </w:r>
      <w:r>
        <w:rPr>
          <w:rFonts w:ascii="Arial" w:hAnsi="Arial"/>
          <w:sz w:val="22"/>
        </w:rPr>
        <w:t xml:space="preserve"> </w:t>
      </w:r>
      <w:r>
        <w:rPr>
          <w:rFonts w:ascii="Arial" w:hAnsi="Arial"/>
          <w:sz w:val="22"/>
        </w:rPr>
        <w:t xml:space="preserve">dentro</w:t>
      </w:r>
      <w:r>
        <w:rPr>
          <w:rFonts w:ascii="Arial" w:hAnsi="Arial"/>
          <w:sz w:val="22"/>
        </w:rPr>
        <w:t xml:space="preserve"> </w:t>
      </w:r>
      <w:r>
        <w:rPr>
          <w:rFonts w:ascii="Arial" w:hAnsi="Arial"/>
          <w:sz w:val="22"/>
        </w:rPr>
        <w:t xml:space="preserve">do treino — o conjunto de teste permanece intocado. Painel B: validação</w:t>
      </w:r>
      <w:r>
        <w:rPr>
          <w:rFonts w:ascii="Arial" w:hAnsi="Arial"/>
          <w:sz w:val="22"/>
        </w:rPr>
        <w:t xml:space="preserve"> </w:t>
      </w:r>
      <w:r>
        <w:rPr>
          <w:rFonts w:ascii="Arial" w:hAnsi="Arial"/>
          <w:sz w:val="22"/>
        </w:rPr>
        <w:t xml:space="preserve">cruzada</w:t>
      </w:r>
      <w:r>
        <w:rPr>
          <w:rFonts w:ascii="Arial" w:hAnsi="Arial"/>
          <w:sz w:val="22"/>
        </w:rPr>
        <w:t xml:space="preserve"> </w:t>
      </w:r>
      <m:oMath>
        <m:r>
          <m:t>k</m:t>
        </m:r>
      </m:oMath>
      <w:r>
        <w:rPr>
          <w:rFonts w:ascii="Arial" w:hAnsi="Arial"/>
          <w:sz w:val="22"/>
        </w:rPr>
        <w:t xml:space="preserve">-</w:t>
      </w:r>
      <w:r>
        <w:rPr>
          <w:rFonts w:ascii="Arial" w:hAnsi="Arial"/>
          <w:sz w:val="22"/>
        </w:rPr>
        <w:t xml:space="preserve">fold</w:t>
      </w:r>
      <w:r>
        <w:rPr>
          <w:rFonts w:ascii="Arial" w:hAnsi="Arial"/>
          <w:sz w:val="22"/>
        </w:rPr>
        <w:t xml:space="preserve"> </w:t>
      </w:r>
      <w:r>
        <w:rPr>
          <w:rFonts w:ascii="Arial" w:hAnsi="Arial"/>
          <w:sz w:val="22"/>
        </w:rPr>
        <w:t xml:space="preserve">(</w:t>
      </w:r>
      <m:oMath>
        <m:r>
          <m:t>k</m:t>
        </m:r>
        <m:r>
          <m:rPr>
            <m:sty m:val="p"/>
          </m:rPr>
          <m:t>=</m:t>
        </m:r>
        <m:r>
          <m:t>5</m:t>
        </m:r>
      </m:oMath>
      <w:r>
        <w:rPr>
          <w:rFonts w:ascii="Arial" w:hAnsi="Arial"/>
          <w:sz w:val="22"/>
        </w:rPr>
        <w:t xml:space="preserve">) no treino completo, com média e</w:t>
      </w:r>
      <w:r>
        <w:rPr>
          <w:rFonts w:ascii="Arial" w:hAnsi="Arial"/>
          <w:sz w:val="22"/>
        </w:rPr>
        <w:t xml:space="preserve"> </w:t>
      </w:r>
      <w:r>
        <w:rPr>
          <w:rFonts w:ascii="Arial" w:hAnsi="Arial"/>
          <w:sz w:val="22"/>
        </w:rPr>
        <w:t xml:space="preserve">desvio-padrão entre</w:t>
      </w:r>
      <w:r>
        <w:rPr>
          <w:rFonts w:ascii="Arial" w:hAnsi="Arial"/>
          <w:sz w:val="22"/>
        </w:rPr>
        <w:t xml:space="preserve"> </w:t>
      </w:r>
      <w:r>
        <w:rPr>
          <w:rFonts w:ascii="Arial" w:hAnsi="Arial"/>
          <w:sz w:val="22"/>
        </w:rPr>
        <w:t xml:space="preserve">folds</w:t>
      </w:r>
      <w:r>
        <w:rPr>
          <w:rFonts w:ascii="Arial" w:hAnsi="Arial"/>
          <w:sz w:val="22"/>
        </w:rPr>
        <w:t xml:space="preserve">. População completa: 6.159.418 observações de</w:t>
      </w:r>
      <w:r>
        <w:rPr>
          <w:rFonts w:ascii="Arial" w:hAnsi="Arial"/>
          <w:sz w:val="22"/>
        </w:rPr>
        <w:t xml:space="preserve"> </w:t>
      </w:r>
      <w:r>
        <w:rPr>
          <w:rFonts w:ascii="Arial" w:hAnsi="Arial"/>
          <w:sz w:val="22"/>
        </w:rPr>
        <w:t xml:space="preserve">treino e 1.539.855 de teste; nenhuma amostragem.</w:t>
      </w:r>
    </w:p>
    <w:tbl>
      <w:tblPr>
        <w:tblStyle w:val="Table"/>
        <w:tblW w:type="auto" w:w="0"/>
        <w:tblLayout w:type="fixed"/>
        <w:tblLook w:firstRow="1" w:lastRow="0" w:firstColumn="0" w:lastColumn="0" w:noHBand="0" w:noVBand="0" w:val="0020"/>
        <w:tblCaption w:val="Tabela 14. Escolha de hiperparâmetros e validação cruzada do XGBoost (Alencar, 2024) (Géron, 2021). Painel A: seis configurações comparadas numa partição de validação dentro do treino — o conjunto de teste permanece intocado. Painel B: validação cruzada k-fold (k=5) no treino completo, com média e desvio-padrão entre folds. População completa: 6.159.418 observações de treino e 1.539.855 de teste; nenhuma amostragem."/>
        <w:tblBorders>
          <w:top w:val="nil"/>
          <w:left w:val="nil"/>
          <w:bottom w:val="nil"/>
          <w:right w:val="nil"/>
          <w:insideH w:val="nil"/>
          <w:insideV w:val="nil"/>
        </w:tblBorders>
      </w:tblPr>
      <w:tblGrid>
        <w:gridCol w:w="1647"/>
        <w:gridCol w:w="1611"/>
        <w:gridCol w:w="1684"/>
        <w:gridCol w:w="1299"/>
        <w:gridCol w:w="1299"/>
        <w:gridCol w:w="1531"/>
      </w:tblGrid>
      <w:tr>
        <w:trPr>
          <w:tblHeader w:val="on"/>
          <w:cantSplit/>
        </w:trPr>
        <w:tc>
          <w:tcPr>
            <w:tcW w:type="dxa" w:w="1531"/>
            <w:gridSpan w:val="6"/>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bCs/>
                <w:sz w:val="20"/>
              </w:rPr>
              <w:t xml:space="preserve">A. Busca na partição de validação</w:t>
            </w:r>
          </w:p>
        </w:tc>
      </w:tr>
      <w:tr>
        <w:trPr>
          <w:cantSplit/>
        </w:trPr>
        <w:tc>
          <w:tcPr>
            <w:tcW w:type="dxa" w:w="1647"/>
          </w:tcPr>
          <w:p>
            <w:pPr>
              <w:pStyle w:val="Compact"/>
              <w:keepNext/>
              <w:spacing w:line="240" w:lineRule="auto" w:after="0"/>
              <w:ind w:firstLine="0"/>
              <w:jc w:val="left"/>
            </w:pPr>
            <w:r>
              <w:rPr>
                <w:rFonts w:ascii="Arial" w:hAnsi="Arial"/>
                <w:b w:val="0"/>
                <w:sz w:val="20"/>
              </w:rPr>
              <w:t xml:space="preserve">Profundidade</w:t>
            </w:r>
          </w:p>
        </w:tc>
        <w:tc>
          <w:tcPr>
            <w:tcW w:type="dxa" w:w="1611"/>
          </w:tcPr>
          <w:p>
            <w:pPr>
              <w:pStyle w:val="Compact"/>
              <w:keepNext/>
              <w:spacing w:line="240" w:lineRule="auto" w:after="0"/>
              <w:ind w:firstLine="0"/>
              <w:jc w:val="left"/>
            </w:pPr>
            <w:r>
              <w:rPr>
                <w:rFonts w:ascii="Arial" w:hAnsi="Arial"/>
                <w:b w:val="0"/>
                <w:sz w:val="20"/>
              </w:rPr>
              <w:t xml:space="preserve">Taxa de aprendizado</w:t>
            </w:r>
          </w:p>
        </w:tc>
        <w:tc>
          <w:tcPr>
            <w:tcW w:type="dxa" w:w="1684"/>
          </w:tcPr>
          <w:p>
            <w:pPr>
              <w:pStyle w:val="Compact"/>
              <w:keepNext/>
              <w:spacing w:line="240" w:lineRule="auto" w:after="0"/>
              <w:ind w:firstLine="0"/>
              <w:jc w:val="left"/>
            </w:pPr>
            <w:r>
              <w:rPr>
                <w:rFonts w:ascii="Arial" w:hAnsi="Arial"/>
                <w:b w:val="0"/>
                <w:sz w:val="20"/>
              </w:rPr>
              <w:t xml:space="preserve">Árvores</w:t>
            </w:r>
          </w:p>
        </w:tc>
        <w:tc>
          <w:tcPr>
            <w:tcW w:type="dxa" w:w="1299"/>
          </w:tcPr>
          <w:p>
            <w:pPr>
              <w:pStyle w:val="Compact"/>
              <w:keepNext/>
              <w:spacing w:line="240" w:lineRule="auto" w:after="0"/>
              <w:ind w:firstLine="0"/>
              <w:jc w:val="left"/>
            </w:pPr>
            <w:r>
              <w:rPr>
                <w:rFonts w:ascii="Arial" w:hAnsi="Arial"/>
                <w:b w:val="0"/>
                <w:i/>
                <w:iCs/>
                <w:sz w:val="20"/>
              </w:rPr>
              <w:t xml:space="preserve">R</w:t>
            </w:r>
            <w:r>
              <w:rPr>
                <w:rFonts w:ascii="Arial" w:hAnsi="Arial"/>
                <w:b w:val="0"/>
                <w:sz w:val="20"/>
                <w:vertAlign w:val="superscript"/>
              </w:rPr>
              <w:t xml:space="preserve">2</w:t>
            </w:r>
          </w:p>
        </w:tc>
        <w:tc>
          <w:tcPr>
            <w:tcW w:type="dxa" w:w="1299"/>
          </w:tcPr>
          <w:p>
            <w:pPr>
              <w:pStyle w:val="Compact"/>
              <w:keepNext/>
              <w:spacing w:line="240" w:lineRule="auto" w:after="0"/>
              <w:ind w:firstLine="0"/>
              <w:jc w:val="left"/>
            </w:pPr>
            <w:r>
              <w:rPr>
                <w:rFonts w:ascii="Arial" w:hAnsi="Arial"/>
                <w:b w:val="0"/>
                <w:sz w:val="20"/>
              </w:rPr>
              <w:t xml:space="preserve">MAE</w:t>
            </w:r>
          </w:p>
        </w:tc>
        <w:tc>
          <w:tcPr>
            <w:tcW w:type="dxa" w:w="1531"/>
          </w:tcPr>
          <w:p>
            <w:pPr>
              <w:pStyle w:val="Compact"/>
              <w:keepNext/>
              <w:spacing w:line="240" w:lineRule="auto" w:after="0"/>
              <w:ind w:firstLine="0"/>
              <w:jc w:val="left"/>
            </w:pPr>
            <w:r>
              <w:rPr>
                <w:rFonts w:ascii="Arial" w:hAnsi="Arial"/>
                <w:b w:val="0"/>
                <w:sz w:val="20"/>
              </w:rPr>
              <w:t xml:space="preserve">Sobreajuste</w:t>
            </w:r>
          </w:p>
        </w:tc>
      </w:tr>
      <w:tr>
        <w:trPr>
          <w:cantSplit/>
        </w:trPr>
        <w:tc>
          <w:tcPr>
            <w:tcW w:type="dxa" w:w="1647"/>
          </w:tcPr>
          <w:p>
            <w:pPr>
              <w:pStyle w:val="Compact"/>
              <w:keepNext/>
              <w:spacing w:line="240" w:lineRule="auto" w:after="0"/>
              <w:ind w:firstLine="0"/>
              <w:jc w:val="left"/>
            </w:pPr>
            <w:r>
              <w:rPr>
                <w:rFonts w:ascii="Arial" w:hAnsi="Arial"/>
                <w:b w:val="0"/>
                <w:bCs/>
                <w:sz w:val="20"/>
              </w:rPr>
              <w:t xml:space="preserve">10</w:t>
            </w:r>
          </w:p>
        </w:tc>
        <w:tc>
          <w:tcPr>
            <w:tcW w:type="dxa" w:w="1611"/>
          </w:tcPr>
          <w:p>
            <w:pPr>
              <w:pStyle w:val="Compact"/>
              <w:keepNext/>
              <w:spacing w:line="240" w:lineRule="auto" w:after="0"/>
              <w:ind w:firstLine="0"/>
              <w:jc w:val="right"/>
            </w:pPr>
            <w:r>
              <w:rPr>
                <w:rFonts w:ascii="Arial" w:hAnsi="Arial"/>
                <w:b w:val="0"/>
                <w:sz w:val="20"/>
              </w:rPr>
              <w:t xml:space="preserve">0,05</w:t>
            </w:r>
          </w:p>
        </w:tc>
        <w:tc>
          <w:tcPr>
            <w:tcW w:type="dxa" w:w="1684"/>
          </w:tcPr>
          <w:p>
            <w:pPr>
              <w:pStyle w:val="Compact"/>
              <w:keepNext/>
              <w:spacing w:line="240" w:lineRule="auto" w:after="0"/>
              <w:ind w:firstLine="0"/>
              <w:jc w:val="right"/>
            </w:pPr>
            <w:r>
              <w:rPr>
                <w:rFonts w:ascii="Arial" w:hAnsi="Arial"/>
                <w:b w:val="0"/>
                <w:sz w:val="20"/>
              </w:rPr>
              <w:t xml:space="preserve">300</w:t>
            </w:r>
          </w:p>
        </w:tc>
        <w:tc>
          <w:tcPr>
            <w:tcW w:type="dxa" w:w="1299"/>
          </w:tcPr>
          <w:p>
            <w:pPr>
              <w:pStyle w:val="Compact"/>
              <w:keepNext/>
              <w:spacing w:line="240" w:lineRule="auto" w:after="0"/>
              <w:ind w:firstLine="0"/>
              <w:jc w:val="right"/>
            </w:pPr>
            <w:r>
              <w:rPr>
                <w:rFonts w:ascii="Arial" w:hAnsi="Arial"/>
                <w:b w:val="0"/>
                <w:sz w:val="20"/>
              </w:rPr>
              <w:t xml:space="preserve">0,6427</w:t>
            </w:r>
          </w:p>
        </w:tc>
        <w:tc>
          <w:tcPr>
            <w:tcW w:type="dxa" w:w="1299"/>
          </w:tcPr>
          <w:p>
            <w:pPr>
              <w:pStyle w:val="Compact"/>
              <w:keepNext/>
              <w:spacing w:line="240" w:lineRule="auto" w:after="0"/>
              <w:ind w:firstLine="0"/>
              <w:jc w:val="right"/>
            </w:pPr>
            <w:r>
              <w:rPr>
                <w:rFonts w:ascii="Arial" w:hAnsi="Arial"/>
                <w:b w:val="0"/>
                <w:sz w:val="20"/>
              </w:rPr>
              <w:t xml:space="preserve">0,3977</w:t>
            </w:r>
          </w:p>
        </w:tc>
        <w:tc>
          <w:tcPr>
            <w:tcW w:type="dxa" w:w="1531"/>
          </w:tcPr>
          <w:p>
            <w:pPr>
              <w:pStyle w:val="Compact"/>
              <w:keepNext/>
              <w:spacing w:line="240" w:lineRule="auto" w:after="0"/>
              <w:ind w:firstLine="0"/>
              <w:jc w:val="right"/>
            </w:pPr>
            <w:r>
              <w:rPr>
                <w:rFonts w:ascii="Arial" w:hAnsi="Arial"/>
                <w:b w:val="0"/>
                <w:sz w:val="20"/>
              </w:rPr>
              <w:t xml:space="preserve">0,0120</w:t>
            </w:r>
          </w:p>
        </w:tc>
      </w:tr>
      <w:tr>
        <w:trPr>
          <w:cantSplit/>
        </w:trPr>
        <w:tc>
          <w:tcPr>
            <w:tcW w:type="dxa" w:w="1647"/>
          </w:tcPr>
          <w:p>
            <w:pPr>
              <w:pStyle w:val="Compact"/>
              <w:keepNext/>
              <w:spacing w:line="240" w:lineRule="auto" w:after="0"/>
              <w:ind w:firstLine="0"/>
              <w:jc w:val="left"/>
            </w:pPr>
            <w:r>
              <w:rPr>
                <w:rFonts w:ascii="Arial" w:hAnsi="Arial"/>
                <w:b w:val="0"/>
                <w:sz w:val="20"/>
              </w:rPr>
              <w:t xml:space="preserve">8</w:t>
            </w:r>
          </w:p>
        </w:tc>
        <w:tc>
          <w:tcPr>
            <w:tcW w:type="dxa" w:w="1611"/>
          </w:tcPr>
          <w:p>
            <w:pPr>
              <w:pStyle w:val="Compact"/>
              <w:keepNext/>
              <w:spacing w:line="240" w:lineRule="auto" w:after="0"/>
              <w:ind w:firstLine="0"/>
              <w:jc w:val="right"/>
            </w:pPr>
            <w:r>
              <w:rPr>
                <w:rFonts w:ascii="Arial" w:hAnsi="Arial"/>
                <w:b w:val="0"/>
                <w:sz w:val="20"/>
              </w:rPr>
              <w:t xml:space="preserve">0,05</w:t>
            </w:r>
          </w:p>
        </w:tc>
        <w:tc>
          <w:tcPr>
            <w:tcW w:type="dxa" w:w="1684"/>
          </w:tcPr>
          <w:p>
            <w:pPr>
              <w:pStyle w:val="Compact"/>
              <w:keepNext/>
              <w:spacing w:line="240" w:lineRule="auto" w:after="0"/>
              <w:ind w:firstLine="0"/>
              <w:jc w:val="right"/>
            </w:pPr>
            <w:r>
              <w:rPr>
                <w:rFonts w:ascii="Arial" w:hAnsi="Arial"/>
                <w:b w:val="0"/>
                <w:sz w:val="20"/>
              </w:rPr>
              <w:t xml:space="preserve">600</w:t>
            </w:r>
          </w:p>
        </w:tc>
        <w:tc>
          <w:tcPr>
            <w:tcW w:type="dxa" w:w="1299"/>
          </w:tcPr>
          <w:p>
            <w:pPr>
              <w:pStyle w:val="Compact"/>
              <w:keepNext/>
              <w:spacing w:line="240" w:lineRule="auto" w:after="0"/>
              <w:ind w:firstLine="0"/>
              <w:jc w:val="right"/>
            </w:pPr>
            <w:r>
              <w:rPr>
                <w:rFonts w:ascii="Arial" w:hAnsi="Arial"/>
                <w:b w:val="0"/>
                <w:sz w:val="20"/>
              </w:rPr>
              <w:t xml:space="preserve">0,6395</w:t>
            </w:r>
          </w:p>
        </w:tc>
        <w:tc>
          <w:tcPr>
            <w:tcW w:type="dxa" w:w="1299"/>
          </w:tcPr>
          <w:p>
            <w:pPr>
              <w:pStyle w:val="Compact"/>
              <w:keepNext/>
              <w:spacing w:line="240" w:lineRule="auto" w:after="0"/>
              <w:ind w:firstLine="0"/>
              <w:jc w:val="right"/>
            </w:pPr>
            <w:r>
              <w:rPr>
                <w:rFonts w:ascii="Arial" w:hAnsi="Arial"/>
                <w:b w:val="0"/>
                <w:sz w:val="20"/>
              </w:rPr>
              <w:t xml:space="preserve">0,3995</w:t>
            </w:r>
          </w:p>
        </w:tc>
        <w:tc>
          <w:tcPr>
            <w:tcW w:type="dxa" w:w="1531"/>
          </w:tcPr>
          <w:p>
            <w:pPr>
              <w:pStyle w:val="Compact"/>
              <w:keepNext/>
              <w:spacing w:line="240" w:lineRule="auto" w:after="0"/>
              <w:ind w:firstLine="0"/>
              <w:jc w:val="right"/>
            </w:pPr>
            <w:r>
              <w:rPr>
                <w:rFonts w:ascii="Arial" w:hAnsi="Arial"/>
                <w:b w:val="0"/>
                <w:sz w:val="20"/>
              </w:rPr>
              <w:t xml:space="preserve">0,0075</w:t>
            </w:r>
          </w:p>
        </w:tc>
      </w:tr>
      <w:tr>
        <w:trPr>
          <w:cantSplit/>
        </w:trPr>
        <w:tc>
          <w:tcPr>
            <w:tcW w:type="dxa" w:w="1647"/>
          </w:tcPr>
          <w:p>
            <w:pPr>
              <w:pStyle w:val="Compact"/>
              <w:keepNext/>
              <w:spacing w:line="240" w:lineRule="auto" w:after="0"/>
              <w:ind w:firstLine="0"/>
              <w:jc w:val="left"/>
            </w:pPr>
            <w:r>
              <w:rPr>
                <w:rFonts w:ascii="Arial" w:hAnsi="Arial"/>
                <w:b w:val="0"/>
                <w:sz w:val="20"/>
              </w:rPr>
              <w:t xml:space="preserve">8</w:t>
            </w:r>
          </w:p>
        </w:tc>
        <w:tc>
          <w:tcPr>
            <w:tcW w:type="dxa" w:w="1611"/>
          </w:tcPr>
          <w:p>
            <w:pPr>
              <w:pStyle w:val="Compact"/>
              <w:keepNext/>
              <w:spacing w:line="240" w:lineRule="auto" w:after="0"/>
              <w:ind w:firstLine="0"/>
              <w:jc w:val="right"/>
            </w:pPr>
            <w:r>
              <w:rPr>
                <w:rFonts w:ascii="Arial" w:hAnsi="Arial"/>
                <w:b w:val="0"/>
                <w:sz w:val="20"/>
              </w:rPr>
              <w:t xml:space="preserve">0,05</w:t>
            </w:r>
          </w:p>
        </w:tc>
        <w:tc>
          <w:tcPr>
            <w:tcW w:type="dxa" w:w="1684"/>
          </w:tcPr>
          <w:p>
            <w:pPr>
              <w:pStyle w:val="Compact"/>
              <w:keepNext/>
              <w:spacing w:line="240" w:lineRule="auto" w:after="0"/>
              <w:ind w:firstLine="0"/>
              <w:jc w:val="right"/>
            </w:pPr>
            <w:r>
              <w:rPr>
                <w:rFonts w:ascii="Arial" w:hAnsi="Arial"/>
                <w:b w:val="0"/>
                <w:sz w:val="20"/>
              </w:rPr>
              <w:t xml:space="preserve">300</w:t>
            </w:r>
          </w:p>
        </w:tc>
        <w:tc>
          <w:tcPr>
            <w:tcW w:type="dxa" w:w="1299"/>
          </w:tcPr>
          <w:p>
            <w:pPr>
              <w:pStyle w:val="Compact"/>
              <w:keepNext/>
              <w:spacing w:line="240" w:lineRule="auto" w:after="0"/>
              <w:ind w:firstLine="0"/>
              <w:jc w:val="right"/>
            </w:pPr>
            <w:r>
              <w:rPr>
                <w:rFonts w:ascii="Arial" w:hAnsi="Arial"/>
                <w:b w:val="0"/>
                <w:sz w:val="20"/>
              </w:rPr>
              <w:t xml:space="preserve">0,6352</w:t>
            </w:r>
          </w:p>
        </w:tc>
        <w:tc>
          <w:tcPr>
            <w:tcW w:type="dxa" w:w="1299"/>
          </w:tcPr>
          <w:p>
            <w:pPr>
              <w:pStyle w:val="Compact"/>
              <w:keepNext/>
              <w:spacing w:line="240" w:lineRule="auto" w:after="0"/>
              <w:ind w:firstLine="0"/>
              <w:jc w:val="right"/>
            </w:pPr>
            <w:r>
              <w:rPr>
                <w:rFonts w:ascii="Arial" w:hAnsi="Arial"/>
                <w:b w:val="0"/>
                <w:sz w:val="20"/>
              </w:rPr>
              <w:t xml:space="preserve">0,4022</w:t>
            </w:r>
          </w:p>
        </w:tc>
        <w:tc>
          <w:tcPr>
            <w:tcW w:type="dxa" w:w="1531"/>
          </w:tcPr>
          <w:p>
            <w:pPr>
              <w:pStyle w:val="Compact"/>
              <w:keepNext/>
              <w:spacing w:line="240" w:lineRule="auto" w:after="0"/>
              <w:ind w:firstLine="0"/>
              <w:jc w:val="right"/>
            </w:pPr>
            <w:r>
              <w:rPr>
                <w:rFonts w:ascii="Arial" w:hAnsi="Arial"/>
                <w:b w:val="0"/>
                <w:sz w:val="20"/>
              </w:rPr>
              <w:t xml:space="preserve">0,0046</w:t>
            </w:r>
          </w:p>
        </w:tc>
      </w:tr>
      <w:tr>
        <w:trPr>
          <w:cantSplit/>
        </w:trPr>
        <w:tc>
          <w:tcPr>
            <w:tcW w:type="dxa" w:w="1647"/>
          </w:tcPr>
          <w:p>
            <w:pPr>
              <w:pStyle w:val="Compact"/>
              <w:keepNext/>
              <w:spacing w:line="240" w:lineRule="auto" w:after="0"/>
              <w:ind w:firstLine="0"/>
              <w:jc w:val="left"/>
            </w:pPr>
            <w:r>
              <w:rPr>
                <w:rFonts w:ascii="Arial" w:hAnsi="Arial"/>
                <w:b w:val="0"/>
                <w:sz w:val="20"/>
              </w:rPr>
              <w:t xml:space="preserve">6</w:t>
            </w:r>
          </w:p>
        </w:tc>
        <w:tc>
          <w:tcPr>
            <w:tcW w:type="dxa" w:w="1611"/>
          </w:tcPr>
          <w:p>
            <w:pPr>
              <w:pStyle w:val="Compact"/>
              <w:keepNext/>
              <w:spacing w:line="240" w:lineRule="auto" w:after="0"/>
              <w:ind w:firstLine="0"/>
              <w:jc w:val="right"/>
            </w:pPr>
            <w:r>
              <w:rPr>
                <w:rFonts w:ascii="Arial" w:hAnsi="Arial"/>
                <w:b w:val="0"/>
                <w:sz w:val="20"/>
              </w:rPr>
              <w:t xml:space="preserve">0,10</w:t>
            </w:r>
          </w:p>
        </w:tc>
        <w:tc>
          <w:tcPr>
            <w:tcW w:type="dxa" w:w="1684"/>
          </w:tcPr>
          <w:p>
            <w:pPr>
              <w:pStyle w:val="Compact"/>
              <w:keepNext/>
              <w:spacing w:line="240" w:lineRule="auto" w:after="0"/>
              <w:ind w:firstLine="0"/>
              <w:jc w:val="right"/>
            </w:pPr>
            <w:r>
              <w:rPr>
                <w:rFonts w:ascii="Arial" w:hAnsi="Arial"/>
                <w:b w:val="0"/>
                <w:sz w:val="20"/>
              </w:rPr>
              <w:t xml:space="preserve">300</w:t>
            </w:r>
          </w:p>
        </w:tc>
        <w:tc>
          <w:tcPr>
            <w:tcW w:type="dxa" w:w="1299"/>
          </w:tcPr>
          <w:p>
            <w:pPr>
              <w:pStyle w:val="Compact"/>
              <w:keepNext/>
              <w:spacing w:line="240" w:lineRule="auto" w:after="0"/>
              <w:ind w:firstLine="0"/>
              <w:jc w:val="right"/>
            </w:pPr>
            <w:r>
              <w:rPr>
                <w:rFonts w:ascii="Arial" w:hAnsi="Arial"/>
                <w:b w:val="0"/>
                <w:sz w:val="20"/>
              </w:rPr>
              <w:t xml:space="preserve">0,6322</w:t>
            </w:r>
          </w:p>
        </w:tc>
        <w:tc>
          <w:tcPr>
            <w:tcW w:type="dxa" w:w="1299"/>
          </w:tcPr>
          <w:p>
            <w:pPr>
              <w:pStyle w:val="Compact"/>
              <w:keepNext/>
              <w:spacing w:line="240" w:lineRule="auto" w:after="0"/>
              <w:ind w:firstLine="0"/>
              <w:jc w:val="right"/>
            </w:pPr>
            <w:r>
              <w:rPr>
                <w:rFonts w:ascii="Arial" w:hAnsi="Arial"/>
                <w:b w:val="0"/>
                <w:sz w:val="20"/>
              </w:rPr>
              <w:t xml:space="preserve">0,4041</w:t>
            </w:r>
          </w:p>
        </w:tc>
        <w:tc>
          <w:tcPr>
            <w:tcW w:type="dxa" w:w="1531"/>
          </w:tcPr>
          <w:p>
            <w:pPr>
              <w:pStyle w:val="Compact"/>
              <w:keepNext/>
              <w:spacing w:line="240" w:lineRule="auto" w:after="0"/>
              <w:ind w:firstLine="0"/>
              <w:jc w:val="right"/>
            </w:pPr>
            <w:r>
              <w:rPr>
                <w:rFonts w:ascii="Arial" w:hAnsi="Arial"/>
                <w:b w:val="0"/>
                <w:sz w:val="20"/>
              </w:rPr>
              <w:t xml:space="preserve">0,0027</w:t>
            </w:r>
          </w:p>
        </w:tc>
      </w:tr>
      <w:tr>
        <w:trPr>
          <w:cantSplit/>
        </w:trPr>
        <w:tc>
          <w:tcPr>
            <w:tcW w:type="dxa" w:w="1647"/>
          </w:tcPr>
          <w:p>
            <w:pPr>
              <w:pStyle w:val="Compact"/>
              <w:keepNext/>
              <w:spacing w:line="240" w:lineRule="auto" w:after="0"/>
              <w:ind w:firstLine="0"/>
              <w:jc w:val="left"/>
            </w:pPr>
            <w:r>
              <w:rPr>
                <w:rFonts w:ascii="Arial" w:hAnsi="Arial"/>
                <w:b w:val="0"/>
                <w:sz w:val="20"/>
              </w:rPr>
              <w:t xml:space="preserve">6</w:t>
            </w:r>
          </w:p>
        </w:tc>
        <w:tc>
          <w:tcPr>
            <w:tcW w:type="dxa" w:w="1611"/>
          </w:tcPr>
          <w:p>
            <w:pPr>
              <w:pStyle w:val="Compact"/>
              <w:keepNext/>
              <w:spacing w:line="240" w:lineRule="auto" w:after="0"/>
              <w:ind w:firstLine="0"/>
              <w:jc w:val="right"/>
            </w:pPr>
            <w:r>
              <w:rPr>
                <w:rFonts w:ascii="Arial" w:hAnsi="Arial"/>
                <w:b w:val="0"/>
                <w:sz w:val="20"/>
              </w:rPr>
              <w:t xml:space="preserve">0,05</w:t>
            </w:r>
          </w:p>
        </w:tc>
        <w:tc>
          <w:tcPr>
            <w:tcW w:type="dxa" w:w="1684"/>
          </w:tcPr>
          <w:p>
            <w:pPr>
              <w:pStyle w:val="Compact"/>
              <w:keepNext/>
              <w:spacing w:line="240" w:lineRule="auto" w:after="0"/>
              <w:ind w:firstLine="0"/>
              <w:jc w:val="right"/>
            </w:pPr>
            <w:r>
              <w:rPr>
                <w:rFonts w:ascii="Arial" w:hAnsi="Arial"/>
                <w:b w:val="0"/>
                <w:sz w:val="20"/>
              </w:rPr>
              <w:t xml:space="preserve">300 (referência)</w:t>
            </w:r>
          </w:p>
        </w:tc>
        <w:tc>
          <w:tcPr>
            <w:tcW w:type="dxa" w:w="1299"/>
          </w:tcPr>
          <w:p>
            <w:pPr>
              <w:pStyle w:val="Compact"/>
              <w:keepNext/>
              <w:spacing w:line="240" w:lineRule="auto" w:after="0"/>
              <w:ind w:firstLine="0"/>
              <w:jc w:val="right"/>
            </w:pPr>
            <w:r>
              <w:rPr>
                <w:rFonts w:ascii="Arial" w:hAnsi="Arial"/>
                <w:b w:val="0"/>
                <w:sz w:val="20"/>
              </w:rPr>
              <w:t xml:space="preserve">0,6286</w:t>
            </w:r>
          </w:p>
        </w:tc>
        <w:tc>
          <w:tcPr>
            <w:tcW w:type="dxa" w:w="1299"/>
          </w:tcPr>
          <w:p>
            <w:pPr>
              <w:pStyle w:val="Compact"/>
              <w:keepNext/>
              <w:spacing w:line="240" w:lineRule="auto" w:after="0"/>
              <w:ind w:firstLine="0"/>
              <w:jc w:val="right"/>
            </w:pPr>
            <w:r>
              <w:rPr>
                <w:rFonts w:ascii="Arial" w:hAnsi="Arial"/>
                <w:b w:val="0"/>
                <w:sz w:val="20"/>
              </w:rPr>
              <w:t xml:space="preserve">0,4062</w:t>
            </w:r>
          </w:p>
        </w:tc>
        <w:tc>
          <w:tcPr>
            <w:tcW w:type="dxa" w:w="1531"/>
          </w:tcPr>
          <w:p>
            <w:pPr>
              <w:pStyle w:val="Compact"/>
              <w:keepNext/>
              <w:spacing w:line="240" w:lineRule="auto" w:after="0"/>
              <w:ind w:firstLine="0"/>
              <w:jc w:val="right"/>
            </w:pPr>
            <w:r>
              <w:rPr>
                <w:rFonts w:ascii="Arial" w:hAnsi="Arial"/>
                <w:b w:val="0"/>
                <w:sz w:val="20"/>
              </w:rPr>
              <w:t xml:space="preserve">0,0019</w:t>
            </w:r>
          </w:p>
        </w:tc>
      </w:tr>
      <w:tr>
        <w:trPr>
          <w:cantSplit/>
        </w:trPr>
        <w:tc>
          <w:tcPr>
            <w:tcW w:type="dxa" w:w="1647"/>
            <w:tcBorders>
              <w:top w:val="nil"/>
              <w:left w:val="nil"/>
              <w:bottom w:val="single" w:sz="8" w:color="000000"/>
              <w:right w:val="nil"/>
            </w:tcBorders>
          </w:tcPr>
          <w:p>
            <w:pPr>
              <w:pStyle w:val="Compact"/>
              <w:keepNext/>
              <w:spacing w:line="240" w:lineRule="auto" w:after="0"/>
              <w:ind w:firstLine="0"/>
              <w:jc w:val="left"/>
            </w:pPr>
            <w:r>
              <w:rPr>
                <w:rFonts w:ascii="Arial" w:hAnsi="Arial"/>
                <w:b w:val="0"/>
                <w:sz w:val="20"/>
              </w:rPr>
              <w:t xml:space="preserve">4</w:t>
            </w:r>
          </w:p>
        </w:tc>
        <w:tc>
          <w:tcPr>
            <w:tcW w:type="dxa" w:w="1611"/>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0,05</w:t>
            </w:r>
          </w:p>
        </w:tc>
        <w:tc>
          <w:tcPr>
            <w:tcW w:type="dxa" w:w="1684"/>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300</w:t>
            </w:r>
          </w:p>
        </w:tc>
        <w:tc>
          <w:tcPr>
            <w:tcW w:type="dxa" w:w="1299"/>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0,6182</w:t>
            </w:r>
          </w:p>
        </w:tc>
        <w:tc>
          <w:tcPr>
            <w:tcW w:type="dxa" w:w="1299"/>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0,4128</w:t>
            </w:r>
          </w:p>
        </w:tc>
        <w:tc>
          <w:tcPr>
            <w:tcW w:type="dxa" w:w="1531"/>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0,0011</w:t>
            </w:r>
          </w:p>
        </w:tc>
      </w:tr>
    </w:tbl>
    <w:bookmarkEnd w:id="103"/>
    <w:tbl>
      <w:tblPr>
        <w:tblStyle w:val="Table"/>
        <w:tblW w:type="auto" w:w="0"/>
        <w:tblLayout w:type="fixed"/>
        <w:tblLook w:firstRow="1" w:lastRow="0" w:firstColumn="0" w:lastColumn="0" w:noHBand="0" w:noVBand="0" w:val="0020"/>
        <w:tblBorders>
          <w:top w:val="nil"/>
          <w:left w:val="nil"/>
          <w:bottom w:val="nil"/>
          <w:right w:val="nil"/>
          <w:insideH w:val="nil"/>
          <w:insideV w:val="nil"/>
        </w:tblBorders>
      </w:tblPr>
      <w:tblGrid>
        <w:gridCol w:w="2268"/>
        <w:gridCol w:w="2268"/>
        <w:gridCol w:w="2268"/>
        <w:gridCol w:w="2268"/>
      </w:tblGrid>
      <w:tr>
        <w:trPr>
          <w:tblHeader w:val="on"/>
          <w:cantSplit/>
        </w:trPr>
        <w:tc>
          <w:tcPr>
            <w:tcW w:type="dxa" w:w="2268"/>
            <w:gridSpan w:val="4"/>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bCs/>
                <w:sz w:val="22"/>
              </w:rPr>
              <w:t xml:space="preserve">B. Validação cruzada no treino (5</w:t>
            </w:r>
            <w:r>
              <w:rPr>
                <w:rFonts w:ascii="Arial" w:hAnsi="Arial"/>
                <w:b w:val="0"/>
                <w:bCs/>
                <w:sz w:val="22"/>
              </w:rPr>
              <w:t xml:space="preserve"> </w:t>
            </w:r>
            <w:r>
              <w:rPr>
                <w:rFonts w:ascii="Arial" w:hAnsi="Arial"/>
                <w:b w:val="0"/>
                <w:bCs/>
                <w:sz w:val="22"/>
              </w:rPr>
              <w:t xml:space="preserve">folds</w:t>
            </w:r>
            <w:r>
              <w:rPr>
                <w:rFonts w:ascii="Arial" w:hAnsi="Arial"/>
                <w:b w:val="0"/>
                <w:bCs/>
                <w:sz w:val="22"/>
              </w:rPr>
              <w:t xml:space="preserve">)</w:t>
            </w:r>
          </w:p>
        </w:tc>
      </w:tr>
      <w:tr>
        <w:trPr>
          <w:cantSplit/>
        </w:trPr>
        <w:tc>
          <w:tcPr>
            <w:tcW w:type="dxa" w:w="2268"/>
          </w:tcPr>
          <w:p>
            <w:pPr>
              <w:pStyle w:val="Compact"/>
              <w:keepNext/>
              <w:spacing w:line="240" w:lineRule="auto" w:after="0"/>
              <w:ind w:firstLine="0"/>
              <w:jc w:val="left"/>
            </w:pPr>
            <w:r>
              <w:rPr>
                <w:rFonts w:ascii="Arial" w:hAnsi="Arial"/>
                <w:b w:val="0"/>
                <w:sz w:val="22"/>
              </w:rPr>
              <w:t xml:space="preserve">Configuração</w:t>
            </w:r>
          </w:p>
        </w:tc>
        <w:tc>
          <w:tcPr>
            <w:tcW w:type="dxa" w:w="2268"/>
          </w:tcPr>
          <w:p>
            <w:pPr>
              <w:pStyle w:val="Compact"/>
              <w:keepNext/>
              <w:spacing w:line="240" w:lineRule="auto" w:after="0"/>
              <w:ind w:firstLine="0"/>
              <w:jc w:val="left"/>
            </w:pPr>
            <w:r>
              <w:rPr>
                <w:rFonts w:ascii="Arial" w:hAnsi="Arial"/>
                <w:b w:val="0"/>
                <w:i/>
                <w:iCs/>
                <w:sz w:val="22"/>
              </w:rPr>
              <w:t xml:space="preserve">R</w:t>
            </w:r>
            <w:r>
              <w:rPr>
                <w:rFonts w:ascii="Arial" w:hAnsi="Arial"/>
                <w:b w:val="0"/>
                <w:sz w:val="22"/>
                <w:vertAlign w:val="superscript"/>
              </w:rPr>
              <w:t xml:space="preserve">2</w:t>
            </w:r>
            <w:r>
              <w:rPr>
                <w:rFonts w:ascii="Arial" w:hAnsi="Arial"/>
                <w:b w:val="0"/>
                <w:sz w:val="22"/>
              </w:rPr>
              <w:t xml:space="preserve"> </w:t>
            </w:r>
            <w:r>
              <w:rPr>
                <w:rFonts w:ascii="Arial" w:hAnsi="Arial"/>
                <w:b w:val="0"/>
                <w:sz w:val="22"/>
              </w:rPr>
              <w:t xml:space="preserve">(média ± dp)</w:t>
            </w:r>
          </w:p>
        </w:tc>
        <w:tc>
          <w:tcPr>
            <w:tcW w:type="dxa" w:w="2268"/>
          </w:tcPr>
          <w:p>
            <w:pPr>
              <w:pStyle w:val="Compact"/>
              <w:keepNext/>
              <w:spacing w:line="240" w:lineRule="auto" w:after="0"/>
              <w:ind w:firstLine="0"/>
              <w:jc w:val="left"/>
            </w:pPr>
            <w:r>
              <w:rPr>
                <w:rFonts w:ascii="Arial" w:hAnsi="Arial"/>
                <w:b w:val="0"/>
                <w:sz w:val="22"/>
              </w:rPr>
              <w:t xml:space="preserve">MAE</w:t>
            </w:r>
          </w:p>
        </w:tc>
        <w:tc>
          <w:tcPr>
            <w:tcW w:type="dxa" w:w="2268"/>
          </w:tcPr>
          <w:p>
            <w:pPr>
              <w:pStyle w:val="Compact"/>
              <w:keepNext/>
              <w:spacing w:line="240" w:lineRule="auto" w:after="0"/>
              <w:ind w:firstLine="0"/>
              <w:jc w:val="left"/>
            </w:pPr>
            <w:r>
              <w:rPr>
                <w:rFonts w:ascii="Arial" w:hAnsi="Arial"/>
                <w:b w:val="0"/>
                <w:sz w:val="22"/>
              </w:rPr>
              <w:t xml:space="preserve">RMSE</w:t>
            </w:r>
          </w:p>
        </w:tc>
      </w:tr>
      <w:tr>
        <w:trPr>
          <w:cantSplit/>
        </w:trPr>
        <w:tc>
          <w:tcPr>
            <w:tcW w:type="dxa" w:w="2268"/>
          </w:tcPr>
          <w:p>
            <w:pPr>
              <w:pStyle w:val="Compact"/>
              <w:keepNext/>
              <w:spacing w:line="240" w:lineRule="auto" w:after="0"/>
              <w:ind w:firstLine="0"/>
              <w:jc w:val="left"/>
            </w:pPr>
            <w:r>
              <w:rPr>
                <w:rFonts w:ascii="Arial" w:hAnsi="Arial"/>
                <w:b w:val="0"/>
                <w:sz w:val="22"/>
              </w:rPr>
              <w:t xml:space="preserve">Escolhida (profundidade 10)</w:t>
            </w:r>
          </w:p>
        </w:tc>
        <w:tc>
          <w:tcPr>
            <w:tcW w:type="dxa" w:w="2268"/>
          </w:tcPr>
          <w:p>
            <w:pPr>
              <w:pStyle w:val="Compact"/>
              <w:keepNext/>
              <w:spacing w:line="240" w:lineRule="auto" w:after="0"/>
              <w:ind w:firstLine="0"/>
              <w:jc w:val="left"/>
            </w:pPr>
            <w:r>
              <w:rPr>
                <w:rFonts w:ascii="Arial" w:hAnsi="Arial"/>
                <w:b w:val="0"/>
                <w:sz w:val="22"/>
              </w:rPr>
              <w:t xml:space="preserve">0,6435 ± 0,0006</w:t>
            </w:r>
          </w:p>
        </w:tc>
        <w:tc>
          <w:tcPr>
            <w:tcW w:type="dxa" w:w="2268"/>
          </w:tcPr>
          <w:p>
            <w:pPr>
              <w:pStyle w:val="Compact"/>
              <w:keepNext/>
              <w:spacing w:line="240" w:lineRule="auto" w:after="0"/>
              <w:ind w:firstLine="0"/>
              <w:jc w:val="left"/>
            </w:pPr>
            <w:r>
              <w:rPr>
                <w:rFonts w:ascii="Arial" w:hAnsi="Arial"/>
                <w:b w:val="0"/>
                <w:sz w:val="22"/>
              </w:rPr>
              <w:t xml:space="preserve">0,3978 ± 0,0002</w:t>
            </w:r>
          </w:p>
        </w:tc>
        <w:tc>
          <w:tcPr>
            <w:tcW w:type="dxa" w:w="2268"/>
          </w:tcPr>
          <w:p>
            <w:pPr>
              <w:pStyle w:val="Compact"/>
              <w:keepNext/>
              <w:spacing w:line="240" w:lineRule="auto" w:after="0"/>
              <w:ind w:firstLine="0"/>
              <w:jc w:val="left"/>
            </w:pPr>
            <w:r>
              <w:rPr>
                <w:rFonts w:ascii="Arial" w:hAnsi="Arial"/>
                <w:b w:val="0"/>
                <w:sz w:val="22"/>
              </w:rPr>
              <w:t xml:space="preserve">0,5360 ± 0,0002</w:t>
            </w:r>
          </w:p>
        </w:tc>
      </w:tr>
      <w:tr>
        <w:trPr>
          <w:cantSplit/>
        </w:trPr>
        <w:tc>
          <w:tcPr>
            <w:tcW w:type="dxa" w:w="2268"/>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Referência (profundidade 6)</w:t>
            </w:r>
          </w:p>
        </w:tc>
        <w:tc>
          <w:tcPr>
            <w:tcW w:type="dxa" w:w="2268"/>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0,6294 ± 0,0006</w:t>
            </w:r>
          </w:p>
        </w:tc>
        <w:tc>
          <w:tcPr>
            <w:tcW w:type="dxa" w:w="2268"/>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0,4064 ± 0,0002</w:t>
            </w:r>
          </w:p>
        </w:tc>
        <w:tc>
          <w:tcPr>
            <w:tcW w:type="dxa" w:w="2268"/>
            <w:tcBorders>
              <w:top w:val="nil"/>
              <w:left w:val="nil"/>
              <w:bottom w:val="single" w:sz="8" w:color="000000"/>
              <w:right w:val="nil"/>
            </w:tcBorders>
          </w:tcPr>
          <w:p>
            <w:pPr>
              <w:pStyle w:val="Compact"/>
              <w:keepNext/>
              <w:spacing w:line="240" w:lineRule="auto" w:after="0"/>
              <w:ind w:firstLine="0"/>
              <w:jc w:val="left"/>
            </w:pPr>
            <w:r>
              <w:rPr>
                <w:rFonts w:ascii="Arial" w:hAnsi="Arial"/>
                <w:b w:val="0"/>
                <w:sz w:val="22"/>
              </w:rPr>
              <w:t xml:space="preserve">0,5466 ± 0,0002</w:t>
            </w:r>
          </w:p>
        </w:tc>
      </w:tr>
    </w:tbl>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w:t>
      </w:r>
      <w:r>
        <w:rPr>
          <w:rFonts w:ascii="Arial" w:hAnsi="Arial"/>
          <w:sz w:val="22"/>
        </w:rPr>
        <w:t xml:space="preserve"> </w:t>
      </w:r>
      <w:r>
        <w:rPr>
          <w:rFonts w:ascii="Arial" w:hAnsi="Arial"/>
          <w:sz w:val="22"/>
        </w:rPr>
        <w:t xml:space="preserve">“Sobreajuste”</w:t>
      </w:r>
      <w:r>
        <w:rPr>
          <w:rFonts w:ascii="Arial" w:hAnsi="Arial"/>
          <w:sz w:val="22"/>
        </w:rPr>
        <w:t xml:space="preserve"> </w:t>
      </w:r>
      <w:r>
        <w:rPr>
          <w:rFonts w:ascii="Arial" w:hAnsi="Arial"/>
          <w:sz w:val="22"/>
        </w:rPr>
        <w:t xml:space="preserve">é a diferença entre o</w:t>
      </w:r>
      <w:r>
        <w:rPr>
          <w:rFonts w:ascii="Arial" w:hAnsi="Arial"/>
          <w:sz w:val="22"/>
        </w:rPr>
        <w:t xml:space="preserve"> </w:t>
      </w:r>
      <m:oMath>
        <m:sSup>
          <m:e>
            <m:r>
              <m:t>R</m:t>
            </m:r>
          </m:e>
          <m:sup>
            <m:r>
              <m:t>2</m:t>
            </m:r>
          </m:sup>
        </m:sSup>
      </m:oMath>
      <w:r>
        <w:rPr>
          <w:rFonts w:ascii="Arial" w:hAnsi="Arial"/>
          <w:sz w:val="22"/>
        </w:rPr>
        <w:t xml:space="preserve"> </w:t>
      </w:r>
      <w:r>
        <w:rPr>
          <w:rFonts w:ascii="Arial" w:hAnsi="Arial"/>
          <w:sz w:val="22"/>
        </w:rPr>
        <w:t xml:space="preserve">de treino e o de</w:t>
      </w:r>
      <w:r>
        <w:rPr>
          <w:rFonts w:ascii="Arial" w:hAnsi="Arial"/>
          <w:sz w:val="22"/>
        </w:rPr>
        <w:t xml:space="preserve"> </w:t>
      </w:r>
      <w:r>
        <w:rPr>
          <w:rFonts w:ascii="Arial" w:hAnsi="Arial"/>
          <w:sz w:val="22"/>
        </w:rPr>
        <w:t xml:space="preserve">validação — valores próximos de zero indicam que o modelo não decorou os dados. A</w:t>
      </w:r>
      <w:r>
        <w:rPr>
          <w:rFonts w:ascii="Arial" w:hAnsi="Arial"/>
          <w:sz w:val="22"/>
        </w:rPr>
        <w:t xml:space="preserve"> </w:t>
      </w:r>
      <w:r>
        <w:rPr>
          <w:rFonts w:ascii="Arial" w:hAnsi="Arial"/>
          <w:sz w:val="22"/>
        </w:rPr>
        <w:t xml:space="preserve">configuração escolhida ganha 1,4 ponto percentual de</w:t>
      </w:r>
      <w:r>
        <w:rPr>
          <w:rFonts w:ascii="Arial" w:hAnsi="Arial"/>
          <w:sz w:val="22"/>
        </w:rPr>
        <w:t xml:space="preserve"> </w:t>
      </w:r>
      <m:oMath>
        <m:sSup>
          <m:e>
            <m:r>
              <m:t>R</m:t>
            </m:r>
          </m:e>
          <m:sup>
            <m:r>
              <m:t>2</m:t>
            </m:r>
          </m:sup>
        </m:sSup>
      </m:oMath>
      <w:r>
        <w:rPr>
          <w:rFonts w:ascii="Arial" w:hAnsi="Arial"/>
          <w:sz w:val="22"/>
        </w:rPr>
        <w:t xml:space="preserve"> </w:t>
      </w:r>
      <w:r>
        <w:rPr>
          <w:rFonts w:ascii="Arial" w:hAnsi="Arial"/>
          <w:sz w:val="22"/>
        </w:rPr>
        <w:t xml:space="preserve">ao custo de um</w:t>
      </w:r>
      <w:r>
        <w:rPr>
          <w:rFonts w:ascii="Arial" w:hAnsi="Arial"/>
          <w:sz w:val="22"/>
        </w:rPr>
        <w:t xml:space="preserve"> </w:t>
      </w:r>
      <w:r>
        <w:rPr>
          <w:rFonts w:ascii="Arial" w:hAnsi="Arial"/>
          <w:sz w:val="22"/>
        </w:rPr>
        <w:t xml:space="preserve">sobreajuste maior, mas ainda pequeno (Painel A). No conjunto de teste (intocado durante a</w:t>
      </w:r>
      <w:r>
        <w:rPr>
          <w:rFonts w:ascii="Arial" w:hAnsi="Arial"/>
          <w:sz w:val="22"/>
        </w:rPr>
        <w:t xml:space="preserve"> </w:t>
      </w:r>
      <w:r>
        <w:rPr>
          <w:rFonts w:ascii="Arial" w:hAnsi="Arial"/>
          <w:sz w:val="22"/>
        </w:rPr>
        <w:t xml:space="preserve">escolha),</w:t>
      </w:r>
      <w:r>
        <w:rPr>
          <w:rFonts w:ascii="Arial" w:hAnsi="Arial"/>
          <w:sz w:val="22"/>
        </w:rPr>
        <w:t xml:space="preserve"> </w:t>
      </w:r>
      <m:oMath>
        <m:sSup>
          <m:e>
            <m:r>
              <m:t>R</m:t>
            </m:r>
          </m:e>
          <m:sup>
            <m:r>
              <m:t>2</m:t>
            </m:r>
          </m:sup>
        </m:sSup>
        <m:r>
          <m:rPr>
            <m:sty m:val="p"/>
          </m:rPr>
          <m:t>=</m:t>
        </m:r>
        <m:r>
          <m:t>0</m:t>
        </m:r>
        <m:r>
          <m:rPr>
            <m:sty m:val="p"/>
          </m:rPr>
          <m:t>,</m:t>
        </m:r>
        <m:r>
          <m:t>6444</m:t>
        </m:r>
      </m:oMath>
      <w:r>
        <w:rPr>
          <w:rFonts w:ascii="Arial" w:hAnsi="Arial"/>
          <w:sz w:val="22"/>
        </w:rPr>
        <w:t xml:space="preserve">; a estabilidade entre</w:t>
      </w:r>
      <w:r>
        <w:rPr>
          <w:rFonts w:ascii="Arial" w:hAnsi="Arial"/>
          <w:sz w:val="22"/>
        </w:rPr>
        <w:t xml:space="preserve"> </w:t>
      </w:r>
      <w:r>
        <w:rPr>
          <w:rFonts w:ascii="Arial" w:hAnsi="Arial"/>
          <w:sz w:val="22"/>
        </w:rPr>
        <w:t xml:space="preserve">folds</w:t>
      </w:r>
      <w:r>
        <w:rPr>
          <w:rFonts w:ascii="Arial" w:hAnsi="Arial"/>
          <w:sz w:val="22"/>
        </w:rPr>
        <w:t xml:space="preserve"> </w:t>
      </w:r>
      <w:r>
        <w:rPr>
          <w:rFonts w:ascii="Arial" w:hAnsi="Arial"/>
          <w:sz w:val="22"/>
        </w:rPr>
        <w:t xml:space="preserve">e o erro em reais são</w:t>
      </w:r>
      <w:r>
        <w:rPr>
          <w:rFonts w:ascii="Arial" w:hAnsi="Arial"/>
          <w:sz w:val="22"/>
        </w:rPr>
        <w:t xml:space="preserve"> </w:t>
      </w:r>
      <w:r>
        <w:rPr>
          <w:rFonts w:ascii="Arial" w:hAnsi="Arial"/>
          <w:sz w:val="22"/>
        </w:rPr>
        <w:t xml:space="preserve">discutidos no texto.</w:t>
      </w:r>
    </w:p>
    <w:p>
      <w:pPr>
        <w:pStyle w:val="BodyText"/>
        <w:spacing w:line="360" w:lineRule="auto" w:after="0"/>
        <w:ind w:firstLine="709"/>
        <w:jc w:val="both"/>
      </w:pPr>
      <w:r>
        <w:rPr>
          <w:rFonts w:ascii="Arial" w:hAnsi="Arial"/>
          <w:b/>
          <w:bCs/>
          <w:sz w:val="22"/>
        </w:rPr>
        <w:t xml:space="preserve">O erro na unidade original.</w:t>
      </w:r>
      <w:r>
        <w:rPr>
          <w:rFonts w:ascii="Arial" w:hAnsi="Arial"/>
          <w:sz w:val="22"/>
        </w:rPr>
        <w:t xml:space="preserve"> </w:t>
      </w:r>
      <w:r>
        <w:rPr>
          <w:rFonts w:ascii="Arial" w:hAnsi="Arial"/>
          <w:sz w:val="22"/>
        </w:rPr>
        <w:t xml:space="preserve">Os modelos preveem o</w:t>
      </w:r>
      <w:r>
        <w:rPr>
          <w:rFonts w:ascii="Arial" w:hAnsi="Arial"/>
          <w:sz w:val="22"/>
        </w:rPr>
        <w:t xml:space="preserve"> </w:t>
      </w:r>
      <w:r>
        <w:rPr>
          <w:rFonts w:ascii="Arial" w:hAnsi="Arial"/>
          <w:sz w:val="22"/>
        </w:rPr>
        <w:t xml:space="preserve">logaritmo</w:t>
      </w:r>
      <w:r>
        <w:rPr>
          <w:rFonts w:ascii="Arial" w:hAnsi="Arial"/>
          <w:sz w:val="22"/>
        </w:rPr>
        <w:t xml:space="preserve"> </w:t>
      </w:r>
      <w:r>
        <w:rPr>
          <w:rFonts w:ascii="Arial" w:hAnsi="Arial"/>
          <w:sz w:val="22"/>
        </w:rPr>
        <w:t xml:space="preserve">do</w:t>
      </w:r>
      <w:r>
        <w:rPr>
          <w:rFonts w:ascii="Arial" w:hAnsi="Arial"/>
          <w:sz w:val="22"/>
        </w:rPr>
        <w:t xml:space="preserve"> </w:t>
      </w:r>
      <w:r>
        <w:rPr>
          <w:rFonts w:ascii="Arial" w:hAnsi="Arial"/>
          <w:sz w:val="22"/>
        </w:rPr>
        <w:t xml:space="preserve">rendimento; para o leitor, o que importa é o erro em reais. Retransformando com a correção</w:t>
      </w:r>
      <w:r>
        <w:rPr>
          <w:rFonts w:ascii="Arial" w:hAnsi="Arial"/>
          <w:sz w:val="22"/>
        </w:rPr>
        <w:t xml:space="preserve"> </w:t>
      </w:r>
      <w:r>
        <w:rPr>
          <w:rFonts w:ascii="Arial" w:hAnsi="Arial"/>
          <w:sz w:val="22"/>
        </w:rPr>
        <w:t xml:space="preserve">de</w:t>
      </w:r>
      <w:r>
        <w:rPr>
          <w:rFonts w:ascii="Arial" w:hAnsi="Arial"/>
          <w:sz w:val="22"/>
        </w:rPr>
        <w:t xml:space="preserve"> </w:t>
      </w:r>
      <w:r>
        <w:rPr>
          <w:rFonts w:ascii="Arial" w:hAnsi="Arial"/>
          <w:sz w:val="22"/>
        </w:rPr>
        <w:t xml:space="preserve">Duan (1983)</w:t>
      </w:r>
      <w:r>
        <w:rPr>
          <w:rFonts w:ascii="Arial" w:hAnsi="Arial"/>
          <w:sz w:val="22"/>
        </w:rPr>
        <w:t xml:space="preserve"> </w:t>
      </w:r>
      <w:r>
        <w:rPr>
          <w:rFonts w:ascii="Arial" w:hAnsi="Arial"/>
          <w:sz w:val="22"/>
        </w:rPr>
        <w:t xml:space="preserve">(fator de</w:t>
      </w:r>
      <w:r>
        <w:rPr>
          <w:rFonts w:ascii="Arial" w:hAnsi="Arial"/>
          <w:sz w:val="22"/>
        </w:rPr>
        <w:t xml:space="preserve"> </w:t>
      </w:r>
      <w:r>
        <w:rPr>
          <w:rFonts w:ascii="Arial" w:hAnsi="Arial"/>
          <w:sz w:val="22"/>
        </w:rPr>
        <w:t xml:space="preserve">smearing</w:t>
      </w:r>
      <w:r>
        <w:rPr>
          <w:rFonts w:ascii="Arial" w:hAnsi="Arial"/>
          <w:sz w:val="22"/>
        </w:rPr>
        <w:t xml:space="preserve"> </w:t>
      </w:r>
      <m:oMath>
        <m:r>
          <m:rPr>
            <m:sty m:val="p"/>
          </m:rPr>
          <m:t>=</m:t>
        </m:r>
        <m:r>
          <m:t>1</m:t>
        </m:r>
        <m:r>
          <m:rPr>
            <m:sty m:val="p"/>
          </m:rPr>
          <m:t>,</m:t>
        </m:r>
        <m:r>
          <m:t>159</m:t>
        </m:r>
      </m:oMath>
      <w:r>
        <w:rPr>
          <w:rFonts w:ascii="Arial" w:hAnsi="Arial"/>
          <w:sz w:val="22"/>
        </w:rPr>
        <w:t xml:space="preserve">), o erro mediano de</w:t>
      </w:r>
      <w:r>
        <w:rPr>
          <w:rFonts w:ascii="Arial" w:hAnsi="Arial"/>
          <w:sz w:val="22"/>
        </w:rPr>
        <w:t xml:space="preserve"> </w:t>
      </w:r>
      <w:r>
        <w:rPr>
          <w:rFonts w:ascii="Arial" w:hAnsi="Arial"/>
          <w:sz w:val="22"/>
        </w:rPr>
        <w:t xml:space="preserve">previsão é de</w:t>
      </w:r>
      <w:r>
        <w:rPr>
          <w:rFonts w:ascii="Arial" w:hAnsi="Arial"/>
          <w:sz w:val="22"/>
        </w:rPr>
        <w:t xml:space="preserve"> </w:t>
      </w:r>
      <w:r>
        <w:rPr>
          <w:rFonts w:ascii="Arial" w:hAnsi="Arial"/>
          <w:b/>
          <w:bCs/>
          <w:sz w:val="22"/>
        </w:rPr>
        <w:t xml:space="preserve">R$ 664 por mês</w:t>
      </w:r>
      <w:r>
        <w:rPr>
          <w:rFonts w:ascii="Arial" w:hAnsi="Arial"/>
          <w:sz w:val="22"/>
        </w:rPr>
        <w:t xml:space="preserve"> </w:t>
      </w:r>
      <w:r>
        <w:rPr>
          <w:rFonts w:ascii="Arial" w:hAnsi="Arial"/>
          <w:sz w:val="22"/>
        </w:rPr>
        <w:t xml:space="preserve">(reais do 2º trimestre de 2026), ou 35% do rendimento</w:t>
      </w:r>
      <w:r>
        <w:rPr>
          <w:rFonts w:ascii="Arial" w:hAnsi="Arial"/>
          <w:sz w:val="22"/>
        </w:rPr>
        <w:t xml:space="preserve"> </w:t>
      </w:r>
      <w:r>
        <w:rPr>
          <w:rFonts w:ascii="Arial" w:hAnsi="Arial"/>
          <w:sz w:val="22"/>
        </w:rPr>
        <w:t xml:space="preserve">observado — a ordem de grandeza que se deve ter em mente ao ler o</w:t>
      </w:r>
      <w:r>
        <w:rPr>
          <w:rFonts w:ascii="Arial" w:hAnsi="Arial"/>
          <w:sz w:val="22"/>
        </w:rPr>
        <w:t xml:space="preserve"> </w:t>
      </w:r>
      <m:oMath>
        <m:sSup>
          <m:e>
            <m:r>
              <m:t>R</m:t>
            </m:r>
          </m:e>
          <m:sup>
            <m:r>
              <m:t>2</m:t>
            </m:r>
          </m:sup>
        </m:sSup>
      </m:oMath>
      <w:r>
        <w:rPr>
          <w:rFonts w:ascii="Arial" w:hAnsi="Arial"/>
          <w:sz w:val="22"/>
        </w:rPr>
        <w:t xml:space="preserve">: o modelo acerta</w:t>
      </w:r>
      <w:r>
        <w:rPr>
          <w:rFonts w:ascii="Arial" w:hAnsi="Arial"/>
          <w:sz w:val="22"/>
        </w:rPr>
        <w:t xml:space="preserve"> </w:t>
      </w:r>
      <w:r>
        <w:rPr>
          <w:rFonts w:ascii="Arial" w:hAnsi="Arial"/>
          <w:sz w:val="22"/>
        </w:rPr>
        <w:t xml:space="preserve">a posição relativa das pessoas muito melhor do que o valor exato do salário de cada uma.</w:t>
      </w:r>
    </w:p>
    <w:p>
      <w:pPr>
        <w:pStyle w:val="BodyText"/>
        <w:spacing w:line="360" w:lineRule="auto" w:after="0"/>
        <w:ind w:firstLine="709"/>
        <w:jc w:val="both"/>
      </w:pPr>
      <w:r>
        <w:rPr>
          <w:rFonts w:ascii="Arial" w:hAnsi="Arial"/>
          <w:b/>
          <w:bCs/>
          <w:sz w:val="22"/>
        </w:rPr>
        <w:t xml:space="preserve">Ampliar a base reduz o risco de sobreajuste, em vez de aumentá-lo.</w:t>
      </w:r>
      <w:r>
        <w:rPr>
          <w:rFonts w:ascii="Arial" w:hAnsi="Arial"/>
          <w:sz w:val="22"/>
        </w:rPr>
        <w:t xml:space="preserve"> </w:t>
      </w:r>
      <w:r>
        <w:rPr>
          <w:rFonts w:ascii="Arial" w:hAnsi="Arial"/>
          <w:sz w:val="22"/>
        </w:rPr>
        <w:t xml:space="preserve">A objeção usual a modelos flexíveis é que eles decoram os dados em vez de aprender com</w:t>
      </w:r>
      <w:r>
        <w:rPr>
          <w:rFonts w:ascii="Arial" w:hAnsi="Arial"/>
          <w:sz w:val="22"/>
        </w:rPr>
        <w:t xml:space="preserve"> </w:t>
      </w:r>
      <w:r>
        <w:rPr>
          <w:rFonts w:ascii="Arial" w:hAnsi="Arial"/>
          <w:sz w:val="22"/>
        </w:rPr>
        <w:t xml:space="preserve">eles — e quem decorou prevê bem o que já viu e mal o que não viu. Não é o caso aqui, e</w:t>
      </w:r>
      <w:r>
        <w:rPr>
          <w:rFonts w:ascii="Arial" w:hAnsi="Arial"/>
          <w:sz w:val="22"/>
        </w:rPr>
        <w:t xml:space="preserve"> </w:t>
      </w:r>
      <w:r>
        <w:rPr>
          <w:rFonts w:ascii="Arial" w:hAnsi="Arial"/>
          <w:sz w:val="22"/>
        </w:rPr>
        <w:t xml:space="preserve">a razão é o tamanho da base: o</w:t>
      </w:r>
      <w:r>
        <w:rPr>
          <w:rFonts w:ascii="Arial" w:hAnsi="Arial"/>
          <w:sz w:val="22"/>
        </w:rPr>
        <w:t xml:space="preserve"> </w:t>
      </w:r>
      <m:oMath>
        <m:sSup>
          <m:e>
            <m:r>
              <m:t>R</m:t>
            </m:r>
          </m:e>
          <m:sup>
            <m:r>
              <m:t>2</m:t>
            </m:r>
          </m:sup>
        </m:sSup>
      </m:oMath>
      <w:r>
        <w:rPr>
          <w:rFonts w:ascii="Arial" w:hAnsi="Arial"/>
          <w:sz w:val="22"/>
        </w:rPr>
        <w:t xml:space="preserve"> </w:t>
      </w:r>
      <w:r>
        <w:rPr>
          <w:rFonts w:ascii="Arial" w:hAnsi="Arial"/>
          <w:sz w:val="22"/>
        </w:rPr>
        <w:t xml:space="preserve">de treino e o de teste praticamente coincidem, com</w:t>
      </w:r>
      <w:r>
        <w:rPr>
          <w:rFonts w:ascii="Arial" w:hAnsi="Arial"/>
          <w:sz w:val="22"/>
        </w:rPr>
        <w:t xml:space="preserve"> </w:t>
      </w:r>
      <w:r>
        <w:rPr>
          <w:rFonts w:ascii="Arial" w:hAnsi="Arial"/>
          <w:sz w:val="22"/>
        </w:rPr>
        <w:t xml:space="preserve">diferença de 0,0084</w:t>
      </w:r>
      <w:r>
        <w:rPr>
          <w:rStyle w:val="FootnoteReference"/>
          <w:rFonts w:ascii="Arial" w:hAnsi="Arial"/>
          <w:sz w:val="22"/>
          <w:vertAlign w:val="superscript"/>
        </w:rPr>
        <w:footnoteReference w:id="104"/>
      </w:r>
      <w:r>
        <w:rPr>
          <w:rFonts w:ascii="Arial" w:hAnsi="Arial"/>
          <w:sz w:val="22"/>
        </w:rPr>
        <w:t xml:space="preserve">. Três evidências</w:t>
      </w:r>
      <w:r>
        <w:rPr>
          <w:rFonts w:ascii="Arial" w:hAnsi="Arial"/>
          <w:sz w:val="22"/>
        </w:rPr>
        <w:t xml:space="preserve"> </w:t>
      </w:r>
      <w:r>
        <w:rPr>
          <w:rFonts w:ascii="Arial" w:hAnsi="Arial"/>
          <w:sz w:val="22"/>
        </w:rPr>
        <w:t xml:space="preserve">convergem: a diferença entre treino e teste é praticamente nula; o número de observações</w:t>
      </w:r>
      <w:r>
        <w:rPr>
          <w:rFonts w:ascii="Arial" w:hAnsi="Arial"/>
          <w:sz w:val="22"/>
        </w:rPr>
        <w:t xml:space="preserve"> </w:t>
      </w:r>
      <w:r>
        <w:rPr>
          <w:rFonts w:ascii="Arial" w:hAnsi="Arial"/>
          <w:sz w:val="22"/>
        </w:rPr>
        <w:t xml:space="preserve">supera em muitas ordens de grandeza a complexidade dos modelos, todos regularizados; e o</w:t>
      </w:r>
      <w:r>
        <w:rPr>
          <w:rFonts w:ascii="Arial" w:hAnsi="Arial"/>
          <w:sz w:val="22"/>
        </w:rPr>
        <w:t xml:space="preserve"> </w:t>
      </w:r>
      <m:oMath>
        <m:sSup>
          <m:e>
            <m:r>
              <m:t>R</m:t>
            </m:r>
          </m:e>
          <m:sup>
            <m:r>
              <m:t>2</m:t>
            </m:r>
          </m:sup>
        </m:sSup>
      </m:oMath>
      <w:r>
        <w:rPr>
          <w:rFonts w:ascii="Arial" w:hAnsi="Arial"/>
          <w:sz w:val="22"/>
        </w:rPr>
        <w:t xml:space="preserve"> </w:t>
      </w:r>
      <w:r>
        <w:rPr>
          <w:rFonts w:ascii="Arial" w:hAnsi="Arial"/>
          <w:sz w:val="22"/>
        </w:rPr>
        <w:t xml:space="preserve">de teste quase não muda ao se passar de uma subamostra para a população inteira. É</w:t>
      </w:r>
      <w:r>
        <w:rPr>
          <w:rFonts w:ascii="Arial" w:hAnsi="Arial"/>
          <w:sz w:val="22"/>
        </w:rPr>
        <w:t xml:space="preserve"> </w:t>
      </w:r>
      <w:r>
        <w:rPr>
          <w:rFonts w:ascii="Arial" w:hAnsi="Arial"/>
          <w:sz w:val="22"/>
        </w:rPr>
        <w:t xml:space="preserve">o contrário da intuição corrente: ampliar a base, de amostral para populacional, reduz o</w:t>
      </w:r>
      <w:r>
        <w:rPr>
          <w:rFonts w:ascii="Arial" w:hAnsi="Arial"/>
          <w:sz w:val="22"/>
        </w:rPr>
        <w:t xml:space="preserve"> </w:t>
      </w:r>
      <w:r>
        <w:rPr>
          <w:rFonts w:ascii="Arial" w:hAnsi="Arial"/>
          <w:sz w:val="22"/>
        </w:rPr>
        <w:t xml:space="preserve">risco de sobreajuste em vez de aumentá-lo. A Tabela 15 traz o ranking completo das variáveis nos dois modelos.</w:t>
      </w:r>
    </w:p>
    <w:bookmarkStart w:id="105" w:name="tab:shap_importance"/>
    <w:p>
      <w:pPr>
        <w:pStyle w:val="TableCaption"/>
        <w:keepNext/>
        <w:keepLines/>
        <w:spacing w:line="240" w:lineRule="auto" w:before="240" w:after="40"/>
        <w:ind w:firstLine="0"/>
        <w:jc w:val="both"/>
      </w:pPr>
      <w:r>
        <w:rPr>
          <w:rFonts w:ascii="Arial" w:hAnsi="Arial"/>
          <w:sz w:val="22"/>
        </w:rPr>
        <w:t xml:space="preserve">Tabela 15. Importância SHAP Comparada — Random Forest e XGBoost. Predição de log-rendimento, PNAD 2016–2025 (</w:t>
      </w:r>
      <m:oMath>
        <m:sSub>
          <m:e>
            <m:r>
              <m:t>N</m:t>
            </m:r>
          </m:e>
          <m:sub>
            <m:r>
              <m:rPr>
                <m:nor/>
                <m:sty m:val="p"/>
              </m:rPr>
              <m:t>SHAP</m:t>
            </m:r>
          </m:sub>
        </m:sSub>
        <m:r>
          <m:rPr>
            <m:sty m:val="p"/>
          </m:rPr>
          <m:t>=</m:t>
        </m:r>
        <m:r>
          <m:t>50.000</m:t>
        </m:r>
      </m:oMath>
      <w:r>
        <w:rPr>
          <w:rFonts w:ascii="Arial" w:hAnsi="Arial"/>
          <w:sz w:val="22"/>
        </w:rPr>
        <w:t xml:space="preserve">). Valores:</w:t>
      </w:r>
      <w:r>
        <w:rPr>
          <w:rFonts w:ascii="Arial" w:hAnsi="Arial"/>
          <w:sz w:val="22"/>
        </w:rPr>
        <w:t xml:space="preserve"> </w:t>
      </w:r>
      <m:oMath>
        <m:r>
          <m:rPr>
            <m:sty m:val="p"/>
          </m:rPr>
          <m:t>|</m:t>
        </m:r>
        <m:r>
          <m:rPr>
            <m:nor/>
            <m:sty m:val="p"/>
          </m:rPr>
          <m:t>SHAP</m:t>
        </m:r>
        <m:r>
          <m:rPr>
            <m:sty m:val="p"/>
          </m:rPr>
          <m:t>|</m:t>
        </m:r>
      </m:oMath>
      <w:r>
        <w:rPr>
          <w:rFonts w:ascii="Arial" w:hAnsi="Arial"/>
          <w:sz w:val="22"/>
        </w:rPr>
        <w:t xml:space="preserve"> </w:t>
      </w:r>
      <w:r>
        <w:rPr>
          <w:rFonts w:ascii="Arial" w:hAnsi="Arial"/>
          <w:sz w:val="22"/>
        </w:rPr>
        <w:t xml:space="preserve">médio. Destaque em negrito: variáveis raciais/contextuais.</w:t>
      </w:r>
    </w:p>
    <w:tbl>
      <w:tblPr>
        <w:tblStyle w:val="Table"/>
        <w:tblW w:type="auto" w:w="0"/>
        <w:tblLayout w:type="fixed"/>
        <w:tblLook w:firstRow="1" w:lastRow="0" w:firstColumn="0" w:lastColumn="0" w:noHBand="0" w:noVBand="0" w:val="0020"/>
        <w:tblCaption w:val="Tabela 15. Importância SHAP Comparada — Random Forest e XGBoost. Predição de log-rendimento, PNAD 2016–2025 (N_{\text{SHAP}}=50.000). Valores: |\text{SHAP}| médio. Destaque em negrito: variáveis raciais/contextuais."/>
        <w:tblBorders>
          <w:top w:val="nil"/>
          <w:left w:val="nil"/>
          <w:bottom w:val="nil"/>
          <w:right w:val="nil"/>
          <w:insideH w:val="nil"/>
          <w:insideV w:val="nil"/>
        </w:tblBorders>
      </w:tblPr>
      <w:tblGrid>
        <w:gridCol w:w="4037"/>
        <w:gridCol w:w="1602"/>
        <w:gridCol w:w="915"/>
        <w:gridCol w:w="1602"/>
        <w:gridCol w:w="915"/>
      </w:tblGrid>
      <w:tr>
        <w:trPr>
          <w:tblHeader w:val="on"/>
          <w:cantSplit/>
        </w:trPr>
        <w:tc>
          <w:tcPr>
            <w:tcW w:type="dxa" w:w="4037"/>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bCs/>
                <w:sz w:val="20"/>
              </w:rPr>
              <w:t xml:space="preserve">Feature</w:t>
            </w:r>
          </w:p>
        </w:tc>
        <w:tc>
          <w:tcPr>
            <w:tcW w:type="dxa" w:w="1602"/>
            <w:tcBorders>
              <w:top w:val="single" w:sz="8" w:color="000000"/>
              <w:left w:val="nil"/>
              <w:bottom w:val="single" w:sz="6" w:color="000000"/>
              <w:right w:val="nil"/>
            </w:tcBorders>
          </w:tcPr>
          <w:p>
            <w:pPr>
              <w:pStyle w:val="Compact"/>
              <w:keepNext/>
              <w:spacing w:line="240" w:lineRule="auto" w:after="0"/>
              <w:ind w:firstLine="0"/>
              <w:jc w:val="center"/>
            </w:pPr>
            <m:oMath>
              <m:r>
                <m:rPr>
                  <m:sty m:val="p"/>
                </m:rPr>
                <m:t>|</m:t>
              </m:r>
              <m:r>
                <m:rPr>
                  <m:nor/>
                  <m:sty m:val="p"/>
                </m:rPr>
                <m:t>SHAP</m:t>
              </m:r>
              <m:r>
                <m:rPr>
                  <m:sty m:val="p"/>
                </m:rPr>
                <m:t>|</m:t>
              </m:r>
            </m:oMath>
            <w:r>
              <w:rPr>
                <w:rFonts w:ascii="Arial" w:hAnsi="Arial"/>
                <w:b w:val="0"/>
                <w:bCs/>
                <w:sz w:val="20"/>
              </w:rPr>
              <w:t xml:space="preserve"> </w:t>
            </w:r>
            <w:r>
              <w:rPr>
                <w:rFonts w:ascii="Arial" w:hAnsi="Arial"/>
                <w:b w:val="0"/>
                <w:bCs/>
                <w:sz w:val="20"/>
              </w:rPr>
              <w:t xml:space="preserve">RF</w:t>
            </w:r>
          </w:p>
        </w:tc>
        <w:tc>
          <w:tcPr>
            <w:tcW w:type="dxa" w:w="915"/>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bCs/>
                <w:sz w:val="20"/>
              </w:rPr>
              <w:t xml:space="preserve">Rank RF</w:t>
            </w:r>
          </w:p>
        </w:tc>
        <w:tc>
          <w:tcPr>
            <w:tcW w:type="dxa" w:w="1602"/>
            <w:tcBorders>
              <w:top w:val="single" w:sz="8" w:color="000000"/>
              <w:left w:val="nil"/>
              <w:bottom w:val="single" w:sz="6" w:color="000000"/>
              <w:right w:val="nil"/>
            </w:tcBorders>
          </w:tcPr>
          <w:p>
            <w:pPr>
              <w:pStyle w:val="Compact"/>
              <w:keepNext/>
              <w:spacing w:line="240" w:lineRule="auto" w:after="0"/>
              <w:ind w:firstLine="0"/>
              <w:jc w:val="center"/>
            </w:pPr>
            <m:oMath>
              <m:r>
                <m:rPr>
                  <m:sty m:val="p"/>
                </m:rPr>
                <m:t>|</m:t>
              </m:r>
              <m:r>
                <m:rPr>
                  <m:nor/>
                  <m:sty m:val="p"/>
                </m:rPr>
                <m:t>SHAP</m:t>
              </m:r>
              <m:r>
                <m:rPr>
                  <m:sty m:val="p"/>
                </m:rPr>
                <m:t>|</m:t>
              </m:r>
            </m:oMath>
            <w:r>
              <w:rPr>
                <w:rFonts w:ascii="Arial" w:hAnsi="Arial"/>
                <w:b w:val="0"/>
                <w:bCs/>
                <w:sz w:val="20"/>
              </w:rPr>
              <w:t xml:space="preserve"> </w:t>
            </w:r>
            <w:r>
              <w:rPr>
                <w:rFonts w:ascii="Arial" w:hAnsi="Arial"/>
                <w:b w:val="0"/>
                <w:bCs/>
                <w:sz w:val="20"/>
              </w:rPr>
              <w:t xml:space="preserve">XGB</w:t>
            </w:r>
          </w:p>
        </w:tc>
        <w:tc>
          <w:tcPr>
            <w:tcW w:type="dxa" w:w="915"/>
            <w:tcBorders>
              <w:top w:val="single" w:sz="8" w:color="000000"/>
              <w:left w:val="nil"/>
              <w:bottom w:val="single" w:sz="6" w:color="000000"/>
              <w:right w:val="nil"/>
            </w:tcBorders>
          </w:tcPr>
          <w:p>
            <w:pPr>
              <w:pStyle w:val="Compact"/>
              <w:keepNext/>
              <w:spacing w:line="240" w:lineRule="auto" w:after="0"/>
              <w:ind w:firstLine="0"/>
              <w:jc w:val="center"/>
            </w:pPr>
            <w:r>
              <w:rPr>
                <w:rFonts w:ascii="Arial" w:hAnsi="Arial"/>
                <w:b w:val="0"/>
                <w:bCs/>
                <w:sz w:val="20"/>
              </w:rPr>
              <w:t xml:space="preserve">Rank XGB</w:t>
            </w:r>
          </w:p>
        </w:tc>
      </w:tr>
      <w:tr>
        <w:trPr>
          <w:cantSplit/>
        </w:trPr>
        <w:tc>
          <w:tcPr>
            <w:tcW w:type="dxa" w:w="4037"/>
          </w:tcPr>
          <w:p>
            <w:pPr>
              <w:pStyle w:val="Compact"/>
              <w:keepNext/>
              <w:spacing w:line="240" w:lineRule="auto" w:after="0"/>
              <w:ind w:firstLine="0"/>
              <w:jc w:val="left"/>
            </w:pPr>
            <w:r>
              <w:rPr>
                <w:rFonts w:ascii="Arial" w:hAnsi="Arial"/>
                <w:b w:val="0"/>
                <w:sz w:val="20"/>
              </w:rPr>
              <w:t xml:space="preserve">Renda média UPA (exceto o próprio)</w:t>
            </w:r>
          </w:p>
        </w:tc>
        <w:tc>
          <w:tcPr>
            <w:tcW w:type="dxa" w:w="1602"/>
          </w:tcPr>
          <w:p>
            <w:pPr>
              <w:pStyle w:val="Compact"/>
              <w:keepNext/>
              <w:spacing w:line="240" w:lineRule="auto" w:after="0"/>
              <w:ind w:firstLine="0"/>
              <w:jc w:val="right"/>
            </w:pPr>
            <w:r>
              <w:rPr>
                <w:rFonts w:ascii="Arial" w:hAnsi="Arial"/>
                <w:b w:val="0"/>
                <w:sz w:val="20"/>
              </w:rPr>
              <w:t xml:space="preserve">0,21008</w:t>
            </w:r>
          </w:p>
        </w:tc>
        <w:tc>
          <w:tcPr>
            <w:tcW w:type="dxa" w:w="915"/>
          </w:tcPr>
          <w:p>
            <w:pPr>
              <w:pStyle w:val="Compact"/>
              <w:keepNext/>
              <w:spacing w:line="240" w:lineRule="auto" w:after="0"/>
              <w:ind w:firstLine="0"/>
              <w:jc w:val="right"/>
            </w:pPr>
            <w:r>
              <w:rPr>
                <w:rFonts w:ascii="Arial" w:hAnsi="Arial"/>
                <w:b w:val="0"/>
                <w:sz w:val="20"/>
              </w:rPr>
              <w:t xml:space="preserve">2</w:t>
            </w:r>
          </w:p>
        </w:tc>
        <w:tc>
          <w:tcPr>
            <w:tcW w:type="dxa" w:w="1602"/>
          </w:tcPr>
          <w:p>
            <w:pPr>
              <w:pStyle w:val="Compact"/>
              <w:keepNext/>
              <w:spacing w:line="240" w:lineRule="auto" w:after="0"/>
              <w:ind w:firstLine="0"/>
              <w:jc w:val="right"/>
            </w:pPr>
            <w:r>
              <w:rPr>
                <w:rFonts w:ascii="Arial" w:hAnsi="Arial"/>
                <w:b w:val="0"/>
                <w:sz w:val="20"/>
              </w:rPr>
              <w:t xml:space="preserve">0,18775</w:t>
            </w:r>
          </w:p>
        </w:tc>
        <w:tc>
          <w:tcPr>
            <w:tcW w:type="dxa" w:w="915"/>
          </w:tcPr>
          <w:p>
            <w:pPr>
              <w:pStyle w:val="Compact"/>
              <w:keepNext/>
              <w:spacing w:line="240" w:lineRule="auto" w:after="0"/>
              <w:ind w:firstLine="0"/>
              <w:jc w:val="right"/>
            </w:pPr>
            <w:r>
              <w:rPr>
                <w:rFonts w:ascii="Arial" w:hAnsi="Arial"/>
                <w:b w:val="0"/>
                <w:sz w:val="20"/>
              </w:rPr>
              <w:t xml:space="preserve">1</w:t>
            </w:r>
          </w:p>
        </w:tc>
      </w:tr>
      <w:tr>
        <w:trPr>
          <w:cantSplit/>
        </w:trPr>
        <w:tc>
          <w:tcPr>
            <w:tcW w:type="dxa" w:w="4037"/>
          </w:tcPr>
          <w:p>
            <w:pPr>
              <w:pStyle w:val="Compact"/>
              <w:keepNext/>
              <w:spacing w:line="240" w:lineRule="auto" w:after="0"/>
              <w:ind w:firstLine="0"/>
              <w:jc w:val="left"/>
            </w:pPr>
            <w:r>
              <w:rPr>
                <w:rFonts w:ascii="Arial" w:hAnsi="Arial"/>
                <w:b w:val="0"/>
                <w:sz w:val="20"/>
              </w:rPr>
              <w:t xml:space="preserve">Educ.: superior completo</w:t>
            </w:r>
          </w:p>
        </w:tc>
        <w:tc>
          <w:tcPr>
            <w:tcW w:type="dxa" w:w="1602"/>
          </w:tcPr>
          <w:p>
            <w:pPr>
              <w:pStyle w:val="Compact"/>
              <w:keepNext/>
              <w:spacing w:line="240" w:lineRule="auto" w:after="0"/>
              <w:ind w:firstLine="0"/>
              <w:jc w:val="right"/>
            </w:pPr>
            <w:r>
              <w:rPr>
                <w:rFonts w:ascii="Arial" w:hAnsi="Arial"/>
                <w:b w:val="0"/>
                <w:sz w:val="20"/>
              </w:rPr>
              <w:t xml:space="preserve">0,24464</w:t>
            </w:r>
          </w:p>
        </w:tc>
        <w:tc>
          <w:tcPr>
            <w:tcW w:type="dxa" w:w="915"/>
          </w:tcPr>
          <w:p>
            <w:pPr>
              <w:pStyle w:val="Compact"/>
              <w:keepNext/>
              <w:spacing w:line="240" w:lineRule="auto" w:after="0"/>
              <w:ind w:firstLine="0"/>
              <w:jc w:val="right"/>
            </w:pPr>
            <w:r>
              <w:rPr>
                <w:rFonts w:ascii="Arial" w:hAnsi="Arial"/>
                <w:b w:val="0"/>
                <w:sz w:val="20"/>
              </w:rPr>
              <w:t xml:space="preserve">1</w:t>
            </w:r>
          </w:p>
        </w:tc>
        <w:tc>
          <w:tcPr>
            <w:tcW w:type="dxa" w:w="1602"/>
          </w:tcPr>
          <w:p>
            <w:pPr>
              <w:pStyle w:val="Compact"/>
              <w:keepNext/>
              <w:spacing w:line="240" w:lineRule="auto" w:after="0"/>
              <w:ind w:firstLine="0"/>
              <w:jc w:val="right"/>
            </w:pPr>
            <w:r>
              <w:rPr>
                <w:rFonts w:ascii="Arial" w:hAnsi="Arial"/>
                <w:b w:val="0"/>
                <w:sz w:val="20"/>
              </w:rPr>
              <w:t xml:space="preserve">0,17823</w:t>
            </w:r>
          </w:p>
        </w:tc>
        <w:tc>
          <w:tcPr>
            <w:tcW w:type="dxa" w:w="915"/>
          </w:tcPr>
          <w:p>
            <w:pPr>
              <w:pStyle w:val="Compact"/>
              <w:keepNext/>
              <w:spacing w:line="240" w:lineRule="auto" w:after="0"/>
              <w:ind w:firstLine="0"/>
              <w:jc w:val="right"/>
            </w:pPr>
            <w:r>
              <w:rPr>
                <w:rFonts w:ascii="Arial" w:hAnsi="Arial"/>
                <w:b w:val="0"/>
                <w:sz w:val="20"/>
              </w:rPr>
              <w:t xml:space="preserve">2</w:t>
            </w:r>
          </w:p>
        </w:tc>
      </w:tr>
      <w:tr>
        <w:trPr>
          <w:cantSplit/>
        </w:trPr>
        <w:tc>
          <w:tcPr>
            <w:tcW w:type="dxa" w:w="4037"/>
          </w:tcPr>
          <w:p>
            <w:pPr>
              <w:pStyle w:val="Compact"/>
              <w:keepNext/>
              <w:spacing w:line="240" w:lineRule="auto" w:after="0"/>
              <w:ind w:firstLine="0"/>
              <w:jc w:val="left"/>
            </w:pPr>
            <w:r>
              <w:rPr>
                <w:rFonts w:ascii="Arial" w:hAnsi="Arial"/>
                <w:b w:val="0"/>
                <w:sz w:val="20"/>
              </w:rPr>
              <w:t xml:space="preserve">Horas trabalhadas</w:t>
            </w:r>
          </w:p>
        </w:tc>
        <w:tc>
          <w:tcPr>
            <w:tcW w:type="dxa" w:w="1602"/>
          </w:tcPr>
          <w:p>
            <w:pPr>
              <w:pStyle w:val="Compact"/>
              <w:keepNext/>
              <w:spacing w:line="240" w:lineRule="auto" w:after="0"/>
              <w:ind w:firstLine="0"/>
              <w:jc w:val="right"/>
            </w:pPr>
            <w:r>
              <w:rPr>
                <w:rFonts w:ascii="Arial" w:hAnsi="Arial"/>
                <w:b w:val="0"/>
                <w:sz w:val="20"/>
              </w:rPr>
              <w:t xml:space="preserve">0,19383</w:t>
            </w:r>
          </w:p>
        </w:tc>
        <w:tc>
          <w:tcPr>
            <w:tcW w:type="dxa" w:w="915"/>
          </w:tcPr>
          <w:p>
            <w:pPr>
              <w:pStyle w:val="Compact"/>
              <w:keepNext/>
              <w:spacing w:line="240" w:lineRule="auto" w:after="0"/>
              <w:ind w:firstLine="0"/>
              <w:jc w:val="right"/>
            </w:pPr>
            <w:r>
              <w:rPr>
                <w:rFonts w:ascii="Arial" w:hAnsi="Arial"/>
                <w:b w:val="0"/>
                <w:sz w:val="20"/>
              </w:rPr>
              <w:t xml:space="preserve">3</w:t>
            </w:r>
          </w:p>
        </w:tc>
        <w:tc>
          <w:tcPr>
            <w:tcW w:type="dxa" w:w="1602"/>
          </w:tcPr>
          <w:p>
            <w:pPr>
              <w:pStyle w:val="Compact"/>
              <w:keepNext/>
              <w:spacing w:line="240" w:lineRule="auto" w:after="0"/>
              <w:ind w:firstLine="0"/>
              <w:jc w:val="right"/>
            </w:pPr>
            <w:r>
              <w:rPr>
                <w:rFonts w:ascii="Arial" w:hAnsi="Arial"/>
                <w:b w:val="0"/>
                <w:sz w:val="20"/>
              </w:rPr>
              <w:t xml:space="preserve">0,17220</w:t>
            </w:r>
          </w:p>
        </w:tc>
        <w:tc>
          <w:tcPr>
            <w:tcW w:type="dxa" w:w="915"/>
          </w:tcPr>
          <w:p>
            <w:pPr>
              <w:pStyle w:val="Compact"/>
              <w:keepNext/>
              <w:spacing w:line="240" w:lineRule="auto" w:after="0"/>
              <w:ind w:firstLine="0"/>
              <w:jc w:val="right"/>
            </w:pPr>
            <w:r>
              <w:rPr>
                <w:rFonts w:ascii="Arial" w:hAnsi="Arial"/>
                <w:b w:val="0"/>
                <w:sz w:val="20"/>
              </w:rPr>
              <w:t xml:space="preserve">3</w:t>
            </w:r>
          </w:p>
        </w:tc>
      </w:tr>
      <w:tr>
        <w:trPr>
          <w:cantSplit/>
        </w:trPr>
        <w:tc>
          <w:tcPr>
            <w:tcW w:type="dxa" w:w="4037"/>
          </w:tcPr>
          <w:p>
            <w:pPr>
              <w:pStyle w:val="Compact"/>
              <w:keepNext/>
              <w:spacing w:line="240" w:lineRule="auto" w:after="0"/>
              <w:ind w:firstLine="0"/>
              <w:jc w:val="left"/>
            </w:pPr>
            <w:r>
              <w:rPr>
                <w:rFonts w:ascii="Arial" w:hAnsi="Arial"/>
                <w:b w:val="0"/>
                <w:sz w:val="20"/>
              </w:rPr>
              <w:t xml:space="preserve">Gênero (feminino)</w:t>
            </w:r>
          </w:p>
        </w:tc>
        <w:tc>
          <w:tcPr>
            <w:tcW w:type="dxa" w:w="1602"/>
          </w:tcPr>
          <w:p>
            <w:pPr>
              <w:pStyle w:val="Compact"/>
              <w:keepNext/>
              <w:spacing w:line="240" w:lineRule="auto" w:after="0"/>
              <w:ind w:firstLine="0"/>
              <w:jc w:val="right"/>
            </w:pPr>
            <w:r>
              <w:rPr>
                <w:rFonts w:ascii="Arial" w:hAnsi="Arial"/>
                <w:b w:val="0"/>
                <w:sz w:val="20"/>
              </w:rPr>
              <w:t xml:space="preserve">0,11166</w:t>
            </w:r>
          </w:p>
        </w:tc>
        <w:tc>
          <w:tcPr>
            <w:tcW w:type="dxa" w:w="915"/>
          </w:tcPr>
          <w:p>
            <w:pPr>
              <w:pStyle w:val="Compact"/>
              <w:keepNext/>
              <w:spacing w:line="240" w:lineRule="auto" w:after="0"/>
              <w:ind w:firstLine="0"/>
              <w:jc w:val="right"/>
            </w:pPr>
            <w:r>
              <w:rPr>
                <w:rFonts w:ascii="Arial" w:hAnsi="Arial"/>
                <w:b w:val="0"/>
                <w:sz w:val="20"/>
              </w:rPr>
              <w:t xml:space="preserve">4</w:t>
            </w:r>
          </w:p>
        </w:tc>
        <w:tc>
          <w:tcPr>
            <w:tcW w:type="dxa" w:w="1602"/>
          </w:tcPr>
          <w:p>
            <w:pPr>
              <w:pStyle w:val="Compact"/>
              <w:keepNext/>
              <w:spacing w:line="240" w:lineRule="auto" w:after="0"/>
              <w:ind w:firstLine="0"/>
              <w:jc w:val="right"/>
            </w:pPr>
            <w:r>
              <w:rPr>
                <w:rFonts w:ascii="Arial" w:hAnsi="Arial"/>
                <w:b w:val="0"/>
                <w:sz w:val="20"/>
              </w:rPr>
              <w:t xml:space="preserve">0,10557</w:t>
            </w:r>
          </w:p>
        </w:tc>
        <w:tc>
          <w:tcPr>
            <w:tcW w:type="dxa" w:w="915"/>
          </w:tcPr>
          <w:p>
            <w:pPr>
              <w:pStyle w:val="Compact"/>
              <w:keepNext/>
              <w:spacing w:line="240" w:lineRule="auto" w:after="0"/>
              <w:ind w:firstLine="0"/>
              <w:jc w:val="right"/>
            </w:pPr>
            <w:r>
              <w:rPr>
                <w:rFonts w:ascii="Arial" w:hAnsi="Arial"/>
                <w:b w:val="0"/>
                <w:sz w:val="20"/>
              </w:rPr>
              <w:t xml:space="preserve">4</w:t>
            </w:r>
          </w:p>
        </w:tc>
      </w:tr>
      <w:tr>
        <w:trPr>
          <w:cantSplit/>
        </w:trPr>
        <w:tc>
          <w:tcPr>
            <w:tcW w:type="dxa" w:w="4037"/>
          </w:tcPr>
          <w:p>
            <w:pPr>
              <w:pStyle w:val="Compact"/>
              <w:keepNext/>
              <w:spacing w:line="240" w:lineRule="auto" w:after="0"/>
              <w:ind w:firstLine="0"/>
              <w:jc w:val="left"/>
            </w:pPr>
            <w:r>
              <w:rPr>
                <w:rFonts w:ascii="Arial" w:hAnsi="Arial"/>
                <w:b w:val="0"/>
                <w:sz w:val="20"/>
              </w:rPr>
              <w:t xml:space="preserve">Emprego formal (carteira)</w:t>
            </w:r>
          </w:p>
        </w:tc>
        <w:tc>
          <w:tcPr>
            <w:tcW w:type="dxa" w:w="1602"/>
          </w:tcPr>
          <w:p>
            <w:pPr>
              <w:pStyle w:val="Compact"/>
              <w:keepNext/>
              <w:spacing w:line="240" w:lineRule="auto" w:after="0"/>
              <w:ind w:firstLine="0"/>
              <w:jc w:val="right"/>
            </w:pPr>
            <w:r>
              <w:rPr>
                <w:rFonts w:ascii="Arial" w:hAnsi="Arial"/>
                <w:b w:val="0"/>
                <w:sz w:val="20"/>
              </w:rPr>
              <w:t xml:space="preserve">0,11100</w:t>
            </w:r>
          </w:p>
        </w:tc>
        <w:tc>
          <w:tcPr>
            <w:tcW w:type="dxa" w:w="915"/>
          </w:tcPr>
          <w:p>
            <w:pPr>
              <w:pStyle w:val="Compact"/>
              <w:keepNext/>
              <w:spacing w:line="240" w:lineRule="auto" w:after="0"/>
              <w:ind w:firstLine="0"/>
              <w:jc w:val="right"/>
            </w:pPr>
            <w:r>
              <w:rPr>
                <w:rFonts w:ascii="Arial" w:hAnsi="Arial"/>
                <w:b w:val="0"/>
                <w:sz w:val="20"/>
              </w:rPr>
              <w:t xml:space="preserve">5</w:t>
            </w:r>
          </w:p>
        </w:tc>
        <w:tc>
          <w:tcPr>
            <w:tcW w:type="dxa" w:w="1602"/>
          </w:tcPr>
          <w:p>
            <w:pPr>
              <w:pStyle w:val="Compact"/>
              <w:keepNext/>
              <w:spacing w:line="240" w:lineRule="auto" w:after="0"/>
              <w:ind w:firstLine="0"/>
              <w:jc w:val="right"/>
            </w:pPr>
            <w:r>
              <w:rPr>
                <w:rFonts w:ascii="Arial" w:hAnsi="Arial"/>
                <w:b w:val="0"/>
                <w:sz w:val="20"/>
              </w:rPr>
              <w:t xml:space="preserve">0,10548</w:t>
            </w:r>
          </w:p>
        </w:tc>
        <w:tc>
          <w:tcPr>
            <w:tcW w:type="dxa" w:w="915"/>
          </w:tcPr>
          <w:p>
            <w:pPr>
              <w:pStyle w:val="Compact"/>
              <w:keepNext/>
              <w:spacing w:line="240" w:lineRule="auto" w:after="0"/>
              <w:ind w:firstLine="0"/>
              <w:jc w:val="right"/>
            </w:pPr>
            <w:r>
              <w:rPr>
                <w:rFonts w:ascii="Arial" w:hAnsi="Arial"/>
                <w:b w:val="0"/>
                <w:sz w:val="20"/>
              </w:rPr>
              <w:t xml:space="preserve">5</w:t>
            </w:r>
          </w:p>
        </w:tc>
      </w:tr>
      <w:tr>
        <w:trPr>
          <w:cantSplit/>
        </w:trPr>
        <w:tc>
          <w:tcPr>
            <w:tcW w:type="dxa" w:w="4037"/>
          </w:tcPr>
          <w:p>
            <w:pPr>
              <w:pStyle w:val="Compact"/>
              <w:keepNext/>
              <w:spacing w:line="240" w:lineRule="auto" w:after="0"/>
              <w:ind w:firstLine="0"/>
              <w:jc w:val="left"/>
            </w:pPr>
            <w:r>
              <w:rPr>
                <w:rFonts w:ascii="Arial" w:hAnsi="Arial"/>
                <w:b w:val="0"/>
                <w:sz w:val="20"/>
              </w:rPr>
              <w:t xml:space="preserve">Idade (centrada)</w:t>
            </w:r>
          </w:p>
        </w:tc>
        <w:tc>
          <w:tcPr>
            <w:tcW w:type="dxa" w:w="1602"/>
          </w:tcPr>
          <w:p>
            <w:pPr>
              <w:pStyle w:val="Compact"/>
              <w:keepNext/>
              <w:spacing w:line="240" w:lineRule="auto" w:after="0"/>
              <w:ind w:firstLine="0"/>
              <w:jc w:val="right"/>
            </w:pPr>
            <w:r>
              <w:rPr>
                <w:rFonts w:ascii="Arial" w:hAnsi="Arial"/>
                <w:b w:val="0"/>
                <w:sz w:val="20"/>
              </w:rPr>
              <w:t xml:space="preserve">0,05669</w:t>
            </w:r>
          </w:p>
        </w:tc>
        <w:tc>
          <w:tcPr>
            <w:tcW w:type="dxa" w:w="915"/>
          </w:tcPr>
          <w:p>
            <w:pPr>
              <w:pStyle w:val="Compact"/>
              <w:keepNext/>
              <w:spacing w:line="240" w:lineRule="auto" w:after="0"/>
              <w:ind w:firstLine="0"/>
              <w:jc w:val="right"/>
            </w:pPr>
            <w:r>
              <w:rPr>
                <w:rFonts w:ascii="Arial" w:hAnsi="Arial"/>
                <w:b w:val="0"/>
                <w:sz w:val="20"/>
              </w:rPr>
              <w:t xml:space="preserve">6</w:t>
            </w:r>
          </w:p>
        </w:tc>
        <w:tc>
          <w:tcPr>
            <w:tcW w:type="dxa" w:w="1602"/>
          </w:tcPr>
          <w:p>
            <w:pPr>
              <w:pStyle w:val="Compact"/>
              <w:keepNext/>
              <w:spacing w:line="240" w:lineRule="auto" w:after="0"/>
              <w:ind w:firstLine="0"/>
              <w:jc w:val="right"/>
            </w:pPr>
            <w:r>
              <w:rPr>
                <w:rFonts w:ascii="Arial" w:hAnsi="Arial"/>
                <w:b w:val="0"/>
                <w:sz w:val="20"/>
              </w:rPr>
              <w:t xml:space="preserve">0,09059</w:t>
            </w:r>
          </w:p>
        </w:tc>
        <w:tc>
          <w:tcPr>
            <w:tcW w:type="dxa" w:w="915"/>
          </w:tcPr>
          <w:p>
            <w:pPr>
              <w:pStyle w:val="Compact"/>
              <w:keepNext/>
              <w:spacing w:line="240" w:lineRule="auto" w:after="0"/>
              <w:ind w:firstLine="0"/>
              <w:jc w:val="right"/>
            </w:pPr>
            <w:r>
              <w:rPr>
                <w:rFonts w:ascii="Arial" w:hAnsi="Arial"/>
                <w:b w:val="0"/>
                <w:sz w:val="20"/>
              </w:rPr>
              <w:t xml:space="preserve">6</w:t>
            </w:r>
          </w:p>
        </w:tc>
      </w:tr>
      <w:tr>
        <w:trPr>
          <w:cantSplit/>
        </w:trPr>
        <w:tc>
          <w:tcPr>
            <w:tcW w:type="dxa" w:w="4037"/>
          </w:tcPr>
          <w:p>
            <w:pPr>
              <w:pStyle w:val="Compact"/>
              <w:keepNext/>
              <w:spacing w:line="240" w:lineRule="auto" w:after="0"/>
              <w:ind w:firstLine="0"/>
              <w:jc w:val="left"/>
            </w:pPr>
            <w:r>
              <w:rPr>
                <w:rFonts w:ascii="Arial" w:hAnsi="Arial"/>
                <w:b w:val="0"/>
                <w:sz w:val="20"/>
              </w:rPr>
              <w:t xml:space="preserve">Conta própria</w:t>
            </w:r>
          </w:p>
        </w:tc>
        <w:tc>
          <w:tcPr>
            <w:tcW w:type="dxa" w:w="1602"/>
          </w:tcPr>
          <w:p>
            <w:pPr>
              <w:pStyle w:val="Compact"/>
              <w:keepNext/>
              <w:spacing w:line="240" w:lineRule="auto" w:after="0"/>
              <w:ind w:firstLine="0"/>
              <w:jc w:val="right"/>
            </w:pPr>
            <w:r>
              <w:rPr>
                <w:rFonts w:ascii="Arial" w:hAnsi="Arial"/>
                <w:b w:val="0"/>
                <w:sz w:val="20"/>
              </w:rPr>
              <w:t xml:space="preserve">0,02228</w:t>
            </w:r>
          </w:p>
        </w:tc>
        <w:tc>
          <w:tcPr>
            <w:tcW w:type="dxa" w:w="915"/>
          </w:tcPr>
          <w:p>
            <w:pPr>
              <w:pStyle w:val="Compact"/>
              <w:keepNext/>
              <w:spacing w:line="240" w:lineRule="auto" w:after="0"/>
              <w:ind w:firstLine="0"/>
              <w:jc w:val="right"/>
            </w:pPr>
            <w:r>
              <w:rPr>
                <w:rFonts w:ascii="Arial" w:hAnsi="Arial"/>
                <w:b w:val="0"/>
                <w:sz w:val="20"/>
              </w:rPr>
              <w:t xml:space="preserve">10</w:t>
            </w:r>
          </w:p>
        </w:tc>
        <w:tc>
          <w:tcPr>
            <w:tcW w:type="dxa" w:w="1602"/>
          </w:tcPr>
          <w:p>
            <w:pPr>
              <w:pStyle w:val="Compact"/>
              <w:keepNext/>
              <w:spacing w:line="240" w:lineRule="auto" w:after="0"/>
              <w:ind w:firstLine="0"/>
              <w:jc w:val="right"/>
            </w:pPr>
            <w:r>
              <w:rPr>
                <w:rFonts w:ascii="Arial" w:hAnsi="Arial"/>
                <w:b w:val="0"/>
                <w:sz w:val="20"/>
              </w:rPr>
              <w:t xml:space="preserve">0,05621</w:t>
            </w:r>
          </w:p>
        </w:tc>
        <w:tc>
          <w:tcPr>
            <w:tcW w:type="dxa" w:w="915"/>
          </w:tcPr>
          <w:p>
            <w:pPr>
              <w:pStyle w:val="Compact"/>
              <w:keepNext/>
              <w:spacing w:line="240" w:lineRule="auto" w:after="0"/>
              <w:ind w:firstLine="0"/>
              <w:jc w:val="right"/>
            </w:pPr>
            <w:r>
              <w:rPr>
                <w:rFonts w:ascii="Arial" w:hAnsi="Arial"/>
                <w:b w:val="0"/>
                <w:sz w:val="20"/>
              </w:rPr>
              <w:t xml:space="preserve">7</w:t>
            </w:r>
          </w:p>
        </w:tc>
      </w:tr>
      <w:tr>
        <w:trPr>
          <w:cantSplit/>
        </w:trPr>
        <w:tc>
          <w:tcPr>
            <w:tcW w:type="dxa" w:w="4037"/>
          </w:tcPr>
          <w:p>
            <w:pPr>
              <w:pStyle w:val="Compact"/>
              <w:keepNext/>
              <w:spacing w:line="240" w:lineRule="auto" w:after="0"/>
              <w:ind w:firstLine="0"/>
              <w:jc w:val="left"/>
            </w:pPr>
            <w:r>
              <w:rPr>
                <w:rFonts w:ascii="Arial" w:hAnsi="Arial"/>
                <w:b w:val="0"/>
                <w:sz w:val="20"/>
              </w:rPr>
              <w:t xml:space="preserve">CBO: Profissionais</w:t>
            </w:r>
          </w:p>
        </w:tc>
        <w:tc>
          <w:tcPr>
            <w:tcW w:type="dxa" w:w="1602"/>
          </w:tcPr>
          <w:p>
            <w:pPr>
              <w:pStyle w:val="Compact"/>
              <w:keepNext/>
              <w:spacing w:line="240" w:lineRule="auto" w:after="0"/>
              <w:ind w:firstLine="0"/>
              <w:jc w:val="right"/>
            </w:pPr>
            <w:r>
              <w:rPr>
                <w:rFonts w:ascii="Arial" w:hAnsi="Arial"/>
                <w:b w:val="0"/>
                <w:sz w:val="20"/>
              </w:rPr>
              <w:t xml:space="preserve">0,02371</w:t>
            </w:r>
          </w:p>
        </w:tc>
        <w:tc>
          <w:tcPr>
            <w:tcW w:type="dxa" w:w="915"/>
          </w:tcPr>
          <w:p>
            <w:pPr>
              <w:pStyle w:val="Compact"/>
              <w:keepNext/>
              <w:spacing w:line="240" w:lineRule="auto" w:after="0"/>
              <w:ind w:firstLine="0"/>
              <w:jc w:val="right"/>
            </w:pPr>
            <w:r>
              <w:rPr>
                <w:rFonts w:ascii="Arial" w:hAnsi="Arial"/>
                <w:b w:val="0"/>
                <w:sz w:val="20"/>
              </w:rPr>
              <w:t xml:space="preserve">9</w:t>
            </w:r>
          </w:p>
        </w:tc>
        <w:tc>
          <w:tcPr>
            <w:tcW w:type="dxa" w:w="1602"/>
          </w:tcPr>
          <w:p>
            <w:pPr>
              <w:pStyle w:val="Compact"/>
              <w:keepNext/>
              <w:spacing w:line="240" w:lineRule="auto" w:after="0"/>
              <w:ind w:firstLine="0"/>
              <w:jc w:val="right"/>
            </w:pPr>
            <w:r>
              <w:rPr>
                <w:rFonts w:ascii="Arial" w:hAnsi="Arial"/>
                <w:b w:val="0"/>
                <w:sz w:val="20"/>
              </w:rPr>
              <w:t xml:space="preserve">0,05440</w:t>
            </w:r>
          </w:p>
        </w:tc>
        <w:tc>
          <w:tcPr>
            <w:tcW w:type="dxa" w:w="915"/>
          </w:tcPr>
          <w:p>
            <w:pPr>
              <w:pStyle w:val="Compact"/>
              <w:keepNext/>
              <w:spacing w:line="240" w:lineRule="auto" w:after="0"/>
              <w:ind w:firstLine="0"/>
              <w:jc w:val="right"/>
            </w:pPr>
            <w:r>
              <w:rPr>
                <w:rFonts w:ascii="Arial" w:hAnsi="Arial"/>
                <w:b w:val="0"/>
                <w:sz w:val="20"/>
              </w:rPr>
              <w:t xml:space="preserve">8</w:t>
            </w:r>
          </w:p>
        </w:tc>
      </w:tr>
      <w:tr>
        <w:trPr>
          <w:cantSplit/>
        </w:trPr>
        <w:tc>
          <w:tcPr>
            <w:tcW w:type="dxa" w:w="4037"/>
          </w:tcPr>
          <w:p>
            <w:pPr>
              <w:pStyle w:val="Compact"/>
              <w:keepNext/>
              <w:spacing w:line="240" w:lineRule="auto" w:after="0"/>
              <w:ind w:firstLine="0"/>
              <w:jc w:val="left"/>
            </w:pPr>
            <w:r>
              <w:rPr>
                <w:rFonts w:ascii="Arial" w:hAnsi="Arial"/>
                <w:b w:val="0"/>
                <w:sz w:val="20"/>
              </w:rPr>
              <w:t xml:space="preserve">Educ.: médio completo</w:t>
            </w:r>
          </w:p>
        </w:tc>
        <w:tc>
          <w:tcPr>
            <w:tcW w:type="dxa" w:w="1602"/>
          </w:tcPr>
          <w:p>
            <w:pPr>
              <w:pStyle w:val="Compact"/>
              <w:keepNext/>
              <w:spacing w:line="240" w:lineRule="auto" w:after="0"/>
              <w:ind w:firstLine="0"/>
              <w:jc w:val="right"/>
            </w:pPr>
            <w:r>
              <w:rPr>
                <w:rFonts w:ascii="Arial" w:hAnsi="Arial"/>
                <w:b w:val="0"/>
                <w:sz w:val="20"/>
              </w:rPr>
              <w:t xml:space="preserve">0,04494</w:t>
            </w:r>
          </w:p>
        </w:tc>
        <w:tc>
          <w:tcPr>
            <w:tcW w:type="dxa" w:w="915"/>
          </w:tcPr>
          <w:p>
            <w:pPr>
              <w:pStyle w:val="Compact"/>
              <w:keepNext/>
              <w:spacing w:line="240" w:lineRule="auto" w:after="0"/>
              <w:ind w:firstLine="0"/>
              <w:jc w:val="right"/>
            </w:pPr>
            <w:r>
              <w:rPr>
                <w:rFonts w:ascii="Arial" w:hAnsi="Arial"/>
                <w:b w:val="0"/>
                <w:sz w:val="20"/>
              </w:rPr>
              <w:t xml:space="preserve">7</w:t>
            </w:r>
          </w:p>
        </w:tc>
        <w:tc>
          <w:tcPr>
            <w:tcW w:type="dxa" w:w="1602"/>
          </w:tcPr>
          <w:p>
            <w:pPr>
              <w:pStyle w:val="Compact"/>
              <w:keepNext/>
              <w:spacing w:line="240" w:lineRule="auto" w:after="0"/>
              <w:ind w:firstLine="0"/>
              <w:jc w:val="right"/>
            </w:pPr>
            <w:r>
              <w:rPr>
                <w:rFonts w:ascii="Arial" w:hAnsi="Arial"/>
                <w:b w:val="0"/>
                <w:sz w:val="20"/>
              </w:rPr>
              <w:t xml:space="preserve">0,04043</w:t>
            </w:r>
          </w:p>
        </w:tc>
        <w:tc>
          <w:tcPr>
            <w:tcW w:type="dxa" w:w="915"/>
          </w:tcPr>
          <w:p>
            <w:pPr>
              <w:pStyle w:val="Compact"/>
              <w:keepNext/>
              <w:spacing w:line="240" w:lineRule="auto" w:after="0"/>
              <w:ind w:firstLine="0"/>
              <w:jc w:val="right"/>
            </w:pPr>
            <w:r>
              <w:rPr>
                <w:rFonts w:ascii="Arial" w:hAnsi="Arial"/>
                <w:b w:val="0"/>
                <w:sz w:val="20"/>
              </w:rPr>
              <w:t xml:space="preserve">9</w:t>
            </w:r>
          </w:p>
        </w:tc>
      </w:tr>
      <w:tr>
        <w:trPr>
          <w:cantSplit/>
        </w:trPr>
        <w:tc>
          <w:tcPr>
            <w:tcW w:type="dxa" w:w="4037"/>
          </w:tcPr>
          <w:p>
            <w:pPr>
              <w:pStyle w:val="Compact"/>
              <w:keepNext/>
              <w:spacing w:line="240" w:lineRule="auto" w:after="0"/>
              <w:ind w:firstLine="0"/>
              <w:jc w:val="left"/>
            </w:pPr>
            <w:r>
              <w:rPr>
                <w:rFonts w:ascii="Arial" w:hAnsi="Arial"/>
                <w:b w:val="0"/>
                <w:sz w:val="20"/>
              </w:rPr>
              <w:t xml:space="preserve">CBO: Técnicos</w:t>
            </w:r>
          </w:p>
        </w:tc>
        <w:tc>
          <w:tcPr>
            <w:tcW w:type="dxa" w:w="1602"/>
          </w:tcPr>
          <w:p>
            <w:pPr>
              <w:pStyle w:val="Compact"/>
              <w:keepNext/>
              <w:spacing w:line="240" w:lineRule="auto" w:after="0"/>
              <w:ind w:firstLine="0"/>
              <w:jc w:val="right"/>
            </w:pPr>
            <w:r>
              <w:rPr>
                <w:rFonts w:ascii="Arial" w:hAnsi="Arial"/>
                <w:b w:val="0"/>
                <w:sz w:val="20"/>
              </w:rPr>
              <w:t xml:space="preserve">0,02033</w:t>
            </w:r>
          </w:p>
        </w:tc>
        <w:tc>
          <w:tcPr>
            <w:tcW w:type="dxa" w:w="915"/>
          </w:tcPr>
          <w:p>
            <w:pPr>
              <w:pStyle w:val="Compact"/>
              <w:keepNext/>
              <w:spacing w:line="240" w:lineRule="auto" w:after="0"/>
              <w:ind w:firstLine="0"/>
              <w:jc w:val="right"/>
            </w:pPr>
            <w:r>
              <w:rPr>
                <w:rFonts w:ascii="Arial" w:hAnsi="Arial"/>
                <w:b w:val="0"/>
                <w:sz w:val="20"/>
              </w:rPr>
              <w:t xml:space="preserve">11</w:t>
            </w:r>
          </w:p>
        </w:tc>
        <w:tc>
          <w:tcPr>
            <w:tcW w:type="dxa" w:w="1602"/>
          </w:tcPr>
          <w:p>
            <w:pPr>
              <w:pStyle w:val="Compact"/>
              <w:keepNext/>
              <w:spacing w:line="240" w:lineRule="auto" w:after="0"/>
              <w:ind w:firstLine="0"/>
              <w:jc w:val="right"/>
            </w:pPr>
            <w:r>
              <w:rPr>
                <w:rFonts w:ascii="Arial" w:hAnsi="Arial"/>
                <w:b w:val="0"/>
                <w:sz w:val="20"/>
              </w:rPr>
              <w:t xml:space="preserve">0,03875</w:t>
            </w:r>
          </w:p>
        </w:tc>
        <w:tc>
          <w:tcPr>
            <w:tcW w:type="dxa" w:w="915"/>
          </w:tcPr>
          <w:p>
            <w:pPr>
              <w:pStyle w:val="Compact"/>
              <w:keepNext/>
              <w:spacing w:line="240" w:lineRule="auto" w:after="0"/>
              <w:ind w:firstLine="0"/>
              <w:jc w:val="right"/>
            </w:pPr>
            <w:r>
              <w:rPr>
                <w:rFonts w:ascii="Arial" w:hAnsi="Arial"/>
                <w:b w:val="0"/>
                <w:sz w:val="20"/>
              </w:rPr>
              <w:t xml:space="preserve">10</w:t>
            </w:r>
          </w:p>
        </w:tc>
      </w:tr>
      <w:tr>
        <w:trPr>
          <w:cantSplit/>
        </w:trPr>
        <w:tc>
          <w:tcPr>
            <w:tcW w:type="dxa" w:w="4037"/>
          </w:tcPr>
          <w:p>
            <w:pPr>
              <w:pStyle w:val="Compact"/>
              <w:keepNext/>
              <w:spacing w:line="240" w:lineRule="auto" w:after="0"/>
              <w:ind w:firstLine="0"/>
              <w:jc w:val="left"/>
            </w:pPr>
            <w:r>
              <w:rPr>
                <w:rFonts w:ascii="Arial" w:hAnsi="Arial"/>
                <w:b w:val="0"/>
                <w:sz w:val="20"/>
              </w:rPr>
              <w:t xml:space="preserve">Educ. média Estado</w:t>
            </w:r>
          </w:p>
        </w:tc>
        <w:tc>
          <w:tcPr>
            <w:tcW w:type="dxa" w:w="1602"/>
          </w:tcPr>
          <w:p>
            <w:pPr>
              <w:pStyle w:val="Compact"/>
              <w:keepNext/>
              <w:spacing w:line="240" w:lineRule="auto" w:after="0"/>
              <w:ind w:firstLine="0"/>
              <w:jc w:val="right"/>
            </w:pPr>
            <w:r>
              <w:rPr>
                <w:rFonts w:ascii="Arial" w:hAnsi="Arial"/>
                <w:b w:val="0"/>
                <w:sz w:val="20"/>
              </w:rPr>
              <w:t xml:space="preserve">0,00210</w:t>
            </w:r>
          </w:p>
        </w:tc>
        <w:tc>
          <w:tcPr>
            <w:tcW w:type="dxa" w:w="915"/>
          </w:tcPr>
          <w:p>
            <w:pPr>
              <w:pStyle w:val="Compact"/>
              <w:keepNext/>
              <w:spacing w:line="240" w:lineRule="auto" w:after="0"/>
              <w:ind w:firstLine="0"/>
              <w:jc w:val="right"/>
            </w:pPr>
            <w:r>
              <w:rPr>
                <w:rFonts w:ascii="Arial" w:hAnsi="Arial"/>
                <w:b w:val="0"/>
                <w:sz w:val="20"/>
              </w:rPr>
              <w:t xml:space="preserve">21</w:t>
            </w:r>
          </w:p>
        </w:tc>
        <w:tc>
          <w:tcPr>
            <w:tcW w:type="dxa" w:w="1602"/>
          </w:tcPr>
          <w:p>
            <w:pPr>
              <w:pStyle w:val="Compact"/>
              <w:keepNext/>
              <w:spacing w:line="240" w:lineRule="auto" w:after="0"/>
              <w:ind w:firstLine="0"/>
              <w:jc w:val="right"/>
            </w:pPr>
            <w:r>
              <w:rPr>
                <w:rFonts w:ascii="Arial" w:hAnsi="Arial"/>
                <w:b w:val="0"/>
                <w:sz w:val="20"/>
              </w:rPr>
              <w:t xml:space="preserve">0,03339</w:t>
            </w:r>
          </w:p>
        </w:tc>
        <w:tc>
          <w:tcPr>
            <w:tcW w:type="dxa" w:w="915"/>
          </w:tcPr>
          <w:p>
            <w:pPr>
              <w:pStyle w:val="Compact"/>
              <w:keepNext/>
              <w:spacing w:line="240" w:lineRule="auto" w:after="0"/>
              <w:ind w:firstLine="0"/>
              <w:jc w:val="right"/>
            </w:pPr>
            <w:r>
              <w:rPr>
                <w:rFonts w:ascii="Arial" w:hAnsi="Arial"/>
                <w:b w:val="0"/>
                <w:sz w:val="20"/>
              </w:rPr>
              <w:t xml:space="preserve">11</w:t>
            </w:r>
          </w:p>
        </w:tc>
      </w:tr>
      <w:tr>
        <w:trPr>
          <w:cantSplit/>
        </w:trPr>
        <w:tc>
          <w:tcPr>
            <w:tcW w:type="dxa" w:w="4037"/>
          </w:tcPr>
          <w:p>
            <w:pPr>
              <w:pStyle w:val="Compact"/>
              <w:keepNext/>
              <w:spacing w:line="240" w:lineRule="auto" w:after="0"/>
              <w:ind w:firstLine="0"/>
              <w:jc w:val="left"/>
            </w:pPr>
            <w:r>
              <w:rPr>
                <w:rFonts w:ascii="Arial" w:hAnsi="Arial"/>
                <w:b w:val="0"/>
                <w:sz w:val="20"/>
              </w:rPr>
              <w:t xml:space="preserve">CBO: Dirigentes</w:t>
            </w:r>
          </w:p>
        </w:tc>
        <w:tc>
          <w:tcPr>
            <w:tcW w:type="dxa" w:w="1602"/>
          </w:tcPr>
          <w:p>
            <w:pPr>
              <w:pStyle w:val="Compact"/>
              <w:keepNext/>
              <w:spacing w:line="240" w:lineRule="auto" w:after="0"/>
              <w:ind w:firstLine="0"/>
              <w:jc w:val="right"/>
            </w:pPr>
            <w:r>
              <w:rPr>
                <w:rFonts w:ascii="Arial" w:hAnsi="Arial"/>
                <w:b w:val="0"/>
                <w:sz w:val="20"/>
              </w:rPr>
              <w:t xml:space="preserve">0,02388</w:t>
            </w:r>
          </w:p>
        </w:tc>
        <w:tc>
          <w:tcPr>
            <w:tcW w:type="dxa" w:w="915"/>
          </w:tcPr>
          <w:p>
            <w:pPr>
              <w:pStyle w:val="Compact"/>
              <w:keepNext/>
              <w:spacing w:line="240" w:lineRule="auto" w:after="0"/>
              <w:ind w:firstLine="0"/>
              <w:jc w:val="right"/>
            </w:pPr>
            <w:r>
              <w:rPr>
                <w:rFonts w:ascii="Arial" w:hAnsi="Arial"/>
                <w:b w:val="0"/>
                <w:sz w:val="20"/>
              </w:rPr>
              <w:t xml:space="preserve">8</w:t>
            </w:r>
          </w:p>
        </w:tc>
        <w:tc>
          <w:tcPr>
            <w:tcW w:type="dxa" w:w="1602"/>
          </w:tcPr>
          <w:p>
            <w:pPr>
              <w:pStyle w:val="Compact"/>
              <w:keepNext/>
              <w:spacing w:line="240" w:lineRule="auto" w:after="0"/>
              <w:ind w:firstLine="0"/>
              <w:jc w:val="right"/>
            </w:pPr>
            <w:r>
              <w:rPr>
                <w:rFonts w:ascii="Arial" w:hAnsi="Arial"/>
                <w:b w:val="0"/>
                <w:sz w:val="20"/>
              </w:rPr>
              <w:t xml:space="preserve">0,03276</w:t>
            </w:r>
          </w:p>
        </w:tc>
        <w:tc>
          <w:tcPr>
            <w:tcW w:type="dxa" w:w="915"/>
          </w:tcPr>
          <w:p>
            <w:pPr>
              <w:pStyle w:val="Compact"/>
              <w:keepNext/>
              <w:spacing w:line="240" w:lineRule="auto" w:after="0"/>
              <w:ind w:firstLine="0"/>
              <w:jc w:val="right"/>
            </w:pPr>
            <w:r>
              <w:rPr>
                <w:rFonts w:ascii="Arial" w:hAnsi="Arial"/>
                <w:b w:val="0"/>
                <w:sz w:val="20"/>
              </w:rPr>
              <w:t xml:space="preserve">12</w:t>
            </w:r>
          </w:p>
        </w:tc>
      </w:tr>
      <w:tr>
        <w:trPr>
          <w:cantSplit/>
        </w:trPr>
        <w:tc>
          <w:tcPr>
            <w:tcW w:type="dxa" w:w="4037"/>
          </w:tcPr>
          <w:p>
            <w:pPr>
              <w:pStyle w:val="Compact"/>
              <w:keepNext/>
              <w:spacing w:line="240" w:lineRule="auto" w:after="0"/>
              <w:ind w:firstLine="0"/>
              <w:jc w:val="left"/>
            </w:pPr>
            <w:r>
              <w:rPr>
                <w:rFonts w:ascii="Arial" w:hAnsi="Arial"/>
                <w:b w:val="0"/>
                <w:sz w:val="20"/>
              </w:rPr>
              <w:t xml:space="preserve">Educ.: fundamental completo</w:t>
            </w:r>
          </w:p>
        </w:tc>
        <w:tc>
          <w:tcPr>
            <w:tcW w:type="dxa" w:w="1602"/>
          </w:tcPr>
          <w:p>
            <w:pPr>
              <w:pStyle w:val="Compact"/>
              <w:keepNext/>
              <w:spacing w:line="240" w:lineRule="auto" w:after="0"/>
              <w:ind w:firstLine="0"/>
              <w:jc w:val="right"/>
            </w:pPr>
            <w:r>
              <w:rPr>
                <w:rFonts w:ascii="Arial" w:hAnsi="Arial"/>
                <w:b w:val="0"/>
                <w:sz w:val="20"/>
              </w:rPr>
              <w:t xml:space="preserve">0,00738</w:t>
            </w:r>
          </w:p>
        </w:tc>
        <w:tc>
          <w:tcPr>
            <w:tcW w:type="dxa" w:w="915"/>
          </w:tcPr>
          <w:p>
            <w:pPr>
              <w:pStyle w:val="Compact"/>
              <w:keepNext/>
              <w:spacing w:line="240" w:lineRule="auto" w:after="0"/>
              <w:ind w:firstLine="0"/>
              <w:jc w:val="right"/>
            </w:pPr>
            <w:r>
              <w:rPr>
                <w:rFonts w:ascii="Arial" w:hAnsi="Arial"/>
                <w:b w:val="0"/>
                <w:sz w:val="20"/>
              </w:rPr>
              <w:t xml:space="preserve">14</w:t>
            </w:r>
          </w:p>
        </w:tc>
        <w:tc>
          <w:tcPr>
            <w:tcW w:type="dxa" w:w="1602"/>
          </w:tcPr>
          <w:p>
            <w:pPr>
              <w:pStyle w:val="Compact"/>
              <w:keepNext/>
              <w:spacing w:line="240" w:lineRule="auto" w:after="0"/>
              <w:ind w:firstLine="0"/>
              <w:jc w:val="right"/>
            </w:pPr>
            <w:r>
              <w:rPr>
                <w:rFonts w:ascii="Arial" w:hAnsi="Arial"/>
                <w:b w:val="0"/>
                <w:sz w:val="20"/>
              </w:rPr>
              <w:t xml:space="preserve">0,02993</w:t>
            </w:r>
          </w:p>
        </w:tc>
        <w:tc>
          <w:tcPr>
            <w:tcW w:type="dxa" w:w="915"/>
          </w:tcPr>
          <w:p>
            <w:pPr>
              <w:pStyle w:val="Compact"/>
              <w:keepNext/>
              <w:spacing w:line="240" w:lineRule="auto" w:after="0"/>
              <w:ind w:firstLine="0"/>
              <w:jc w:val="right"/>
            </w:pPr>
            <w:r>
              <w:rPr>
                <w:rFonts w:ascii="Arial" w:hAnsi="Arial"/>
                <w:b w:val="0"/>
                <w:sz w:val="20"/>
              </w:rPr>
              <w:t xml:space="preserve">13</w:t>
            </w:r>
          </w:p>
        </w:tc>
      </w:tr>
      <w:tr>
        <w:trPr>
          <w:cantSplit/>
        </w:trPr>
        <w:tc>
          <w:tcPr>
            <w:tcW w:type="dxa" w:w="4037"/>
          </w:tcPr>
          <w:p>
            <w:pPr>
              <w:pStyle w:val="Compact"/>
              <w:keepNext/>
              <w:spacing w:line="240" w:lineRule="auto" w:after="0"/>
              <w:ind w:firstLine="0"/>
              <w:jc w:val="left"/>
            </w:pPr>
            <w:r>
              <w:rPr>
                <w:rFonts w:ascii="Arial" w:hAnsi="Arial"/>
                <w:b w:val="0"/>
                <w:bCs/>
                <w:sz w:val="20"/>
              </w:rPr>
              <w:t xml:space="preserve">Raça (negro)</w:t>
            </w:r>
          </w:p>
        </w:tc>
        <w:tc>
          <w:tcPr>
            <w:tcW w:type="dxa" w:w="1602"/>
          </w:tcPr>
          <w:p>
            <w:pPr>
              <w:pStyle w:val="Compact"/>
              <w:keepNext/>
              <w:spacing w:line="240" w:lineRule="auto" w:after="0"/>
              <w:ind w:firstLine="0"/>
              <w:jc w:val="right"/>
            </w:pPr>
            <w:r>
              <w:rPr>
                <w:rFonts w:ascii="Arial" w:hAnsi="Arial"/>
                <w:b w:val="0"/>
                <w:sz w:val="20"/>
              </w:rPr>
              <w:t xml:space="preserve">0,00222</w:t>
            </w:r>
          </w:p>
        </w:tc>
        <w:tc>
          <w:tcPr>
            <w:tcW w:type="dxa" w:w="915"/>
          </w:tcPr>
          <w:p>
            <w:pPr>
              <w:pStyle w:val="Compact"/>
              <w:keepNext/>
              <w:spacing w:line="240" w:lineRule="auto" w:after="0"/>
              <w:ind w:firstLine="0"/>
              <w:jc w:val="right"/>
            </w:pPr>
            <w:r>
              <w:rPr>
                <w:rFonts w:ascii="Arial" w:hAnsi="Arial"/>
                <w:b w:val="0"/>
                <w:sz w:val="20"/>
              </w:rPr>
              <w:t xml:space="preserve">20</w:t>
            </w:r>
          </w:p>
        </w:tc>
        <w:tc>
          <w:tcPr>
            <w:tcW w:type="dxa" w:w="1602"/>
          </w:tcPr>
          <w:p>
            <w:pPr>
              <w:pStyle w:val="Compact"/>
              <w:keepNext/>
              <w:spacing w:line="240" w:lineRule="auto" w:after="0"/>
              <w:ind w:firstLine="0"/>
              <w:jc w:val="right"/>
            </w:pPr>
            <w:r>
              <w:rPr>
                <w:rFonts w:ascii="Arial" w:hAnsi="Arial"/>
                <w:b w:val="0"/>
                <w:sz w:val="20"/>
              </w:rPr>
              <w:t xml:space="preserve">0,02656</w:t>
            </w:r>
          </w:p>
        </w:tc>
        <w:tc>
          <w:tcPr>
            <w:tcW w:type="dxa" w:w="915"/>
          </w:tcPr>
          <w:p>
            <w:pPr>
              <w:pStyle w:val="Compact"/>
              <w:keepNext/>
              <w:spacing w:line="240" w:lineRule="auto" w:after="0"/>
              <w:ind w:firstLine="0"/>
              <w:jc w:val="right"/>
            </w:pPr>
            <w:r>
              <w:rPr>
                <w:rFonts w:ascii="Arial" w:hAnsi="Arial"/>
                <w:b w:val="0"/>
                <w:sz w:val="20"/>
              </w:rPr>
              <w:t xml:space="preserve">14</w:t>
            </w:r>
          </w:p>
        </w:tc>
      </w:tr>
      <w:tr>
        <w:trPr>
          <w:cantSplit/>
        </w:trPr>
        <w:tc>
          <w:tcPr>
            <w:tcW w:type="dxa" w:w="4037"/>
          </w:tcPr>
          <w:p>
            <w:pPr>
              <w:pStyle w:val="Compact"/>
              <w:keepNext/>
              <w:spacing w:line="240" w:lineRule="auto" w:after="0"/>
              <w:ind w:firstLine="0"/>
              <w:jc w:val="left"/>
            </w:pPr>
            <w:r>
              <w:rPr>
                <w:rFonts w:ascii="Arial" w:hAnsi="Arial"/>
                <w:b w:val="0"/>
                <w:sz w:val="20"/>
              </w:rPr>
              <w:t xml:space="preserve">CBO: Serviços/Vendas</w:t>
            </w:r>
          </w:p>
        </w:tc>
        <w:tc>
          <w:tcPr>
            <w:tcW w:type="dxa" w:w="1602"/>
          </w:tcPr>
          <w:p>
            <w:pPr>
              <w:pStyle w:val="Compact"/>
              <w:keepNext/>
              <w:spacing w:line="240" w:lineRule="auto" w:after="0"/>
              <w:ind w:firstLine="0"/>
              <w:jc w:val="right"/>
            </w:pPr>
            <w:r>
              <w:rPr>
                <w:rFonts w:ascii="Arial" w:hAnsi="Arial"/>
                <w:b w:val="0"/>
                <w:sz w:val="20"/>
              </w:rPr>
              <w:t xml:space="preserve">0,00197</w:t>
            </w:r>
          </w:p>
        </w:tc>
        <w:tc>
          <w:tcPr>
            <w:tcW w:type="dxa" w:w="915"/>
          </w:tcPr>
          <w:p>
            <w:pPr>
              <w:pStyle w:val="Compact"/>
              <w:keepNext/>
              <w:spacing w:line="240" w:lineRule="auto" w:after="0"/>
              <w:ind w:firstLine="0"/>
              <w:jc w:val="right"/>
            </w:pPr>
            <w:r>
              <w:rPr>
                <w:rFonts w:ascii="Arial" w:hAnsi="Arial"/>
                <w:b w:val="0"/>
                <w:sz w:val="20"/>
              </w:rPr>
              <w:t xml:space="preserve">22</w:t>
            </w:r>
          </w:p>
        </w:tc>
        <w:tc>
          <w:tcPr>
            <w:tcW w:type="dxa" w:w="1602"/>
          </w:tcPr>
          <w:p>
            <w:pPr>
              <w:pStyle w:val="Compact"/>
              <w:keepNext/>
              <w:spacing w:line="240" w:lineRule="auto" w:after="0"/>
              <w:ind w:firstLine="0"/>
              <w:jc w:val="right"/>
            </w:pPr>
            <w:r>
              <w:rPr>
                <w:rFonts w:ascii="Arial" w:hAnsi="Arial"/>
                <w:b w:val="0"/>
                <w:sz w:val="20"/>
              </w:rPr>
              <w:t xml:space="preserve">0,02448</w:t>
            </w:r>
          </w:p>
        </w:tc>
        <w:tc>
          <w:tcPr>
            <w:tcW w:type="dxa" w:w="915"/>
          </w:tcPr>
          <w:p>
            <w:pPr>
              <w:pStyle w:val="Compact"/>
              <w:keepNext/>
              <w:spacing w:line="240" w:lineRule="auto" w:after="0"/>
              <w:ind w:firstLine="0"/>
              <w:jc w:val="right"/>
            </w:pPr>
            <w:r>
              <w:rPr>
                <w:rFonts w:ascii="Arial" w:hAnsi="Arial"/>
                <w:b w:val="0"/>
                <w:sz w:val="20"/>
              </w:rPr>
              <w:t xml:space="preserve">15</w:t>
            </w:r>
          </w:p>
        </w:tc>
      </w:tr>
      <w:tr>
        <w:trPr>
          <w:cantSplit/>
        </w:trPr>
        <w:tc>
          <w:tcPr>
            <w:tcW w:type="dxa" w:w="4037"/>
          </w:tcPr>
          <w:p>
            <w:pPr>
              <w:pStyle w:val="Compact"/>
              <w:keepNext/>
              <w:spacing w:line="240" w:lineRule="auto" w:after="0"/>
              <w:ind w:firstLine="0"/>
              <w:jc w:val="left"/>
            </w:pPr>
            <w:r>
              <w:rPr>
                <w:rFonts w:ascii="Arial" w:hAnsi="Arial"/>
                <w:b w:val="0"/>
                <w:sz w:val="20"/>
              </w:rPr>
              <w:t xml:space="preserve">CBO: Operários</w:t>
            </w:r>
          </w:p>
        </w:tc>
        <w:tc>
          <w:tcPr>
            <w:tcW w:type="dxa" w:w="1602"/>
          </w:tcPr>
          <w:p>
            <w:pPr>
              <w:pStyle w:val="Compact"/>
              <w:keepNext/>
              <w:spacing w:line="240" w:lineRule="auto" w:after="0"/>
              <w:ind w:firstLine="0"/>
              <w:jc w:val="right"/>
            </w:pPr>
            <w:r>
              <w:rPr>
                <w:rFonts w:ascii="Arial" w:hAnsi="Arial"/>
                <w:b w:val="0"/>
                <w:sz w:val="20"/>
              </w:rPr>
              <w:t xml:space="preserve">0,00109</w:t>
            </w:r>
          </w:p>
        </w:tc>
        <w:tc>
          <w:tcPr>
            <w:tcW w:type="dxa" w:w="915"/>
          </w:tcPr>
          <w:p>
            <w:pPr>
              <w:pStyle w:val="Compact"/>
              <w:keepNext/>
              <w:spacing w:line="240" w:lineRule="auto" w:after="0"/>
              <w:ind w:firstLine="0"/>
              <w:jc w:val="right"/>
            </w:pPr>
            <w:r>
              <w:rPr>
                <w:rFonts w:ascii="Arial" w:hAnsi="Arial"/>
                <w:b w:val="0"/>
                <w:sz w:val="20"/>
              </w:rPr>
              <w:t xml:space="preserve">23</w:t>
            </w:r>
          </w:p>
        </w:tc>
        <w:tc>
          <w:tcPr>
            <w:tcW w:type="dxa" w:w="1602"/>
          </w:tcPr>
          <w:p>
            <w:pPr>
              <w:pStyle w:val="Compact"/>
              <w:keepNext/>
              <w:spacing w:line="240" w:lineRule="auto" w:after="0"/>
              <w:ind w:firstLine="0"/>
              <w:jc w:val="right"/>
            </w:pPr>
            <w:r>
              <w:rPr>
                <w:rFonts w:ascii="Arial" w:hAnsi="Arial"/>
                <w:b w:val="0"/>
                <w:sz w:val="20"/>
              </w:rPr>
              <w:t xml:space="preserve">0,02231</w:t>
            </w:r>
          </w:p>
        </w:tc>
        <w:tc>
          <w:tcPr>
            <w:tcW w:type="dxa" w:w="915"/>
          </w:tcPr>
          <w:p>
            <w:pPr>
              <w:pStyle w:val="Compact"/>
              <w:keepNext/>
              <w:spacing w:line="240" w:lineRule="auto" w:after="0"/>
              <w:ind w:firstLine="0"/>
              <w:jc w:val="right"/>
            </w:pPr>
            <w:r>
              <w:rPr>
                <w:rFonts w:ascii="Arial" w:hAnsi="Arial"/>
                <w:b w:val="0"/>
                <w:sz w:val="20"/>
              </w:rPr>
              <w:t xml:space="preserve">16</w:t>
            </w:r>
          </w:p>
        </w:tc>
      </w:tr>
      <w:tr>
        <w:trPr>
          <w:cantSplit/>
        </w:trPr>
        <w:tc>
          <w:tcPr>
            <w:tcW w:type="dxa" w:w="4037"/>
          </w:tcPr>
          <w:p>
            <w:pPr>
              <w:pStyle w:val="Compact"/>
              <w:keepNext/>
              <w:spacing w:line="240" w:lineRule="auto" w:after="0"/>
              <w:ind w:firstLine="0"/>
              <w:jc w:val="left"/>
            </w:pPr>
            <w:r>
              <w:rPr>
                <w:rFonts w:ascii="Arial" w:hAnsi="Arial"/>
                <w:b w:val="0"/>
                <w:sz w:val="20"/>
              </w:rPr>
              <w:t xml:space="preserve">CBO: Op. Máquinas</w:t>
            </w:r>
          </w:p>
        </w:tc>
        <w:tc>
          <w:tcPr>
            <w:tcW w:type="dxa" w:w="1602"/>
          </w:tcPr>
          <w:p>
            <w:pPr>
              <w:pStyle w:val="Compact"/>
              <w:keepNext/>
              <w:spacing w:line="240" w:lineRule="auto" w:after="0"/>
              <w:ind w:firstLine="0"/>
              <w:jc w:val="right"/>
            </w:pPr>
            <w:r>
              <w:rPr>
                <w:rFonts w:ascii="Arial" w:hAnsi="Arial"/>
                <w:b w:val="0"/>
                <w:sz w:val="20"/>
              </w:rPr>
              <w:t xml:space="preserve">0,00258</w:t>
            </w:r>
          </w:p>
        </w:tc>
        <w:tc>
          <w:tcPr>
            <w:tcW w:type="dxa" w:w="915"/>
          </w:tcPr>
          <w:p>
            <w:pPr>
              <w:pStyle w:val="Compact"/>
              <w:keepNext/>
              <w:spacing w:line="240" w:lineRule="auto" w:after="0"/>
              <w:ind w:firstLine="0"/>
              <w:jc w:val="right"/>
            </w:pPr>
            <w:r>
              <w:rPr>
                <w:rFonts w:ascii="Arial" w:hAnsi="Arial"/>
                <w:b w:val="0"/>
                <w:sz w:val="20"/>
              </w:rPr>
              <w:t xml:space="preserve">19</w:t>
            </w:r>
          </w:p>
        </w:tc>
        <w:tc>
          <w:tcPr>
            <w:tcW w:type="dxa" w:w="1602"/>
          </w:tcPr>
          <w:p>
            <w:pPr>
              <w:pStyle w:val="Compact"/>
              <w:keepNext/>
              <w:spacing w:line="240" w:lineRule="auto" w:after="0"/>
              <w:ind w:firstLine="0"/>
              <w:jc w:val="right"/>
            </w:pPr>
            <w:r>
              <w:rPr>
                <w:rFonts w:ascii="Arial" w:hAnsi="Arial"/>
                <w:b w:val="0"/>
                <w:sz w:val="20"/>
              </w:rPr>
              <w:t xml:space="preserve">0,02144</w:t>
            </w:r>
          </w:p>
        </w:tc>
        <w:tc>
          <w:tcPr>
            <w:tcW w:type="dxa" w:w="915"/>
          </w:tcPr>
          <w:p>
            <w:pPr>
              <w:pStyle w:val="Compact"/>
              <w:keepNext/>
              <w:spacing w:line="240" w:lineRule="auto" w:after="0"/>
              <w:ind w:firstLine="0"/>
              <w:jc w:val="right"/>
            </w:pPr>
            <w:r>
              <w:rPr>
                <w:rFonts w:ascii="Arial" w:hAnsi="Arial"/>
                <w:b w:val="0"/>
                <w:sz w:val="20"/>
              </w:rPr>
              <w:t xml:space="preserve">17</w:t>
            </w:r>
          </w:p>
        </w:tc>
      </w:tr>
      <w:tr>
        <w:trPr>
          <w:cantSplit/>
        </w:trPr>
        <w:tc>
          <w:tcPr>
            <w:tcW w:type="dxa" w:w="4037"/>
          </w:tcPr>
          <w:p>
            <w:pPr>
              <w:pStyle w:val="Compact"/>
              <w:keepNext/>
              <w:spacing w:line="240" w:lineRule="auto" w:after="0"/>
              <w:ind w:firstLine="0"/>
              <w:jc w:val="left"/>
            </w:pPr>
            <w:r>
              <w:rPr>
                <w:rFonts w:ascii="Arial" w:hAnsi="Arial"/>
                <w:b w:val="0"/>
                <w:sz w:val="20"/>
              </w:rPr>
              <w:t xml:space="preserve">Educ. média UPA</w:t>
            </w:r>
          </w:p>
        </w:tc>
        <w:tc>
          <w:tcPr>
            <w:tcW w:type="dxa" w:w="1602"/>
          </w:tcPr>
          <w:p>
            <w:pPr>
              <w:pStyle w:val="Compact"/>
              <w:keepNext/>
              <w:spacing w:line="240" w:lineRule="auto" w:after="0"/>
              <w:ind w:firstLine="0"/>
              <w:jc w:val="right"/>
            </w:pPr>
            <w:r>
              <w:rPr>
                <w:rFonts w:ascii="Arial" w:hAnsi="Arial"/>
                <w:b w:val="0"/>
                <w:sz w:val="20"/>
              </w:rPr>
              <w:t xml:space="preserve">0,00033</w:t>
            </w:r>
          </w:p>
        </w:tc>
        <w:tc>
          <w:tcPr>
            <w:tcW w:type="dxa" w:w="915"/>
          </w:tcPr>
          <w:p>
            <w:pPr>
              <w:pStyle w:val="Compact"/>
              <w:keepNext/>
              <w:spacing w:line="240" w:lineRule="auto" w:after="0"/>
              <w:ind w:firstLine="0"/>
              <w:jc w:val="right"/>
            </w:pPr>
            <w:r>
              <w:rPr>
                <w:rFonts w:ascii="Arial" w:hAnsi="Arial"/>
                <w:b w:val="0"/>
                <w:sz w:val="20"/>
              </w:rPr>
              <w:t xml:space="preserve">26</w:t>
            </w:r>
          </w:p>
        </w:tc>
        <w:tc>
          <w:tcPr>
            <w:tcW w:type="dxa" w:w="1602"/>
          </w:tcPr>
          <w:p>
            <w:pPr>
              <w:pStyle w:val="Compact"/>
              <w:keepNext/>
              <w:spacing w:line="240" w:lineRule="auto" w:after="0"/>
              <w:ind w:firstLine="0"/>
              <w:jc w:val="right"/>
            </w:pPr>
            <w:r>
              <w:rPr>
                <w:rFonts w:ascii="Arial" w:hAnsi="Arial"/>
                <w:b w:val="0"/>
                <w:sz w:val="20"/>
              </w:rPr>
              <w:t xml:space="preserve">0,01753</w:t>
            </w:r>
          </w:p>
        </w:tc>
        <w:tc>
          <w:tcPr>
            <w:tcW w:type="dxa" w:w="915"/>
          </w:tcPr>
          <w:p>
            <w:pPr>
              <w:pStyle w:val="Compact"/>
              <w:keepNext/>
              <w:spacing w:line="240" w:lineRule="auto" w:after="0"/>
              <w:ind w:firstLine="0"/>
              <w:jc w:val="right"/>
            </w:pPr>
            <w:r>
              <w:rPr>
                <w:rFonts w:ascii="Arial" w:hAnsi="Arial"/>
                <w:b w:val="0"/>
                <w:sz w:val="20"/>
              </w:rPr>
              <w:t xml:space="preserve">18</w:t>
            </w:r>
          </w:p>
        </w:tc>
      </w:tr>
      <w:tr>
        <w:trPr>
          <w:cantSplit/>
        </w:trPr>
        <w:tc>
          <w:tcPr>
            <w:tcW w:type="dxa" w:w="4037"/>
          </w:tcPr>
          <w:p>
            <w:pPr>
              <w:pStyle w:val="Compact"/>
              <w:keepNext/>
              <w:spacing w:line="240" w:lineRule="auto" w:after="0"/>
              <w:ind w:firstLine="0"/>
              <w:jc w:val="left"/>
            </w:pPr>
            <w:r>
              <w:rPr>
                <w:rFonts w:ascii="Arial" w:hAnsi="Arial"/>
                <w:b w:val="0"/>
                <w:sz w:val="20"/>
              </w:rPr>
              <w:t xml:space="preserve">Educ.: pós-graduação</w:t>
            </w:r>
          </w:p>
        </w:tc>
        <w:tc>
          <w:tcPr>
            <w:tcW w:type="dxa" w:w="1602"/>
          </w:tcPr>
          <w:p>
            <w:pPr>
              <w:pStyle w:val="Compact"/>
              <w:keepNext/>
              <w:spacing w:line="240" w:lineRule="auto" w:after="0"/>
              <w:ind w:firstLine="0"/>
              <w:jc w:val="right"/>
            </w:pPr>
            <w:r>
              <w:rPr>
                <w:rFonts w:ascii="Arial" w:hAnsi="Arial"/>
                <w:b w:val="0"/>
                <w:sz w:val="20"/>
              </w:rPr>
              <w:t xml:space="preserve">0,01489</w:t>
            </w:r>
          </w:p>
        </w:tc>
        <w:tc>
          <w:tcPr>
            <w:tcW w:type="dxa" w:w="915"/>
          </w:tcPr>
          <w:p>
            <w:pPr>
              <w:pStyle w:val="Compact"/>
              <w:keepNext/>
              <w:spacing w:line="240" w:lineRule="auto" w:after="0"/>
              <w:ind w:firstLine="0"/>
              <w:jc w:val="right"/>
            </w:pPr>
            <w:r>
              <w:rPr>
                <w:rFonts w:ascii="Arial" w:hAnsi="Arial"/>
                <w:b w:val="0"/>
                <w:sz w:val="20"/>
              </w:rPr>
              <w:t xml:space="preserve">12</w:t>
            </w:r>
          </w:p>
        </w:tc>
        <w:tc>
          <w:tcPr>
            <w:tcW w:type="dxa" w:w="1602"/>
          </w:tcPr>
          <w:p>
            <w:pPr>
              <w:pStyle w:val="Compact"/>
              <w:keepNext/>
              <w:spacing w:line="240" w:lineRule="auto" w:after="0"/>
              <w:ind w:firstLine="0"/>
              <w:jc w:val="right"/>
            </w:pPr>
            <w:r>
              <w:rPr>
                <w:rFonts w:ascii="Arial" w:hAnsi="Arial"/>
                <w:b w:val="0"/>
                <w:sz w:val="20"/>
              </w:rPr>
              <w:t xml:space="preserve">0,01690</w:t>
            </w:r>
          </w:p>
        </w:tc>
        <w:tc>
          <w:tcPr>
            <w:tcW w:type="dxa" w:w="915"/>
          </w:tcPr>
          <w:p>
            <w:pPr>
              <w:pStyle w:val="Compact"/>
              <w:keepNext/>
              <w:spacing w:line="240" w:lineRule="auto" w:after="0"/>
              <w:ind w:firstLine="0"/>
              <w:jc w:val="right"/>
            </w:pPr>
            <w:r>
              <w:rPr>
                <w:rFonts w:ascii="Arial" w:hAnsi="Arial"/>
                <w:b w:val="0"/>
                <w:sz w:val="20"/>
              </w:rPr>
              <w:t xml:space="preserve">19</w:t>
            </w:r>
          </w:p>
        </w:tc>
      </w:tr>
      <w:tr>
        <w:trPr>
          <w:cantSplit/>
        </w:trPr>
        <w:tc>
          <w:tcPr>
            <w:tcW w:type="dxa" w:w="4037"/>
          </w:tcPr>
          <w:p>
            <w:pPr>
              <w:pStyle w:val="Compact"/>
              <w:keepNext/>
              <w:spacing w:line="240" w:lineRule="auto" w:after="0"/>
              <w:ind w:firstLine="0"/>
              <w:jc w:val="left"/>
            </w:pPr>
            <w:r>
              <w:rPr>
                <w:rFonts w:ascii="Arial" w:hAnsi="Arial"/>
                <w:b w:val="0"/>
                <w:sz w:val="20"/>
              </w:rPr>
              <w:t xml:space="preserve">Trabalho doméstico</w:t>
            </w:r>
          </w:p>
        </w:tc>
        <w:tc>
          <w:tcPr>
            <w:tcW w:type="dxa" w:w="1602"/>
          </w:tcPr>
          <w:p>
            <w:pPr>
              <w:pStyle w:val="Compact"/>
              <w:keepNext/>
              <w:spacing w:line="240" w:lineRule="auto" w:after="0"/>
              <w:ind w:firstLine="0"/>
              <w:jc w:val="right"/>
            </w:pPr>
            <w:r>
              <w:rPr>
                <w:rFonts w:ascii="Arial" w:hAnsi="Arial"/>
                <w:b w:val="0"/>
                <w:sz w:val="20"/>
              </w:rPr>
              <w:t xml:space="preserve">0,00549</w:t>
            </w:r>
          </w:p>
        </w:tc>
        <w:tc>
          <w:tcPr>
            <w:tcW w:type="dxa" w:w="915"/>
          </w:tcPr>
          <w:p>
            <w:pPr>
              <w:pStyle w:val="Compact"/>
              <w:keepNext/>
              <w:spacing w:line="240" w:lineRule="auto" w:after="0"/>
              <w:ind w:firstLine="0"/>
              <w:jc w:val="right"/>
            </w:pPr>
            <w:r>
              <w:rPr>
                <w:rFonts w:ascii="Arial" w:hAnsi="Arial"/>
                <w:b w:val="0"/>
                <w:sz w:val="20"/>
              </w:rPr>
              <w:t xml:space="preserve">16</w:t>
            </w:r>
          </w:p>
        </w:tc>
        <w:tc>
          <w:tcPr>
            <w:tcW w:type="dxa" w:w="1602"/>
          </w:tcPr>
          <w:p>
            <w:pPr>
              <w:pStyle w:val="Compact"/>
              <w:keepNext/>
              <w:spacing w:line="240" w:lineRule="auto" w:after="0"/>
              <w:ind w:firstLine="0"/>
              <w:jc w:val="right"/>
            </w:pPr>
            <w:r>
              <w:rPr>
                <w:rFonts w:ascii="Arial" w:hAnsi="Arial"/>
                <w:b w:val="0"/>
                <w:sz w:val="20"/>
              </w:rPr>
              <w:t xml:space="preserve">0,01658</w:t>
            </w:r>
          </w:p>
        </w:tc>
        <w:tc>
          <w:tcPr>
            <w:tcW w:type="dxa" w:w="915"/>
          </w:tcPr>
          <w:p>
            <w:pPr>
              <w:pStyle w:val="Compact"/>
              <w:keepNext/>
              <w:spacing w:line="240" w:lineRule="auto" w:after="0"/>
              <w:ind w:firstLine="0"/>
              <w:jc w:val="right"/>
            </w:pPr>
            <w:r>
              <w:rPr>
                <w:rFonts w:ascii="Arial" w:hAnsi="Arial"/>
                <w:b w:val="0"/>
                <w:sz w:val="20"/>
              </w:rPr>
              <w:t xml:space="preserve">20</w:t>
            </w:r>
          </w:p>
        </w:tc>
      </w:tr>
      <w:tr>
        <w:trPr>
          <w:cantSplit/>
        </w:trPr>
        <w:tc>
          <w:tcPr>
            <w:tcW w:type="dxa" w:w="4037"/>
          </w:tcPr>
          <w:p>
            <w:pPr>
              <w:pStyle w:val="Compact"/>
              <w:keepNext/>
              <w:spacing w:line="240" w:lineRule="auto" w:after="0"/>
              <w:ind w:firstLine="0"/>
              <w:jc w:val="left"/>
            </w:pPr>
            <w:r>
              <w:rPr>
                <w:rFonts w:ascii="Arial" w:hAnsi="Arial"/>
                <w:b w:val="0"/>
                <w:bCs/>
                <w:sz w:val="20"/>
              </w:rPr>
              <w:t xml:space="preserve">Desemprego no Estado</w:t>
            </w:r>
          </w:p>
        </w:tc>
        <w:tc>
          <w:tcPr>
            <w:tcW w:type="dxa" w:w="1602"/>
          </w:tcPr>
          <w:p>
            <w:pPr>
              <w:pStyle w:val="Compact"/>
              <w:keepNext/>
              <w:spacing w:line="240" w:lineRule="auto" w:after="0"/>
              <w:ind w:firstLine="0"/>
              <w:jc w:val="right"/>
            </w:pPr>
            <w:r>
              <w:rPr>
                <w:rFonts w:ascii="Arial" w:hAnsi="Arial"/>
                <w:b w:val="0"/>
                <w:sz w:val="20"/>
              </w:rPr>
              <w:t xml:space="preserve">0,00038</w:t>
            </w:r>
          </w:p>
        </w:tc>
        <w:tc>
          <w:tcPr>
            <w:tcW w:type="dxa" w:w="915"/>
          </w:tcPr>
          <w:p>
            <w:pPr>
              <w:pStyle w:val="Compact"/>
              <w:keepNext/>
              <w:spacing w:line="240" w:lineRule="auto" w:after="0"/>
              <w:ind w:firstLine="0"/>
              <w:jc w:val="right"/>
            </w:pPr>
            <w:r>
              <w:rPr>
                <w:rFonts w:ascii="Arial" w:hAnsi="Arial"/>
                <w:b w:val="0"/>
                <w:sz w:val="20"/>
              </w:rPr>
              <w:t xml:space="preserve">25</w:t>
            </w:r>
          </w:p>
        </w:tc>
        <w:tc>
          <w:tcPr>
            <w:tcW w:type="dxa" w:w="1602"/>
          </w:tcPr>
          <w:p>
            <w:pPr>
              <w:pStyle w:val="Compact"/>
              <w:keepNext/>
              <w:spacing w:line="240" w:lineRule="auto" w:after="0"/>
              <w:ind w:firstLine="0"/>
              <w:jc w:val="right"/>
            </w:pPr>
            <w:r>
              <w:rPr>
                <w:rFonts w:ascii="Arial" w:hAnsi="Arial"/>
                <w:b w:val="0"/>
                <w:sz w:val="20"/>
              </w:rPr>
              <w:t xml:space="preserve">0,01634</w:t>
            </w:r>
          </w:p>
        </w:tc>
        <w:tc>
          <w:tcPr>
            <w:tcW w:type="dxa" w:w="915"/>
          </w:tcPr>
          <w:p>
            <w:pPr>
              <w:pStyle w:val="Compact"/>
              <w:keepNext/>
              <w:spacing w:line="240" w:lineRule="auto" w:after="0"/>
              <w:ind w:firstLine="0"/>
              <w:jc w:val="right"/>
            </w:pPr>
            <w:r>
              <w:rPr>
                <w:rFonts w:ascii="Arial" w:hAnsi="Arial"/>
                <w:b w:val="0"/>
                <w:sz w:val="20"/>
              </w:rPr>
              <w:t xml:space="preserve">21</w:t>
            </w:r>
          </w:p>
        </w:tc>
      </w:tr>
      <w:tr>
        <w:trPr>
          <w:cantSplit/>
        </w:trPr>
        <w:tc>
          <w:tcPr>
            <w:tcW w:type="dxa" w:w="4037"/>
          </w:tcPr>
          <w:p>
            <w:pPr>
              <w:pStyle w:val="Compact"/>
              <w:keepNext/>
              <w:spacing w:line="240" w:lineRule="auto" w:after="0"/>
              <w:ind w:firstLine="0"/>
              <w:jc w:val="left"/>
            </w:pPr>
            <w:r>
              <w:rPr>
                <w:rFonts w:ascii="Arial" w:hAnsi="Arial"/>
                <w:b w:val="0"/>
                <w:sz w:val="20"/>
              </w:rPr>
              <w:t xml:space="preserve">CBO: Agropecuária</w:t>
            </w:r>
          </w:p>
        </w:tc>
        <w:tc>
          <w:tcPr>
            <w:tcW w:type="dxa" w:w="1602"/>
          </w:tcPr>
          <w:p>
            <w:pPr>
              <w:pStyle w:val="Compact"/>
              <w:keepNext/>
              <w:spacing w:line="240" w:lineRule="auto" w:after="0"/>
              <w:ind w:firstLine="0"/>
              <w:jc w:val="right"/>
            </w:pPr>
            <w:r>
              <w:rPr>
                <w:rFonts w:ascii="Arial" w:hAnsi="Arial"/>
                <w:b w:val="0"/>
                <w:sz w:val="20"/>
              </w:rPr>
              <w:t xml:space="preserve">0,00070</w:t>
            </w:r>
          </w:p>
        </w:tc>
        <w:tc>
          <w:tcPr>
            <w:tcW w:type="dxa" w:w="915"/>
          </w:tcPr>
          <w:p>
            <w:pPr>
              <w:pStyle w:val="Compact"/>
              <w:keepNext/>
              <w:spacing w:line="240" w:lineRule="auto" w:after="0"/>
              <w:ind w:firstLine="0"/>
              <w:jc w:val="right"/>
            </w:pPr>
            <w:r>
              <w:rPr>
                <w:rFonts w:ascii="Arial" w:hAnsi="Arial"/>
                <w:b w:val="0"/>
                <w:sz w:val="20"/>
              </w:rPr>
              <w:t xml:space="preserve">24</w:t>
            </w:r>
          </w:p>
        </w:tc>
        <w:tc>
          <w:tcPr>
            <w:tcW w:type="dxa" w:w="1602"/>
          </w:tcPr>
          <w:p>
            <w:pPr>
              <w:pStyle w:val="Compact"/>
              <w:keepNext/>
              <w:spacing w:line="240" w:lineRule="auto" w:after="0"/>
              <w:ind w:firstLine="0"/>
              <w:jc w:val="right"/>
            </w:pPr>
            <w:r>
              <w:rPr>
                <w:rFonts w:ascii="Arial" w:hAnsi="Arial"/>
                <w:b w:val="0"/>
                <w:sz w:val="20"/>
              </w:rPr>
              <w:t xml:space="preserve">0,01471</w:t>
            </w:r>
          </w:p>
        </w:tc>
        <w:tc>
          <w:tcPr>
            <w:tcW w:type="dxa" w:w="915"/>
          </w:tcPr>
          <w:p>
            <w:pPr>
              <w:pStyle w:val="Compact"/>
              <w:keepNext/>
              <w:spacing w:line="240" w:lineRule="auto" w:after="0"/>
              <w:ind w:firstLine="0"/>
              <w:jc w:val="right"/>
            </w:pPr>
            <w:r>
              <w:rPr>
                <w:rFonts w:ascii="Arial" w:hAnsi="Arial"/>
                <w:b w:val="0"/>
                <w:sz w:val="20"/>
              </w:rPr>
              <w:t xml:space="preserve">22</w:t>
            </w:r>
          </w:p>
        </w:tc>
      </w:tr>
      <w:tr>
        <w:trPr>
          <w:cantSplit/>
        </w:trPr>
        <w:tc>
          <w:tcPr>
            <w:tcW w:type="dxa" w:w="4037"/>
          </w:tcPr>
          <w:p>
            <w:pPr>
              <w:pStyle w:val="Compact"/>
              <w:keepNext/>
              <w:spacing w:line="240" w:lineRule="auto" w:after="0"/>
              <w:ind w:firstLine="0"/>
              <w:jc w:val="left"/>
            </w:pPr>
            <w:r>
              <w:rPr>
                <w:rFonts w:ascii="Arial" w:hAnsi="Arial"/>
                <w:b w:val="0"/>
                <w:bCs/>
                <w:sz w:val="20"/>
              </w:rPr>
              <w:t xml:space="preserve">% Negro no Estado</w:t>
            </w:r>
          </w:p>
        </w:tc>
        <w:tc>
          <w:tcPr>
            <w:tcW w:type="dxa" w:w="1602"/>
          </w:tcPr>
          <w:p>
            <w:pPr>
              <w:pStyle w:val="Compact"/>
              <w:keepNext/>
              <w:spacing w:line="240" w:lineRule="auto" w:after="0"/>
              <w:ind w:firstLine="0"/>
              <w:jc w:val="right"/>
            </w:pPr>
            <w:r>
              <w:rPr>
                <w:rFonts w:ascii="Arial" w:hAnsi="Arial"/>
                <w:b w:val="0"/>
                <w:sz w:val="20"/>
              </w:rPr>
              <w:t xml:space="preserve">0,00449</w:t>
            </w:r>
          </w:p>
        </w:tc>
        <w:tc>
          <w:tcPr>
            <w:tcW w:type="dxa" w:w="915"/>
          </w:tcPr>
          <w:p>
            <w:pPr>
              <w:pStyle w:val="Compact"/>
              <w:keepNext/>
              <w:spacing w:line="240" w:lineRule="auto" w:after="0"/>
              <w:ind w:firstLine="0"/>
              <w:jc w:val="right"/>
            </w:pPr>
            <w:r>
              <w:rPr>
                <w:rFonts w:ascii="Arial" w:hAnsi="Arial"/>
                <w:b w:val="0"/>
                <w:sz w:val="20"/>
              </w:rPr>
              <w:t xml:space="preserve">17</w:t>
            </w:r>
          </w:p>
        </w:tc>
        <w:tc>
          <w:tcPr>
            <w:tcW w:type="dxa" w:w="1602"/>
          </w:tcPr>
          <w:p>
            <w:pPr>
              <w:pStyle w:val="Compact"/>
              <w:keepNext/>
              <w:spacing w:line="240" w:lineRule="auto" w:after="0"/>
              <w:ind w:firstLine="0"/>
              <w:jc w:val="right"/>
            </w:pPr>
            <w:r>
              <w:rPr>
                <w:rFonts w:ascii="Arial" w:hAnsi="Arial"/>
                <w:b w:val="0"/>
                <w:sz w:val="20"/>
              </w:rPr>
              <w:t xml:space="preserve">0,01316</w:t>
            </w:r>
          </w:p>
        </w:tc>
        <w:tc>
          <w:tcPr>
            <w:tcW w:type="dxa" w:w="915"/>
          </w:tcPr>
          <w:p>
            <w:pPr>
              <w:pStyle w:val="Compact"/>
              <w:keepNext/>
              <w:spacing w:line="240" w:lineRule="auto" w:after="0"/>
              <w:ind w:firstLine="0"/>
              <w:jc w:val="right"/>
            </w:pPr>
            <w:r>
              <w:rPr>
                <w:rFonts w:ascii="Arial" w:hAnsi="Arial"/>
                <w:b w:val="0"/>
                <w:sz w:val="20"/>
              </w:rPr>
              <w:t xml:space="preserve">23</w:t>
            </w:r>
          </w:p>
        </w:tc>
      </w:tr>
      <w:tr>
        <w:trPr>
          <w:cantSplit/>
        </w:trPr>
        <w:tc>
          <w:tcPr>
            <w:tcW w:type="dxa" w:w="4037"/>
          </w:tcPr>
          <w:p>
            <w:pPr>
              <w:pStyle w:val="Compact"/>
              <w:keepNext/>
              <w:spacing w:line="240" w:lineRule="auto" w:after="0"/>
              <w:ind w:firstLine="0"/>
              <w:jc w:val="left"/>
            </w:pPr>
            <w:r>
              <w:rPr>
                <w:rFonts w:ascii="Arial" w:hAnsi="Arial"/>
                <w:b w:val="0"/>
                <w:sz w:val="20"/>
              </w:rPr>
              <w:t xml:space="preserve">Idade² (experiência)</w:t>
            </w:r>
          </w:p>
        </w:tc>
        <w:tc>
          <w:tcPr>
            <w:tcW w:type="dxa" w:w="1602"/>
          </w:tcPr>
          <w:p>
            <w:pPr>
              <w:pStyle w:val="Compact"/>
              <w:keepNext/>
              <w:spacing w:line="240" w:lineRule="auto" w:after="0"/>
              <w:ind w:firstLine="0"/>
              <w:jc w:val="right"/>
            </w:pPr>
            <w:r>
              <w:rPr>
                <w:rFonts w:ascii="Arial" w:hAnsi="Arial"/>
                <w:b w:val="0"/>
                <w:sz w:val="20"/>
              </w:rPr>
              <w:t xml:space="preserve">0,00657</w:t>
            </w:r>
          </w:p>
        </w:tc>
        <w:tc>
          <w:tcPr>
            <w:tcW w:type="dxa" w:w="915"/>
          </w:tcPr>
          <w:p>
            <w:pPr>
              <w:pStyle w:val="Compact"/>
              <w:keepNext/>
              <w:spacing w:line="240" w:lineRule="auto" w:after="0"/>
              <w:ind w:firstLine="0"/>
              <w:jc w:val="right"/>
            </w:pPr>
            <w:r>
              <w:rPr>
                <w:rFonts w:ascii="Arial" w:hAnsi="Arial"/>
                <w:b w:val="0"/>
                <w:sz w:val="20"/>
              </w:rPr>
              <w:t xml:space="preserve">15</w:t>
            </w:r>
          </w:p>
        </w:tc>
        <w:tc>
          <w:tcPr>
            <w:tcW w:type="dxa" w:w="1602"/>
          </w:tcPr>
          <w:p>
            <w:pPr>
              <w:pStyle w:val="Compact"/>
              <w:keepNext/>
              <w:spacing w:line="240" w:lineRule="auto" w:after="0"/>
              <w:ind w:firstLine="0"/>
              <w:jc w:val="right"/>
            </w:pPr>
            <w:r>
              <w:rPr>
                <w:rFonts w:ascii="Arial" w:hAnsi="Arial"/>
                <w:b w:val="0"/>
                <w:sz w:val="20"/>
              </w:rPr>
              <w:t xml:space="preserve">0,01274</w:t>
            </w:r>
          </w:p>
        </w:tc>
        <w:tc>
          <w:tcPr>
            <w:tcW w:type="dxa" w:w="915"/>
          </w:tcPr>
          <w:p>
            <w:pPr>
              <w:pStyle w:val="Compact"/>
              <w:keepNext/>
              <w:spacing w:line="240" w:lineRule="auto" w:after="0"/>
              <w:ind w:firstLine="0"/>
              <w:jc w:val="right"/>
            </w:pPr>
            <w:r>
              <w:rPr>
                <w:rFonts w:ascii="Arial" w:hAnsi="Arial"/>
                <w:b w:val="0"/>
                <w:sz w:val="20"/>
              </w:rPr>
              <w:t xml:space="preserve">24</w:t>
            </w:r>
          </w:p>
        </w:tc>
      </w:tr>
      <w:tr>
        <w:trPr>
          <w:cantSplit/>
        </w:trPr>
        <w:tc>
          <w:tcPr>
            <w:tcW w:type="dxa" w:w="4037"/>
          </w:tcPr>
          <w:p>
            <w:pPr>
              <w:pStyle w:val="Compact"/>
              <w:keepNext/>
              <w:spacing w:line="240" w:lineRule="auto" w:after="0"/>
              <w:ind w:firstLine="0"/>
              <w:jc w:val="left"/>
            </w:pPr>
            <w:r>
              <w:rPr>
                <w:rFonts w:ascii="Arial" w:hAnsi="Arial"/>
                <w:b w:val="0"/>
                <w:sz w:val="20"/>
              </w:rPr>
              <w:t xml:space="preserve">CBO: Administrativo</w:t>
            </w:r>
          </w:p>
        </w:tc>
        <w:tc>
          <w:tcPr>
            <w:tcW w:type="dxa" w:w="1602"/>
          </w:tcPr>
          <w:p>
            <w:pPr>
              <w:pStyle w:val="Compact"/>
              <w:keepNext/>
              <w:spacing w:line="240" w:lineRule="auto" w:after="0"/>
              <w:ind w:firstLine="0"/>
              <w:jc w:val="right"/>
            </w:pPr>
            <w:r>
              <w:rPr>
                <w:rFonts w:ascii="Arial" w:hAnsi="Arial"/>
                <w:b w:val="0"/>
                <w:sz w:val="20"/>
              </w:rPr>
              <w:t xml:space="preserve">0,00348</w:t>
            </w:r>
          </w:p>
        </w:tc>
        <w:tc>
          <w:tcPr>
            <w:tcW w:type="dxa" w:w="915"/>
          </w:tcPr>
          <w:p>
            <w:pPr>
              <w:pStyle w:val="Compact"/>
              <w:keepNext/>
              <w:spacing w:line="240" w:lineRule="auto" w:after="0"/>
              <w:ind w:firstLine="0"/>
              <w:jc w:val="right"/>
            </w:pPr>
            <w:r>
              <w:rPr>
                <w:rFonts w:ascii="Arial" w:hAnsi="Arial"/>
                <w:b w:val="0"/>
                <w:sz w:val="20"/>
              </w:rPr>
              <w:t xml:space="preserve">18</w:t>
            </w:r>
          </w:p>
        </w:tc>
        <w:tc>
          <w:tcPr>
            <w:tcW w:type="dxa" w:w="1602"/>
          </w:tcPr>
          <w:p>
            <w:pPr>
              <w:pStyle w:val="Compact"/>
              <w:keepNext/>
              <w:spacing w:line="240" w:lineRule="auto" w:after="0"/>
              <w:ind w:firstLine="0"/>
              <w:jc w:val="right"/>
            </w:pPr>
            <w:r>
              <w:rPr>
                <w:rFonts w:ascii="Arial" w:hAnsi="Arial"/>
                <w:b w:val="0"/>
                <w:sz w:val="20"/>
              </w:rPr>
              <w:t xml:space="preserve">0,01216</w:t>
            </w:r>
          </w:p>
        </w:tc>
        <w:tc>
          <w:tcPr>
            <w:tcW w:type="dxa" w:w="915"/>
          </w:tcPr>
          <w:p>
            <w:pPr>
              <w:pStyle w:val="Compact"/>
              <w:keepNext/>
              <w:spacing w:line="240" w:lineRule="auto" w:after="0"/>
              <w:ind w:firstLine="0"/>
              <w:jc w:val="right"/>
            </w:pPr>
            <w:r>
              <w:rPr>
                <w:rFonts w:ascii="Arial" w:hAnsi="Arial"/>
                <w:b w:val="0"/>
                <w:sz w:val="20"/>
              </w:rPr>
              <w:t xml:space="preserve">25</w:t>
            </w:r>
          </w:p>
        </w:tc>
      </w:tr>
      <w:tr>
        <w:trPr>
          <w:cantSplit/>
        </w:trPr>
        <w:tc>
          <w:tcPr>
            <w:tcW w:type="dxa" w:w="4037"/>
          </w:tcPr>
          <w:p>
            <w:pPr>
              <w:pStyle w:val="Compact"/>
              <w:keepNext/>
              <w:spacing w:line="240" w:lineRule="auto" w:after="0"/>
              <w:ind w:firstLine="0"/>
              <w:jc w:val="left"/>
            </w:pPr>
            <w:r>
              <w:rPr>
                <w:rFonts w:ascii="Arial" w:hAnsi="Arial"/>
                <w:b w:val="0"/>
                <w:sz w:val="20"/>
              </w:rPr>
              <w:t xml:space="preserve">CBO: FFAA/Polícia</w:t>
            </w:r>
          </w:p>
        </w:tc>
        <w:tc>
          <w:tcPr>
            <w:tcW w:type="dxa" w:w="1602"/>
          </w:tcPr>
          <w:p>
            <w:pPr>
              <w:pStyle w:val="Compact"/>
              <w:keepNext/>
              <w:spacing w:line="240" w:lineRule="auto" w:after="0"/>
              <w:ind w:firstLine="0"/>
              <w:jc w:val="right"/>
            </w:pPr>
            <w:r>
              <w:rPr>
                <w:rFonts w:ascii="Arial" w:hAnsi="Arial"/>
                <w:b w:val="0"/>
                <w:sz w:val="20"/>
              </w:rPr>
              <w:t xml:space="preserve">0,00803</w:t>
            </w:r>
          </w:p>
        </w:tc>
        <w:tc>
          <w:tcPr>
            <w:tcW w:type="dxa" w:w="915"/>
          </w:tcPr>
          <w:p>
            <w:pPr>
              <w:pStyle w:val="Compact"/>
              <w:keepNext/>
              <w:spacing w:line="240" w:lineRule="auto" w:after="0"/>
              <w:ind w:firstLine="0"/>
              <w:jc w:val="right"/>
            </w:pPr>
            <w:r>
              <w:rPr>
                <w:rFonts w:ascii="Arial" w:hAnsi="Arial"/>
                <w:b w:val="0"/>
                <w:sz w:val="20"/>
              </w:rPr>
              <w:t xml:space="preserve">13</w:t>
            </w:r>
          </w:p>
        </w:tc>
        <w:tc>
          <w:tcPr>
            <w:tcW w:type="dxa" w:w="1602"/>
          </w:tcPr>
          <w:p>
            <w:pPr>
              <w:pStyle w:val="Compact"/>
              <w:keepNext/>
              <w:spacing w:line="240" w:lineRule="auto" w:after="0"/>
              <w:ind w:firstLine="0"/>
              <w:jc w:val="right"/>
            </w:pPr>
            <w:r>
              <w:rPr>
                <w:rFonts w:ascii="Arial" w:hAnsi="Arial"/>
                <w:b w:val="0"/>
                <w:sz w:val="20"/>
              </w:rPr>
              <w:t xml:space="preserve">0,01121</w:t>
            </w:r>
          </w:p>
        </w:tc>
        <w:tc>
          <w:tcPr>
            <w:tcW w:type="dxa" w:w="915"/>
          </w:tcPr>
          <w:p>
            <w:pPr>
              <w:pStyle w:val="Compact"/>
              <w:keepNext/>
              <w:spacing w:line="240" w:lineRule="auto" w:after="0"/>
              <w:ind w:firstLine="0"/>
              <w:jc w:val="right"/>
            </w:pPr>
            <w:r>
              <w:rPr>
                <w:rFonts w:ascii="Arial" w:hAnsi="Arial"/>
                <w:b w:val="0"/>
                <w:sz w:val="20"/>
              </w:rPr>
              <w:t xml:space="preserve">26</w:t>
            </w:r>
          </w:p>
        </w:tc>
      </w:tr>
      <w:tr>
        <w:trPr>
          <w:cantSplit/>
        </w:trPr>
        <w:tc>
          <w:tcPr>
            <w:tcW w:type="dxa" w:w="4037"/>
          </w:tcPr>
          <w:p>
            <w:pPr>
              <w:pStyle w:val="Compact"/>
              <w:keepNext/>
              <w:spacing w:line="240" w:lineRule="auto" w:after="0"/>
              <w:ind w:firstLine="0"/>
              <w:jc w:val="left"/>
            </w:pPr>
            <w:r>
              <w:rPr>
                <w:rFonts w:ascii="Arial" w:hAnsi="Arial"/>
                <w:b w:val="0"/>
                <w:bCs/>
                <w:sz w:val="20"/>
              </w:rPr>
              <w:t xml:space="preserve">Desemprego na UPA</w:t>
            </w:r>
          </w:p>
        </w:tc>
        <w:tc>
          <w:tcPr>
            <w:tcW w:type="dxa" w:w="1602"/>
          </w:tcPr>
          <w:p>
            <w:pPr>
              <w:pStyle w:val="Compact"/>
              <w:keepNext/>
              <w:spacing w:line="240" w:lineRule="auto" w:after="0"/>
              <w:ind w:firstLine="0"/>
              <w:jc w:val="right"/>
            </w:pPr>
            <w:r>
              <w:rPr>
                <w:rFonts w:ascii="Arial" w:hAnsi="Arial"/>
                <w:b w:val="0"/>
                <w:sz w:val="20"/>
              </w:rPr>
              <w:t xml:space="preserve">0,00013</w:t>
            </w:r>
          </w:p>
        </w:tc>
        <w:tc>
          <w:tcPr>
            <w:tcW w:type="dxa" w:w="915"/>
          </w:tcPr>
          <w:p>
            <w:pPr>
              <w:pStyle w:val="Compact"/>
              <w:keepNext/>
              <w:spacing w:line="240" w:lineRule="auto" w:after="0"/>
              <w:ind w:firstLine="0"/>
              <w:jc w:val="right"/>
            </w:pPr>
            <w:r>
              <w:rPr>
                <w:rFonts w:ascii="Arial" w:hAnsi="Arial"/>
                <w:b w:val="0"/>
                <w:sz w:val="20"/>
              </w:rPr>
              <w:t xml:space="preserve">28</w:t>
            </w:r>
          </w:p>
        </w:tc>
        <w:tc>
          <w:tcPr>
            <w:tcW w:type="dxa" w:w="1602"/>
          </w:tcPr>
          <w:p>
            <w:pPr>
              <w:pStyle w:val="Compact"/>
              <w:keepNext/>
              <w:spacing w:line="240" w:lineRule="auto" w:after="0"/>
              <w:ind w:firstLine="0"/>
              <w:jc w:val="right"/>
            </w:pPr>
            <w:r>
              <w:rPr>
                <w:rFonts w:ascii="Arial" w:hAnsi="Arial"/>
                <w:b w:val="0"/>
                <w:sz w:val="20"/>
              </w:rPr>
              <w:t xml:space="preserve">0,00787</w:t>
            </w:r>
          </w:p>
        </w:tc>
        <w:tc>
          <w:tcPr>
            <w:tcW w:type="dxa" w:w="915"/>
          </w:tcPr>
          <w:p>
            <w:pPr>
              <w:pStyle w:val="Compact"/>
              <w:keepNext/>
              <w:spacing w:line="240" w:lineRule="auto" w:after="0"/>
              <w:ind w:firstLine="0"/>
              <w:jc w:val="right"/>
            </w:pPr>
            <w:r>
              <w:rPr>
                <w:rFonts w:ascii="Arial" w:hAnsi="Arial"/>
                <w:b w:val="0"/>
                <w:sz w:val="20"/>
              </w:rPr>
              <w:t xml:space="preserve">27</w:t>
            </w:r>
          </w:p>
        </w:tc>
      </w:tr>
      <w:tr>
        <w:trPr>
          <w:cantSplit/>
        </w:trPr>
        <w:tc>
          <w:tcPr>
            <w:tcW w:type="dxa" w:w="4037"/>
            <w:tcBorders>
              <w:top w:val="nil"/>
              <w:left w:val="nil"/>
              <w:bottom w:val="single" w:sz="8" w:color="000000"/>
              <w:right w:val="nil"/>
            </w:tcBorders>
          </w:tcPr>
          <w:p>
            <w:pPr>
              <w:pStyle w:val="Compact"/>
              <w:keepNext/>
              <w:spacing w:line="240" w:lineRule="auto" w:after="0"/>
              <w:ind w:firstLine="0"/>
              <w:jc w:val="left"/>
            </w:pPr>
            <w:r>
              <w:rPr>
                <w:rFonts w:ascii="Arial" w:hAnsi="Arial"/>
                <w:b w:val="0"/>
                <w:bCs/>
                <w:sz w:val="20"/>
              </w:rPr>
              <w:t xml:space="preserve">% Negro na UPA</w:t>
            </w:r>
          </w:p>
        </w:tc>
        <w:tc>
          <w:tcPr>
            <w:tcW w:type="dxa" w:w="1602"/>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0,00023</w:t>
            </w:r>
          </w:p>
        </w:tc>
        <w:tc>
          <w:tcPr>
            <w:tcW w:type="dxa" w:w="915"/>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27</w:t>
            </w:r>
          </w:p>
        </w:tc>
        <w:tc>
          <w:tcPr>
            <w:tcW w:type="dxa" w:w="1602"/>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0,00731</w:t>
            </w:r>
          </w:p>
        </w:tc>
        <w:tc>
          <w:tcPr>
            <w:tcW w:type="dxa" w:w="915"/>
            <w:tcBorders>
              <w:top w:val="nil"/>
              <w:left w:val="nil"/>
              <w:bottom w:val="single" w:sz="8" w:color="000000"/>
              <w:right w:val="nil"/>
            </w:tcBorders>
          </w:tcPr>
          <w:p>
            <w:pPr>
              <w:pStyle w:val="Compact"/>
              <w:keepNext/>
              <w:spacing w:line="240" w:lineRule="auto" w:after="0"/>
              <w:ind w:firstLine="0"/>
              <w:jc w:val="right"/>
            </w:pPr>
            <w:r>
              <w:rPr>
                <w:rFonts w:ascii="Arial" w:hAnsi="Arial"/>
                <w:b w:val="0"/>
                <w:sz w:val="20"/>
              </w:rPr>
              <w:t xml:space="preserve">28</w:t>
            </w:r>
          </w:p>
        </w:tc>
      </w:tr>
    </w:tbl>
    <w:bookmarkEnd w:id="105"/>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Tabela 15: variáveis ordenadas pela importância média (</w:t>
      </w:r>
      <m:oMath>
        <m:r>
          <m:rPr>
            <m:sty m:val="p"/>
          </m:rPr>
          <m:t>|</m:t>
        </m:r>
        <m:r>
          <m:rPr>
            <m:nor/>
            <m:sty m:val="p"/>
          </m:rPr>
          <m:t>SHAP</m:t>
        </m:r>
        <m:r>
          <m:rPr>
            <m:sty m:val="p"/>
          </m:rPr>
          <m:t>|</m:t>
        </m:r>
      </m:oMath>
      <w:r>
        <w:rPr>
          <w:rFonts w:ascii="Arial" w:hAnsi="Arial"/>
          <w:sz w:val="22"/>
        </w:rPr>
        <w:t xml:space="preserve">); valores maiores = maior peso na previsão da renda.</w:t>
      </w:r>
    </w:p>
    <w:bookmarkStart w:id="109" w:name="fig:shap"/>
    <w:p>
      <w:pPr>
        <w:pStyle w:val="CaptionedFigure"/>
        <w:keepNext/>
        <w:keepLines/>
      </w:pPr>
      <w:r>
        <w:rPr>
          <w:rFonts w:ascii="Arial" w:hAnsi="Arial"/>
          <w:sz w:val="22"/>
        </w:rPr>
        <w:drawing>
          <wp:inline>
            <wp:extent cx="5292852" cy="4123315"/>
            <wp:effectExtent b="0" l="0" r="0" t="0"/>
            <wp:docPr descr="" title="" id="107" name="Picture"/>
            <a:graphic>
              <a:graphicData uri="http://schemas.openxmlformats.org/drawingml/2006/picture">
                <pic:pic>
                  <pic:nvPicPr>
                    <pic:cNvPr descr="outputs/figures/shap_beeswarm_xgb.png" id="108" name="Picture"/>
                    <pic:cNvPicPr>
                      <a:picLocks noChangeArrowheads="1" noChangeAspect="1"/>
                    </pic:cNvPicPr>
                  </pic:nvPicPr>
                  <pic:blipFill>
                    <a:blip r:embed="rId106"/>
                    <a:stretch>
                      <a:fillRect/>
                    </a:stretch>
                  </pic:blipFill>
                  <pic:spPr bwMode="auto">
                    <a:xfrm>
                      <a:off x="0" y="0"/>
                      <a:ext cx="5292852" cy="4123315"/>
                    </a:xfrm>
                    <a:prstGeom prst="rect">
                      <a:avLst/>
                    </a:prstGeom>
                    <a:noFill/>
                    <a:ln w="9525">
                      <a:noFill/>
                      <a:headEnd/>
                      <a:tailEnd/>
                    </a:ln>
                  </pic:spPr>
                </pic:pic>
              </a:graphicData>
            </a:graphic>
          </wp:inline>
        </w:drawing>
      </w:r>
    </w:p>
    <w:p>
      <w:pPr>
        <w:pStyle w:val="ImageCaption"/>
        <w:keepNext/>
        <w:keepLines/>
        <w:spacing w:line="240" w:lineRule="auto" w:before="240" w:after="40"/>
        <w:ind w:firstLine="0"/>
        <w:jc w:val="both"/>
      </w:pPr>
      <w:r>
        <w:rPr>
          <w:rFonts w:ascii="Arial" w:hAnsi="Arial"/>
          <w:sz w:val="22"/>
        </w:rPr>
        <w:t xml:space="preserve">Figura 9. Contexto do bairro, diploma superior e jornada dominam a previsão de renda; a raça</w:t>
      </w:r>
      <w:r>
        <w:rPr>
          <w:rFonts w:ascii="Arial" w:hAnsi="Arial"/>
          <w:sz w:val="22"/>
        </w:rPr>
        <w:t xml:space="preserve"> </w:t>
      </w:r>
      <w:r>
        <w:rPr>
          <w:rFonts w:ascii="Arial" w:hAnsi="Arial"/>
          <w:sz w:val="22"/>
        </w:rPr>
        <w:t xml:space="preserve">aparece na 14</w:t>
      </w:r>
      <w:r>
        <w:rPr>
          <w:rFonts w:ascii="Arial" w:hAnsi="Arial"/>
          <w:sz w:val="22"/>
          <w:vertAlign w:val="superscript"/>
        </w:rPr>
        <w:t xml:space="preserve">a</w:t>
      </w:r>
      <w:r>
        <w:rPr>
          <w:rFonts w:ascii="Arial" w:hAnsi="Arial"/>
          <w:sz w:val="22"/>
        </w:rPr>
        <w:t xml:space="preserve"> </w:t>
      </w:r>
      <w:r>
        <w:rPr>
          <w:rFonts w:ascii="Arial" w:hAnsi="Arial"/>
          <w:sz w:val="22"/>
        </w:rPr>
        <w:t xml:space="preserve">posição entre 28 preditores (SHAP, XGBoost,</w:t>
      </w:r>
      <w:r>
        <w:rPr>
          <w:rFonts w:ascii="Arial" w:hAnsi="Arial"/>
          <w:sz w:val="22"/>
        </w:rPr>
        <w:t xml:space="preserve"> </w:t>
      </w:r>
      <m:oMath>
        <m:sSub>
          <m:e>
            <m:r>
              <m:t>N</m:t>
            </m:r>
          </m:e>
          <m:sub>
            <m:r>
              <m:rPr>
                <m:nor/>
                <m:sty m:val="p"/>
              </m:rPr>
              <m:t>SHAP</m:t>
            </m:r>
          </m:sub>
        </m:sSub>
        <m:r>
          <m:rPr>
            <m:sty m:val="p"/>
          </m:rPr>
          <m:t>=</m:t>
        </m:r>
        <m:r>
          <m:t>50.000</m:t>
        </m:r>
      </m:oMath>
      <w:r>
        <w:rPr>
          <w:rFonts w:ascii="Arial" w:hAnsi="Arial"/>
          <w:sz w:val="22"/>
        </w:rPr>
        <w:t xml:space="preserve">).</w:t>
      </w:r>
    </w:p>
    <w:bookmarkEnd w:id="109"/>
    <w:p>
      <w:pPr>
        <w:pStyle w:val="BodyText"/>
        <w:keepNext/>
        <w:spacing w:line="240" w:lineRule="auto" w:before="40" w:after="0"/>
        <w:ind w:firstLine="0"/>
        <w:jc w:val="both"/>
      </w:pPr>
      <w:r>
        <w:rPr>
          <w:rFonts w:ascii="Arial" w:hAnsi="Arial"/>
          <w:sz w:val="22"/>
        </w:rPr>
        <w:t xml:space="preserve">Fonte: Resultados originais da pesquisa</w:t>
      </w:r>
    </w:p>
    <w:p>
      <w:pPr>
        <w:pStyle w:val="BodyText"/>
        <w:spacing w:line="240" w:lineRule="auto" w:before="0" w:after="240"/>
        <w:ind w:firstLine="0"/>
        <w:jc w:val="both"/>
      </w:pPr>
      <w:r>
        <w:rPr>
          <w:rFonts w:ascii="Arial" w:hAnsi="Arial"/>
          <w:sz w:val="22"/>
        </w:rPr>
        <w:t xml:space="preserve">Nota: como ler a Figura 9: cada ponto é um trabalhador; quanto mais à direita (ou maior a barra), maior o efeito da variável na renda prevista. A cor indica se o valor da variável é alto ou baixo.</w:t>
      </w:r>
    </w:p>
    <w:p>
      <w:pPr>
        <w:pStyle w:val="BodyText"/>
        <w:spacing w:line="360" w:lineRule="auto" w:after="0"/>
        <w:ind w:firstLine="709"/>
        <w:jc w:val="both"/>
      </w:pPr>
      <w:r>
        <w:rPr>
          <w:rFonts w:ascii="Arial" w:hAnsi="Arial"/>
          <w:sz w:val="22"/>
        </w:rPr>
        <w:t xml:space="preserve">A Tabela 15 mostra o</w:t>
      </w:r>
      <w:r>
        <w:rPr>
          <w:rFonts w:ascii="Arial" w:hAnsi="Arial"/>
          <w:sz w:val="22"/>
        </w:rPr>
        <w:t xml:space="preserve"> </w:t>
      </w:r>
      <w:r>
        <w:rPr>
          <w:rFonts w:ascii="Arial" w:hAnsi="Arial"/>
          <w:b/>
          <w:bCs/>
          <w:sz w:val="22"/>
        </w:rPr>
        <w:t xml:space="preserve">contexto do bairro</w:t>
      </w:r>
      <w:r>
        <w:rPr>
          <w:rFonts w:ascii="Arial" w:hAnsi="Arial"/>
          <w:sz w:val="22"/>
        </w:rPr>
        <w:t xml:space="preserve"> </w:t>
      </w:r>
      <w:r>
        <w:rPr>
          <w:rFonts w:ascii="Arial" w:hAnsi="Arial"/>
          <w:sz w:val="22"/>
        </w:rPr>
        <w:t xml:space="preserve">entre os</w:t>
      </w:r>
      <w:r>
        <w:rPr>
          <w:rFonts w:ascii="Arial" w:hAnsi="Arial"/>
          <w:sz w:val="22"/>
        </w:rPr>
        <w:t xml:space="preserve"> </w:t>
      </w:r>
      <w:r>
        <w:rPr>
          <w:rFonts w:ascii="Arial" w:hAnsi="Arial"/>
          <w:sz w:val="22"/>
        </w:rPr>
        <w:t xml:space="preserve">preditores de maior peso do rendimento individual. A variável usada aqui é a renda</w:t>
      </w:r>
      <w:r>
        <w:rPr>
          <w:rFonts w:ascii="Arial" w:hAnsi="Arial"/>
          <w:sz w:val="22"/>
        </w:rPr>
        <w:t xml:space="preserve"> </w:t>
      </w:r>
      <w:r>
        <w:rPr>
          <w:rFonts w:ascii="Arial" w:hAnsi="Arial"/>
          <w:sz w:val="22"/>
        </w:rPr>
        <w:t xml:space="preserve">média da UPA</w:t>
      </w:r>
      <w:r>
        <w:rPr>
          <w:rFonts w:ascii="Arial" w:hAnsi="Arial"/>
          <w:sz w:val="22"/>
        </w:rPr>
        <w:t xml:space="preserve"> </w:t>
      </w:r>
      <w:r>
        <w:rPr>
          <w:rFonts w:ascii="Arial" w:hAnsi="Arial"/>
          <w:sz w:val="22"/>
        </w:rPr>
        <w:t xml:space="preserve">excluindo o próprio indivíduo</w:t>
      </w:r>
      <w:r>
        <w:rPr>
          <w:rFonts w:ascii="Arial" w:hAnsi="Arial"/>
          <w:sz w:val="22"/>
        </w:rPr>
        <w:t xml:space="preserve"> </w:t>
      </w:r>
      <w:r>
        <w:rPr>
          <w:rFonts w:ascii="Arial" w:hAnsi="Arial"/>
          <w:sz w:val="22"/>
        </w:rPr>
        <w:t xml:space="preserve">(</w:t>
      </w:r>
      <w:r>
        <w:rPr>
          <w:rFonts w:ascii="Arial" w:hAnsi="Arial"/>
          <w:sz w:val="22"/>
        </w:rPr>
        <w:t xml:space="preserve">leave-one-out</w:t>
      </w:r>
      <w:r>
        <w:rPr>
          <w:rFonts w:ascii="Arial" w:hAnsi="Arial"/>
          <w:sz w:val="22"/>
        </w:rPr>
        <w:t xml:space="preserve">): a média que</w:t>
      </w:r>
      <w:r>
        <w:rPr>
          <w:rFonts w:ascii="Arial" w:hAnsi="Arial"/>
          <w:sz w:val="22"/>
        </w:rPr>
        <w:t xml:space="preserve"> </w:t>
      </w:r>
      <w:r>
        <w:rPr>
          <w:rFonts w:ascii="Arial" w:hAnsi="Arial"/>
          <w:sz w:val="22"/>
        </w:rPr>
        <w:t xml:space="preserve">inclui a própria pessoa é mecanicamente correlacionada com seu rendimento — o</w:t>
      </w:r>
      <w:r>
        <w:rPr>
          <w:rFonts w:ascii="Arial" w:hAnsi="Arial"/>
          <w:sz w:val="22"/>
        </w:rPr>
        <w:t xml:space="preserve"> </w:t>
      </w:r>
      <w:r>
        <w:rPr>
          <w:rFonts w:ascii="Arial" w:hAnsi="Arial"/>
          <w:sz w:val="22"/>
        </w:rPr>
        <w:t xml:space="preserve">problema do reflexo</w:t>
      </w:r>
      <w:r>
        <w:rPr>
          <w:rFonts w:ascii="Arial" w:hAnsi="Arial"/>
          <w:sz w:val="22"/>
        </w:rPr>
        <w:t xml:space="preserve"> </w:t>
      </w:r>
      <w:r>
        <w:rPr>
          <w:rFonts w:ascii="Arial" w:hAnsi="Arial"/>
          <w:sz w:val="22"/>
        </w:rPr>
        <w:t xml:space="preserve">(Manski, 1993)</w:t>
      </w:r>
      <w:r>
        <w:rPr>
          <w:rFonts w:ascii="Arial" w:hAnsi="Arial"/>
          <w:sz w:val="22"/>
        </w:rPr>
        <w:t xml:space="preserve"> </w:t>
      </w:r>
      <w:r>
        <w:rPr>
          <w:rFonts w:ascii="Arial" w:hAnsi="Arial"/>
          <w:sz w:val="22"/>
        </w:rPr>
        <w:t xml:space="preserve">— e inflaria artificialmente a importância do</w:t>
      </w:r>
      <w:r>
        <w:rPr>
          <w:rFonts w:ascii="Arial" w:hAnsi="Arial"/>
          <w:sz w:val="22"/>
        </w:rPr>
        <w:t xml:space="preserve"> </w:t>
      </w:r>
      <w:r>
        <w:rPr>
          <w:rFonts w:ascii="Arial" w:hAnsi="Arial"/>
          <w:sz w:val="22"/>
        </w:rPr>
        <w:t xml:space="preserve">território. Mesmo sem essa contaminação, o bairro permanece entre os preditores de</w:t>
      </w:r>
      <w:r>
        <w:rPr>
          <w:rFonts w:ascii="Arial" w:hAnsi="Arial"/>
          <w:sz w:val="22"/>
        </w:rPr>
        <w:t xml:space="preserve"> </w:t>
      </w:r>
      <w:r>
        <w:rPr>
          <w:rFonts w:ascii="Arial" w:hAnsi="Arial"/>
          <w:sz w:val="22"/>
        </w:rPr>
        <w:t xml:space="preserve">primeira ordem, o que é consistente com a hipótese de</w:t>
      </w:r>
      <w:r>
        <w:rPr>
          <w:rFonts w:ascii="Arial" w:hAnsi="Arial"/>
          <w:sz w:val="22"/>
        </w:rPr>
        <w:t xml:space="preserve"> </w:t>
      </w:r>
      <w:r>
        <w:rPr>
          <w:rFonts w:ascii="Arial" w:hAnsi="Arial"/>
          <w:sz w:val="22"/>
        </w:rPr>
        <w:t xml:space="preserve">Wilson (1987)</w:t>
      </w:r>
      <w:r>
        <w:rPr>
          <w:rFonts w:ascii="Arial" w:hAnsi="Arial"/>
          <w:sz w:val="22"/>
        </w:rPr>
        <w:t xml:space="preserve">; a</w:t>
      </w:r>
      <w:r>
        <w:rPr>
          <w:rFonts w:ascii="Arial" w:hAnsi="Arial"/>
          <w:sz w:val="22"/>
        </w:rPr>
        <w:t xml:space="preserve"> </w:t>
      </w:r>
      <w:r>
        <w:rPr>
          <w:rFonts w:ascii="Arial" w:hAnsi="Arial"/>
          <w:sz w:val="22"/>
        </w:rPr>
        <w:t xml:space="preserve">leitura correta, porém, é de</w:t>
      </w:r>
      <w:r>
        <w:rPr>
          <w:rFonts w:ascii="Arial" w:hAnsi="Arial"/>
          <w:sz w:val="22"/>
        </w:rPr>
        <w:t xml:space="preserve"> </w:t>
      </w:r>
      <w:r>
        <w:rPr>
          <w:rFonts w:ascii="Arial" w:hAnsi="Arial"/>
          <w:sz w:val="22"/>
        </w:rPr>
        <w:t xml:space="preserve">mediação</w:t>
      </w:r>
      <w:r>
        <w:rPr>
          <w:rFonts w:ascii="Arial" w:hAnsi="Arial"/>
          <w:sz w:val="22"/>
        </w:rPr>
        <w:t xml:space="preserve"> </w:t>
      </w:r>
      <w:r>
        <w:rPr>
          <w:rFonts w:ascii="Arial" w:hAnsi="Arial"/>
          <w:sz w:val="22"/>
        </w:rPr>
        <w:t xml:space="preserve">territorial — choques comuns ao bairro</w:t>
      </w:r>
      <w:r>
        <w:rPr>
          <w:rFonts w:ascii="Arial" w:hAnsi="Arial"/>
          <w:sz w:val="22"/>
        </w:rPr>
        <w:t xml:space="preserve"> </w:t>
      </w:r>
      <w:r>
        <w:rPr>
          <w:rFonts w:ascii="Arial" w:hAnsi="Arial"/>
          <w:sz w:val="22"/>
        </w:rPr>
        <w:t xml:space="preserve">(mercado de trabalho local, transporte, redes) afetam todos os moradores — e não de</w:t>
      </w:r>
      <w:r>
        <w:rPr>
          <w:rFonts w:ascii="Arial" w:hAnsi="Arial"/>
          <w:sz w:val="22"/>
        </w:rPr>
        <w:t xml:space="preserve"> </w:t>
      </w:r>
      <w:r>
        <w:rPr>
          <w:rFonts w:ascii="Arial" w:hAnsi="Arial"/>
          <w:sz w:val="22"/>
        </w:rPr>
        <w:t xml:space="preserve">efeito causal de um vizinho sobre o outro. Como checagem extrema, o mesmo XGBoost</w:t>
      </w:r>
      <w:r>
        <w:rPr>
          <w:rFonts w:ascii="Arial" w:hAnsi="Arial"/>
          <w:sz w:val="22"/>
        </w:rPr>
        <w:t xml:space="preserve"> </w:t>
      </w:r>
      <w:r>
        <w:rPr>
          <w:rFonts w:ascii="Arial" w:hAnsi="Arial"/>
          <w:sz w:val="22"/>
        </w:rPr>
        <w:t xml:space="preserve">estimado</w:t>
      </w:r>
      <w:r>
        <w:rPr>
          <w:rFonts w:ascii="Arial" w:hAnsi="Arial"/>
          <w:sz w:val="22"/>
        </w:rPr>
        <w:t xml:space="preserve"> </w:t>
      </w:r>
      <w:r>
        <w:rPr>
          <w:rFonts w:ascii="Arial" w:hAnsi="Arial"/>
          <w:sz w:val="22"/>
        </w:rPr>
        <w:t xml:space="preserve">sem qualquer</w:t>
      </w:r>
      <w:r>
        <w:rPr>
          <w:rFonts w:ascii="Arial" w:hAnsi="Arial"/>
          <w:sz w:val="22"/>
        </w:rPr>
        <w:t xml:space="preserve"> </w:t>
      </w:r>
      <w:r>
        <w:rPr>
          <w:rFonts w:ascii="Arial" w:hAnsi="Arial"/>
          <w:sz w:val="22"/>
        </w:rPr>
        <w:t xml:space="preserve">renda de vizinhança perde pouco poder preditivo</w:t>
      </w:r>
      <w:r>
        <w:rPr>
          <w:rFonts w:ascii="Arial" w:hAnsi="Arial"/>
          <w:sz w:val="22"/>
        </w:rPr>
        <w:t xml:space="preserve"> </w:t>
      </w:r>
      <w:r>
        <w:rPr>
          <w:rFonts w:ascii="Arial" w:hAnsi="Arial"/>
          <w:sz w:val="22"/>
        </w:rPr>
        <w:t xml:space="preserve">(</w:t>
      </w:r>
      <m:oMath>
        <m:sSup>
          <m:e>
            <m:r>
              <m:t>R</m:t>
            </m:r>
          </m:e>
          <m:sup>
            <m:r>
              <m:t>2</m:t>
            </m:r>
          </m:sup>
        </m:sSup>
        <m:r>
          <m:rPr>
            <m:sty m:val="p"/>
          </m:rPr>
          <m:t>=</m:t>
        </m:r>
        <m:r>
          <m:t>0</m:t>
        </m:r>
        <m:r>
          <m:rPr>
            <m:sty m:val="p"/>
          </m:rPr>
          <m:t>,</m:t>
        </m:r>
        <m:r>
          <m:t>632</m:t>
        </m:r>
      </m:oMath>
      <w:r>
        <w:rPr>
          <w:rFonts w:ascii="Arial" w:hAnsi="Arial"/>
          <w:sz w:val="22"/>
        </w:rPr>
        <w:t xml:space="preserve"> </w:t>
      </w:r>
      <w:r>
        <w:rPr>
          <w:rFonts w:ascii="Arial" w:hAnsi="Arial"/>
          <w:sz w:val="22"/>
        </w:rPr>
        <w:t xml:space="preserve">contra 0,644 do modelo completo) e, nele, a contribuição</w:t>
      </w:r>
      <w:r>
        <w:rPr>
          <w:rFonts w:ascii="Arial" w:hAnsi="Arial"/>
          <w:sz w:val="22"/>
        </w:rPr>
        <w:t xml:space="preserve"> </w:t>
      </w:r>
      <w:r>
        <w:rPr>
          <w:rFonts w:ascii="Arial" w:hAnsi="Arial"/>
          <w:sz w:val="22"/>
        </w:rPr>
        <w:t xml:space="preserve">média da raça é praticamente a mesma (0,029 contra 0,027 em</w:t>
      </w:r>
      <w:r>
        <w:rPr>
          <w:rFonts w:ascii="Arial" w:hAnsi="Arial"/>
          <w:sz w:val="22"/>
        </w:rPr>
        <w:t xml:space="preserve"> </w:t>
      </w:r>
      <m:oMath>
        <m:r>
          <m:rPr>
            <m:sty m:val="p"/>
          </m:rPr>
          <m:t>|</m:t>
        </m:r>
        <m:r>
          <m:rPr>
            <m:nor/>
            <m:sty m:val="p"/>
          </m:rPr>
          <m:t>SHAP</m:t>
        </m:r>
        <m:r>
          <m:rPr>
            <m:sty m:val="p"/>
          </m:rPr>
          <m:t>|</m:t>
        </m:r>
      </m:oMath>
      <w:r>
        <w:rPr>
          <w:rFonts w:ascii="Arial" w:hAnsi="Arial"/>
          <w:sz w:val="22"/>
        </w:rPr>
        <w:t xml:space="preserve">): o sinal racial não é um artefato da variável de contexto —</w:t>
      </w:r>
      <w:r>
        <w:rPr>
          <w:rFonts w:ascii="Arial" w:hAnsi="Arial"/>
          <w:sz w:val="22"/>
        </w:rPr>
        <w:t xml:space="preserve"> </w:t>
      </w:r>
      <w:r>
        <w:rPr>
          <w:rFonts w:ascii="Arial" w:hAnsi="Arial"/>
          <w:sz w:val="22"/>
        </w:rPr>
        <w:t xml:space="preserve">muda apenas a posição relativa no</w:t>
      </w:r>
      <w:r>
        <w:rPr>
          <w:rFonts w:ascii="Arial" w:hAnsi="Arial"/>
          <w:sz w:val="22"/>
        </w:rPr>
        <w:t xml:space="preserve"> </w:t>
      </w:r>
      <w:r>
        <w:rPr>
          <w:rFonts w:ascii="Arial" w:hAnsi="Arial"/>
          <w:sz w:val="22"/>
        </w:rPr>
        <w:t xml:space="preserve">ranking</w:t>
      </w:r>
      <w:r>
        <w:rPr>
          <w:rFonts w:ascii="Arial" w:hAnsi="Arial"/>
          <w:sz w:val="22"/>
        </w:rPr>
        <w:t xml:space="preserve">,</w:t>
      </w:r>
      <w:r>
        <w:rPr>
          <w:rStyle w:val="FootnoteReference"/>
          <w:rFonts w:ascii="Arial" w:hAnsi="Arial"/>
          <w:sz w:val="22"/>
          <w:vertAlign w:val="superscript"/>
        </w:rPr>
        <w:footnoteReference w:id="110"/>
      </w:r>
      <w:r>
        <w:rPr>
          <w:rFonts w:ascii="Arial" w:hAnsi="Arial"/>
          <w:sz w:val="22"/>
        </w:rPr>
        <w:t xml:space="preserve"> </w:t>
      </w:r>
      <w:r>
        <w:rPr>
          <w:rFonts w:ascii="Arial" w:hAnsi="Arial"/>
          <w:sz w:val="22"/>
        </w:rPr>
        <w:t xml:space="preserve">porque as demais</w:t>
      </w:r>
      <w:r>
        <w:rPr>
          <w:rFonts w:ascii="Arial" w:hAnsi="Arial"/>
          <w:sz w:val="22"/>
        </w:rPr>
        <w:t xml:space="preserve"> </w:t>
      </w:r>
      <w:r>
        <w:rPr>
          <w:rFonts w:ascii="Arial" w:hAnsi="Arial"/>
          <w:sz w:val="22"/>
        </w:rPr>
        <w:t xml:space="preserve">variáveis absorvem parte do que o território explicava.</w:t>
      </w:r>
    </w:p>
    <w:p>
      <w:pPr>
        <w:pStyle w:val="BodyText"/>
        <w:spacing w:line="360" w:lineRule="auto" w:after="0"/>
        <w:ind w:firstLine="709"/>
        <w:jc w:val="both"/>
      </w:pPr>
      <w:r>
        <w:rPr>
          <w:rFonts w:ascii="Arial" w:hAnsi="Arial"/>
          <w:sz w:val="22"/>
        </w:rPr>
        <w:t xml:space="preserve">A variável racial ocupa o 14</w:t>
      </w:r>
      <m:oMath>
        <m:sSup>
          <m:e>
            <m:r>
              <m:t>​</m:t>
            </m:r>
          </m:e>
          <m:sup>
            <m:r>
              <m:rPr>
                <m:sty m:val="p"/>
              </m:rPr>
              <m:t>∘</m:t>
            </m:r>
          </m:sup>
        </m:sSup>
      </m:oMath>
      <w:r>
        <w:rPr>
          <w:rFonts w:ascii="Arial" w:hAnsi="Arial"/>
          <w:sz w:val="22"/>
        </w:rPr>
        <w:t xml:space="preserve"> </w:t>
      </w:r>
      <w:r>
        <w:rPr>
          <w:rFonts w:ascii="Arial" w:hAnsi="Arial"/>
          <w:sz w:val="22"/>
        </w:rPr>
        <w:t xml:space="preserve">lugar no ranking de</w:t>
      </w:r>
      <w:r>
        <w:rPr>
          <w:rFonts w:ascii="Arial" w:hAnsi="Arial"/>
          <w:sz w:val="22"/>
        </w:rPr>
        <w:t xml:space="preserve"> </w:t>
      </w:r>
      <w:r>
        <w:rPr>
          <w:rFonts w:ascii="Arial" w:hAnsi="Arial"/>
          <w:sz w:val="22"/>
        </w:rPr>
        <w:t xml:space="preserve">importância mesmo após controlar por todos os demais fatores. A parcela do</w:t>
      </w:r>
      <w:r>
        <w:rPr>
          <w:rFonts w:ascii="Arial" w:hAnsi="Arial"/>
          <w:sz w:val="22"/>
        </w:rPr>
        <w:t xml:space="preserve"> </w:t>
      </w:r>
      <w:r>
        <w:rPr>
          <w:rFonts w:ascii="Arial" w:hAnsi="Arial"/>
          <w:sz w:val="22"/>
        </w:rPr>
        <w:t xml:space="preserve">rendimento predito que o modelo atribui à raça difere em</w:t>
      </w:r>
      <w:r>
        <w:rPr>
          <w:rFonts w:ascii="Arial" w:hAnsi="Arial"/>
          <w:sz w:val="22"/>
        </w:rPr>
        <w:t xml:space="preserve"> </w:t>
      </w:r>
      <w:r>
        <w:rPr>
          <w:rFonts w:ascii="Arial" w:hAnsi="Arial"/>
          <w:sz w:val="22"/>
        </w:rPr>
        <w:t xml:space="preserve">5</w:t>
      </w:r>
      <w:r>
        <w:rPr>
          <w:rFonts w:ascii="Arial" w:hAnsi="Arial"/>
          <w:sz w:val="22"/>
        </w:rPr>
        <w:t xml:space="preserve">,</w:t>
      </w:r>
      <w:r>
        <w:rPr>
          <w:rFonts w:ascii="Arial" w:hAnsi="Arial"/>
          <w:sz w:val="22"/>
        </w:rPr>
        <w:t xml:space="preserve">3% entre trabalhadores negros e</w:t>
      </w:r>
      <w:r>
        <w:rPr>
          <w:rFonts w:ascii="Arial" w:hAnsi="Arial"/>
          <w:sz w:val="22"/>
        </w:rPr>
        <w:t xml:space="preserve"> </w:t>
      </w:r>
      <w:r>
        <w:rPr>
          <w:rFonts w:ascii="Arial" w:hAnsi="Arial"/>
          <w:sz w:val="22"/>
        </w:rPr>
        <w:t xml:space="preserve">brancos</w:t>
      </w:r>
      <w:r>
        <w:rPr>
          <w:rStyle w:val="FootnoteReference"/>
          <w:rFonts w:ascii="Arial" w:hAnsi="Arial"/>
          <w:sz w:val="22"/>
          <w:vertAlign w:val="superscript"/>
        </w:rPr>
        <w:footnoteReference w:id="111"/>
      </w:r>
      <w:r>
        <w:rPr>
          <w:rFonts w:ascii="Arial" w:hAnsi="Arial"/>
          <w:sz w:val="22"/>
        </w:rPr>
        <w:t xml:space="preserve"> </w:t>
      </w:r>
      <w:r>
        <w:rPr>
          <w:rFonts w:ascii="Arial" w:hAnsi="Arial"/>
          <w:sz w:val="22"/>
        </w:rPr>
        <w:t xml:space="preserve">— o que resta depois de educação, experiência, gênero, contexto de moradia e</w:t>
      </w:r>
      <w:r>
        <w:rPr>
          <w:rFonts w:ascii="Arial" w:hAnsi="Arial"/>
          <w:sz w:val="22"/>
        </w:rPr>
        <w:t xml:space="preserve"> </w:t>
      </w:r>
      <w:r>
        <w:rPr>
          <w:rFonts w:ascii="Arial" w:hAnsi="Arial"/>
          <w:sz w:val="22"/>
        </w:rPr>
        <w:t xml:space="preserve">ocupação. O valor fica a 0</w:t>
      </w:r>
      <w:r>
        <w:rPr>
          <w:rFonts w:ascii="Arial" w:hAnsi="Arial"/>
          <w:sz w:val="22"/>
        </w:rPr>
        <w:t xml:space="preserve">,</w:t>
      </w:r>
      <w:r>
        <w:rPr>
          <w:rFonts w:ascii="Arial" w:hAnsi="Arial"/>
          <w:sz w:val="22"/>
        </w:rPr>
        <w:t xml:space="preserve">4 ponto percentual do</w:t>
      </w:r>
      <w:r>
        <w:rPr>
          <w:rFonts w:ascii="Arial" w:hAnsi="Arial"/>
          <w:sz w:val="22"/>
        </w:rPr>
        <w:t xml:space="preserve"> </w:t>
      </w:r>
      <w:r>
        <w:rPr>
          <w:rFonts w:ascii="Arial" w:hAnsi="Arial"/>
          <w:sz w:val="22"/>
        </w:rPr>
        <w:t xml:space="preserve">gap</w:t>
      </w:r>
      <w:r>
        <w:rPr>
          <w:rFonts w:ascii="Arial" w:hAnsi="Arial"/>
          <w:sz w:val="22"/>
        </w:rPr>
        <w:t xml:space="preserve"> </w:t>
      </w:r>
      <w:r>
        <w:rPr>
          <w:rFonts w:ascii="Arial" w:hAnsi="Arial"/>
          <w:sz w:val="22"/>
        </w:rPr>
        <w:t xml:space="preserve">estimado</w:t>
      </w:r>
      <w:r>
        <w:rPr>
          <w:rFonts w:ascii="Arial" w:hAnsi="Arial"/>
          <w:sz w:val="22"/>
        </w:rPr>
        <w:t xml:space="preserve"> </w:t>
      </w:r>
      <w:r>
        <w:rPr>
          <w:rFonts w:ascii="Arial" w:hAnsi="Arial"/>
          <w:sz w:val="22"/>
        </w:rPr>
        <w:t xml:space="preserve">pelo M4 hierárquico, que usa controles semelhantes (o XGBoost acrescenta a renda média do</w:t>
      </w:r>
      <w:r>
        <w:rPr>
          <w:rFonts w:ascii="Arial" w:hAnsi="Arial"/>
          <w:sz w:val="22"/>
        </w:rPr>
        <w:t xml:space="preserve"> </w:t>
      </w:r>
      <w:r>
        <w:rPr>
          <w:rFonts w:ascii="Arial" w:hAnsi="Arial"/>
          <w:sz w:val="22"/>
        </w:rPr>
        <w:t xml:space="preserve">bairro): um algoritmo que não</w:t>
      </w:r>
      <w:r>
        <w:rPr>
          <w:rFonts w:ascii="Arial" w:hAnsi="Arial"/>
          <w:sz w:val="22"/>
        </w:rPr>
        <w:t xml:space="preserve"> </w:t>
      </w:r>
      <w:r>
        <w:rPr>
          <w:rFonts w:ascii="Arial" w:hAnsi="Arial"/>
          <w:sz w:val="22"/>
        </w:rPr>
        <w:t xml:space="preserve">impõe forma funcional alguma chega perto do modelo linear, sinal de que o</w:t>
      </w:r>
      <w:r>
        <w:rPr>
          <w:rFonts w:ascii="Arial" w:hAnsi="Arial"/>
          <w:sz w:val="22"/>
        </w:rPr>
        <w:t xml:space="preserve"> </w:t>
      </w:r>
      <w:r>
        <w:rPr>
          <w:rFonts w:ascii="Arial" w:hAnsi="Arial"/>
          <w:sz w:val="22"/>
        </w:rPr>
        <w:t xml:space="preserve">achado não depende da especificação de Mincer.</w:t>
      </w:r>
    </w:p>
    <w:p>
      <w:pPr>
        <w:pStyle w:val="BodyText"/>
        <w:spacing w:line="360" w:lineRule="auto" w:after="0"/>
        <w:ind w:firstLine="709"/>
        <w:jc w:val="both"/>
      </w:pPr>
      <w:r>
        <w:rPr>
          <w:rFonts w:ascii="Arial" w:hAnsi="Arial"/>
          <w:sz w:val="22"/>
        </w:rPr>
        <w:t xml:space="preserve">Os dois modelos discordam quanto à raça, e a Tabela 15</w:t>
      </w:r>
      <w:r>
        <w:rPr>
          <w:rFonts w:ascii="Arial" w:hAnsi="Arial"/>
          <w:sz w:val="22"/>
        </w:rPr>
        <w:t xml:space="preserve"> </w:t>
      </w:r>
      <w:r>
        <w:rPr>
          <w:rFonts w:ascii="Arial" w:hAnsi="Arial"/>
          <w:sz w:val="22"/>
        </w:rPr>
        <w:t xml:space="preserve">mostra a discordância: no Random Forest ela cai para o</w:t>
      </w:r>
      <w:r>
        <w:rPr>
          <w:rFonts w:ascii="Arial" w:hAnsi="Arial"/>
          <w:sz w:val="22"/>
        </w:rPr>
        <w:t xml:space="preserve"> </w:t>
      </w:r>
      <w:r>
        <w:rPr>
          <w:rFonts w:ascii="Arial" w:hAnsi="Arial"/>
          <w:sz w:val="22"/>
        </w:rPr>
        <w:t xml:space="preserve">20</w:t>
      </w:r>
      <m:oMath>
        <m:sSup>
          <m:e>
            <m:r>
              <m:t>​</m:t>
            </m:r>
          </m:e>
          <m:sup>
            <m:r>
              <m:rPr>
                <m:sty m:val="p"/>
              </m:rPr>
              <m:t>∘</m:t>
            </m:r>
          </m:sup>
        </m:sSup>
      </m:oMath>
      <w:r>
        <w:rPr>
          <w:rFonts w:ascii="Arial" w:hAnsi="Arial"/>
          <w:sz w:val="22"/>
        </w:rPr>
        <w:t xml:space="preserve"> </w:t>
      </w:r>
      <w:r>
        <w:rPr>
          <w:rFonts w:ascii="Arial" w:hAnsi="Arial"/>
          <w:sz w:val="22"/>
        </w:rPr>
        <w:t xml:space="preserve">lugar, com contribuição média próxima de zero,</w:t>
      </w:r>
      <w:r>
        <w:rPr>
          <w:rFonts w:ascii="Arial" w:hAnsi="Arial"/>
          <w:sz w:val="22"/>
        </w:rPr>
        <w:t xml:space="preserve"> </w:t>
      </w:r>
      <w:r>
        <w:rPr>
          <w:rFonts w:ascii="Arial" w:hAnsi="Arial"/>
          <w:sz w:val="22"/>
        </w:rPr>
        <w:t xml:space="preserve">enquanto as demais variáveis têm peso semelhante nos dois. A diferença é de</w:t>
      </w:r>
      <w:r>
        <w:rPr>
          <w:rFonts w:ascii="Arial" w:hAnsi="Arial"/>
          <w:sz w:val="22"/>
        </w:rPr>
        <w:t xml:space="preserve"> </w:t>
      </w:r>
      <w:r>
        <w:rPr>
          <w:rFonts w:ascii="Arial" w:hAnsi="Arial"/>
          <w:sz w:val="22"/>
        </w:rPr>
        <w:t xml:space="preserve">arquitetura, não de dados. Cada árvore da floresta escolhe, em cada nó, a</w:t>
      </w:r>
      <w:r>
        <w:rPr>
          <w:rFonts w:ascii="Arial" w:hAnsi="Arial"/>
          <w:sz w:val="22"/>
        </w:rPr>
        <w:t xml:space="preserve"> </w:t>
      </w:r>
      <w:r>
        <w:rPr>
          <w:rFonts w:ascii="Arial" w:hAnsi="Arial"/>
          <w:sz w:val="22"/>
        </w:rPr>
        <w:t xml:space="preserve">variável de maior ganho entre todas as disponíveis; com a profundidade limitada</w:t>
      </w:r>
      <w:r>
        <w:rPr>
          <w:rFonts w:ascii="Arial" w:hAnsi="Arial"/>
          <w:sz w:val="22"/>
        </w:rPr>
        <w:t xml:space="preserve"> </w:t>
      </w:r>
      <w:r>
        <w:rPr>
          <w:rFonts w:ascii="Arial" w:hAnsi="Arial"/>
          <w:sz w:val="22"/>
        </w:rPr>
        <w:t xml:space="preserve">a dez níveis, uma variável de efeito pequeno perde essa disputa em todos os nós</w:t>
      </w:r>
      <w:r>
        <w:rPr>
          <w:rFonts w:ascii="Arial" w:hAnsi="Arial"/>
          <w:sz w:val="22"/>
        </w:rPr>
        <w:t xml:space="preserve"> </w:t>
      </w:r>
      <w:r>
        <w:rPr>
          <w:rFonts w:ascii="Arial" w:hAnsi="Arial"/>
          <w:sz w:val="22"/>
        </w:rPr>
        <w:t xml:space="preserve">e acaba nunca sendo usada. O</w:t>
      </w:r>
      <w:r>
        <w:rPr>
          <w:rFonts w:ascii="Arial" w:hAnsi="Arial"/>
          <w:sz w:val="22"/>
        </w:rPr>
        <w:t xml:space="preserve"> </w:t>
      </w:r>
      <w:r>
        <w:rPr>
          <w:rFonts w:ascii="Arial" w:hAnsi="Arial"/>
          <w:sz w:val="22"/>
        </w:rPr>
        <w:t xml:space="preserve">boosting</w:t>
      </w:r>
      <w:r>
        <w:rPr>
          <w:rFonts w:ascii="Arial" w:hAnsi="Arial"/>
          <w:sz w:val="22"/>
        </w:rPr>
        <w:t xml:space="preserve"> </w:t>
      </w:r>
      <w:r>
        <w:rPr>
          <w:rFonts w:ascii="Arial" w:hAnsi="Arial"/>
          <w:sz w:val="22"/>
        </w:rPr>
        <w:t xml:space="preserve">trabalha em sequência sobre o</w:t>
      </w:r>
      <w:r>
        <w:rPr>
          <w:rFonts w:ascii="Arial" w:hAnsi="Arial"/>
          <w:sz w:val="22"/>
        </w:rPr>
        <w:t xml:space="preserve"> </w:t>
      </w:r>
      <w:r>
        <w:rPr>
          <w:rFonts w:ascii="Arial" w:hAnsi="Arial"/>
          <w:sz w:val="22"/>
        </w:rPr>
        <w:t xml:space="preserve">resíduo: consumidas as variáveis de maior peso nas primeiras iterações, o que</w:t>
      </w:r>
      <w:r>
        <w:rPr>
          <w:rFonts w:ascii="Arial" w:hAnsi="Arial"/>
          <w:sz w:val="22"/>
        </w:rPr>
        <w:t xml:space="preserve"> </w:t>
      </w:r>
      <w:r>
        <w:rPr>
          <w:rFonts w:ascii="Arial" w:hAnsi="Arial"/>
          <w:sz w:val="22"/>
        </w:rPr>
        <w:t xml:space="preserve">sobra passa a ter estrutura racial, e as árvores seguintes chegam a ela. É por</w:t>
      </w:r>
      <w:r>
        <w:rPr>
          <w:rFonts w:ascii="Arial" w:hAnsi="Arial"/>
          <w:sz w:val="22"/>
        </w:rPr>
        <w:t xml:space="preserve"> </w:t>
      </w:r>
      <w:r>
        <w:rPr>
          <w:rFonts w:ascii="Arial" w:hAnsi="Arial"/>
          <w:sz w:val="22"/>
        </w:rPr>
        <w:t xml:space="preserve">isso que a leitura se apoia no XGBoost, que é também o de melhor ajuste — e é</w:t>
      </w:r>
      <w:r>
        <w:rPr>
          <w:rFonts w:ascii="Arial" w:hAnsi="Arial"/>
          <w:sz w:val="22"/>
        </w:rPr>
        <w:t xml:space="preserve"> </w:t>
      </w:r>
      <w:r>
        <w:rPr>
          <w:rFonts w:ascii="Arial" w:hAnsi="Arial"/>
          <w:sz w:val="22"/>
        </w:rPr>
        <w:t xml:space="preserve">uma ilustração do que a literatura de</w:t>
      </w:r>
      <w:r>
        <w:rPr>
          <w:rFonts w:ascii="Arial" w:hAnsi="Arial"/>
          <w:sz w:val="22"/>
        </w:rPr>
        <w:t xml:space="preserve"> </w:t>
      </w:r>
      <w:r>
        <w:rPr>
          <w:rFonts w:ascii="Arial" w:hAnsi="Arial"/>
          <w:sz w:val="22"/>
        </w:rPr>
        <w:t xml:space="preserve">ensembles</w:t>
      </w:r>
      <w:r>
        <w:rPr>
          <w:rFonts w:ascii="Arial" w:hAnsi="Arial"/>
          <w:sz w:val="22"/>
        </w:rPr>
        <w:t xml:space="preserve"> </w:t>
      </w:r>
      <w:r>
        <w:rPr>
          <w:rFonts w:ascii="Arial" w:hAnsi="Arial"/>
          <w:sz w:val="22"/>
        </w:rPr>
        <w:t xml:space="preserve">chama de sensibilidade</w:t>
      </w:r>
      <w:r>
        <w:rPr>
          <w:rFonts w:ascii="Arial" w:hAnsi="Arial"/>
          <w:sz w:val="22"/>
        </w:rPr>
        <w:t xml:space="preserve"> </w:t>
      </w:r>
      <w:r>
        <w:rPr>
          <w:rFonts w:ascii="Arial" w:hAnsi="Arial"/>
          <w:sz w:val="22"/>
        </w:rPr>
        <w:t xml:space="preserve">do modelo à forma como o erro é decomposto. A Figura 10 ilustra como a previsão de dois casos individuais é composta.</w:t>
      </w:r>
    </w:p>
    <w:bookmarkStart w:id="118" w:name="fig:shap_wf"/>
    <w:tbl>
      <w:tblPr>
        <w:tblStyle w:val="FigureTable"/>
        <w:tblW w:type="auto" w:w="0"/>
        <w:jc w:val="center"/>
        <w:tblLayout w:type="fixed"/>
        <w:tblLook w:firstRow="0" w:lastRow="0" w:firstColumn="0" w:lastColumn="0"/>
        <w:tblBorders>
          <w:top w:val="nil"/>
          <w:left w:val="nil"/>
          <w:bottom w:val="nil"/>
          <w:right w:val="nil"/>
          <w:insideH w:val="nil"/>
          <w:insideV w:val="nil"/>
        </w:tblBorders>
      </w:tblPr>
      <w:tblGrid>
        <w:gridCol w:w="9071"/>
      </w:tblGrid>
      <w:tr>
        <w:trPr>
          <w:tblHeader w:val="true"/>
          <w:cantSplit/>
        </w:trPr>
        <w:tc>
          <w:tcPr>
            <w:tcW w:type="dxa" w:w="9071"/>
            <w:tcBorders>
              <w:top w:val="nil"/>
              <w:left w:val="nil"/>
              <w:bottom w:val="single" w:sz="8" w:color="000000"/>
              <w:right w:val="nil"/>
            </w:tcBorders>
          </w:tcPr>
          <w:p>
            <w:pPr>
              <w:keepNext/>
              <w:spacing w:line="240" w:lineRule="auto" w:after="0"/>
              <w:ind w:firstLine="0"/>
              <w:jc w:val="center"/>
            </w:pPr>
            <w:r>
              <w:rPr>
                <w:rFonts w:ascii="Arial" w:hAnsi="Arial"/>
                <w:b w:val="0"/>
                <w:sz w:val="22"/>
              </w:rPr>
              <w:drawing>
                <wp:inline>
                  <wp:extent cx="2819019" cy="2563340"/>
                  <wp:effectExtent b="0" l="0" r="0" t="0"/>
                  <wp:docPr descr="image" title="" id="113" name="Picture"/>
                  <a:graphic>
                    <a:graphicData uri="http://schemas.openxmlformats.org/drawingml/2006/picture">
                      <pic:pic>
                        <pic:nvPicPr>
                          <pic:cNvPr descr="outputs/figures/shap_waterfall_A_branco_alta_renda_xgb.png" id="114" name="Picture"/>
                          <pic:cNvPicPr>
                            <a:picLocks noChangeArrowheads="1" noChangeAspect="1"/>
                          </pic:cNvPicPr>
                        </pic:nvPicPr>
                        <pic:blipFill>
                          <a:blip r:embed="rId112"/>
                          <a:stretch>
                            <a:fillRect/>
                          </a:stretch>
                        </pic:blipFill>
                        <pic:spPr bwMode="auto">
                          <a:xfrm>
                            <a:off x="0" y="0"/>
                            <a:ext cx="2819019" cy="2563340"/>
                          </a:xfrm>
                          <a:prstGeom prst="rect">
                            <a:avLst/>
                          </a:prstGeom>
                          <a:noFill/>
                          <a:ln w="9525">
                            <a:noFill/>
                            <a:headEnd/>
                            <a:tailEnd/>
                          </a:ln>
                        </pic:spPr>
                      </pic:pic>
                    </a:graphicData>
                  </a:graphic>
                </wp:inline>
              </w:drawing>
            </w:r>
            <w:r>
              <w:rPr>
                <w:rFonts w:ascii="Arial" w:hAnsi="Arial"/>
                <w:b w:val="0"/>
                <w:sz w:val="22"/>
              </w:rPr>
              <w:t xml:space="preserve"> </w:t>
            </w:r>
            <w:r>
              <w:rPr>
                <w:rFonts w:ascii="Arial" w:hAnsi="Arial"/>
                <w:b w:val="0"/>
                <w:sz w:val="22"/>
              </w:rPr>
              <w:drawing>
                <wp:inline>
                  <wp:extent cx="2819019" cy="2541667"/>
                  <wp:effectExtent b="0" l="0" r="0" t="0"/>
                  <wp:docPr descr="image" title="" id="116" name="Picture"/>
                  <a:graphic>
                    <a:graphicData uri="http://schemas.openxmlformats.org/drawingml/2006/picture">
                      <pic:pic>
                        <pic:nvPicPr>
                          <pic:cNvPr descr="outputs/figures/shap_waterfall_B_negro_alta_renda_xgb.png" id="117" name="Picture"/>
                          <pic:cNvPicPr>
                            <a:picLocks noChangeArrowheads="1" noChangeAspect="1"/>
                          </pic:cNvPicPr>
                        </pic:nvPicPr>
                        <pic:blipFill>
                          <a:blip r:embed="rId115"/>
                          <a:stretch>
                            <a:fillRect/>
                          </a:stretch>
                        </pic:blipFill>
                        <pic:spPr bwMode="auto">
                          <a:xfrm>
                            <a:off x="0" y="0"/>
                            <a:ext cx="2819019" cy="2541667"/>
                          </a:xfrm>
                          <a:prstGeom prst="rect">
                            <a:avLst/>
                          </a:prstGeom>
                          <a:noFill/>
                          <a:ln w="9525">
                            <a:noFill/>
                            <a:headEnd/>
                            <a:tailEnd/>
                          </a:ln>
                        </pic:spPr>
                      </pic:pic>
                    </a:graphicData>
                  </a:graphic>
                </wp:inline>
              </w:drawing>
            </w:r>
          </w:p>
        </w:tc>
      </w:tr>
    </w:tbl>
    <w:bookmarkEnd w:id="118"/>
    <w:p>
      <w:pPr>
        <w:pStyle w:val="BodyText"/>
        <w:keepNext/>
        <w:spacing w:line="240" w:lineRule="auto" w:before="40" w:after="0"/>
        <w:ind w:firstLine="0"/>
        <w:jc w:val="both"/>
      </w:pPr>
      <w:r>
        <w:rPr>
          <w:rFonts w:ascii="Arial" w:hAnsi="Arial"/>
          <w:sz w:val="22"/>
        </w:rPr>
        <w:t xml:space="preserve">Fonte: Resultados originais da pesquisa</w:t>
      </w:r>
    </w:p>
    <w:p>
      <w:pPr>
        <w:pStyle w:val="ImageCaption"/>
        <w:spacing w:line="240" w:lineRule="auto" w:before="0" w:after="240"/>
        <w:ind w:firstLine="0"/>
        <w:jc w:val="both"/>
      </w:pPr>
      <w:r>
        <w:rPr>
          <w:rFonts w:ascii="Arial" w:hAnsi="Arial"/>
          <w:sz w:val="22"/>
        </w:rPr>
        <w:t>Nota: Figura 10. A mesma variável, sinais opostos: a raça soma à previsão do</w:t>
      </w:r>
      <w:r>
        <w:rPr>
          <w:rFonts w:ascii="Arial" w:hAnsi="Arial"/>
          <w:sz w:val="22"/>
        </w:rPr>
        <w:t xml:space="preserve"> </w:t>
      </w:r>
      <w:r>
        <w:rPr>
          <w:rFonts w:ascii="Arial" w:hAnsi="Arial"/>
          <w:sz w:val="22"/>
        </w:rPr>
        <w:t xml:space="preserve">trabalhador branco e subtrai da do negro. Decomposição SHAP individual</w:t>
      </w:r>
      <w:r>
        <w:rPr>
          <w:rFonts w:ascii="Arial" w:hAnsi="Arial"/>
          <w:sz w:val="22"/>
        </w:rPr>
        <w:t xml:space="preserve"> </w:t>
      </w:r>
      <w:r>
        <w:rPr>
          <w:rFonts w:ascii="Arial" w:hAnsi="Arial"/>
          <w:sz w:val="22"/>
        </w:rPr>
        <w:t xml:space="preserve">(</w:t>
      </w:r>
      <w:r>
        <w:rPr>
          <w:rFonts w:ascii="Arial" w:hAnsi="Arial"/>
          <w:sz w:val="22"/>
        </w:rPr>
        <w:t xml:space="preserve">waterfall</w:t>
      </w:r>
      <w:r>
        <w:rPr>
          <w:rFonts w:ascii="Arial" w:hAnsi="Arial"/>
          <w:sz w:val="22"/>
        </w:rPr>
        <w:t xml:space="preserve">) de dois trabalhadores, cada um no percentil 75 de rendimento</w:t>
      </w:r>
      <w:r>
        <w:rPr>
          <w:rFonts w:ascii="Arial" w:hAnsi="Arial"/>
          <w:sz w:val="22"/>
        </w:rPr>
        <w:t xml:space="preserve"> </w:t>
      </w:r>
      <w:r>
        <w:rPr>
          <w:rFonts w:ascii="Arial" w:hAnsi="Arial"/>
          <w:sz w:val="22"/>
        </w:rPr>
        <w:t xml:space="preserve">do próprio grupo; cada barra é a contribuição de uma variável ao afastamento entre</w:t>
      </w:r>
      <w:r>
        <w:rPr>
          <w:rFonts w:ascii="Arial" w:hAnsi="Arial"/>
          <w:sz w:val="22"/>
        </w:rPr>
        <w:t xml:space="preserve"> </w:t>
      </w:r>
      <w:r>
        <w:rPr>
          <w:rFonts w:ascii="Arial" w:hAnsi="Arial"/>
          <w:sz w:val="22"/>
        </w:rPr>
        <w:t xml:space="preserve">a previsão média da base e a previsão daquele caso, em log-pontos, e as de menor</w:t>
      </w:r>
      <w:r>
        <w:rPr>
          <w:rFonts w:ascii="Arial" w:hAnsi="Arial"/>
          <w:sz w:val="22"/>
        </w:rPr>
        <w:t xml:space="preserve"> </w:t>
      </w:r>
      <w:r>
        <w:rPr>
          <w:rFonts w:ascii="Arial" w:hAnsi="Arial"/>
          <w:sz w:val="22"/>
        </w:rPr>
        <w:t xml:space="preserve">peso estão agrupadas na linha das demais. Os painéis mostram como o modelo compõe</w:t>
      </w:r>
      <w:r>
        <w:rPr>
          <w:rFonts w:ascii="Arial" w:hAnsi="Arial"/>
          <w:sz w:val="22"/>
        </w:rPr>
        <w:t xml:space="preserve"> </w:t>
      </w:r>
      <w:r>
        <w:rPr>
          <w:rFonts w:ascii="Arial" w:hAnsi="Arial"/>
          <w:sz w:val="22"/>
        </w:rPr>
        <w:t xml:space="preserve">uma previsão: a diferença de rendimento entre os dois é bruta, sem os controles</w:t>
      </w:r>
      <w:r>
        <w:rPr>
          <w:rFonts w:ascii="Arial" w:hAnsi="Arial"/>
          <w:sz w:val="22"/>
        </w:rPr>
        <w:t xml:space="preserve"> </w:t>
      </w:r>
      <w:r>
        <w:rPr>
          <w:rFonts w:ascii="Arial" w:hAnsi="Arial"/>
          <w:sz w:val="22"/>
        </w:rPr>
        <w:t xml:space="preserve">que os modelos aplicam.</w:t>
      </w:r>
    </w:p>
    <w:p>
      <w:pPr>
        <w:pStyle w:val="BodyText"/>
        <w:spacing w:line="240" w:lineRule="auto" w:before="0" w:after="240"/>
        <w:ind w:firstLine="0"/>
        <w:jc w:val="both"/>
      </w:pPr>
      <w:r>
        <w:rPr>
          <w:rFonts w:ascii="Arial" w:hAnsi="Arial"/>
          <w:sz w:val="22"/>
        </w:rPr>
        <w:t xml:space="preserve">Nota: como ler a Figura 10: cada linha é uma variável de</w:t>
      </w:r>
      <w:r>
        <w:rPr>
          <w:rFonts w:ascii="Arial" w:hAnsi="Arial"/>
          <w:sz w:val="22"/>
        </w:rPr>
        <w:t xml:space="preserve"> </w:t>
      </w:r>
      <w:r>
        <w:rPr>
          <w:rFonts w:ascii="Arial" w:hAnsi="Arial"/>
          <w:b/>
          <w:bCs/>
          <w:sz w:val="22"/>
        </w:rPr>
        <w:t xml:space="preserve">um</w:t>
      </w:r>
      <w:r>
        <w:rPr>
          <w:rFonts w:ascii="Arial" w:hAnsi="Arial"/>
          <w:sz w:val="22"/>
        </w:rPr>
        <w:t xml:space="preserve"> </w:t>
      </w:r>
      <w:r>
        <w:rPr>
          <w:rFonts w:ascii="Arial" w:hAnsi="Arial"/>
          <w:sz w:val="22"/>
        </w:rPr>
        <w:t xml:space="preserve">trabalhador — não de uma média. A barra mostra quanto aquela variável empurra a previsão para cima ou para baixo, partindo da previsão média da base até a previsão final do caso. Compare a linha</w:t>
      </w:r>
      <w:r>
        <w:rPr>
          <w:rFonts w:ascii="Arial" w:hAnsi="Arial"/>
          <w:sz w:val="22"/>
        </w:rPr>
        <w:t xml:space="preserve"> </w:t>
      </w:r>
      <w:r>
        <w:rPr>
          <w:rFonts w:ascii="Arial" w:hAnsi="Arial"/>
          <w:sz w:val="22"/>
        </w:rPr>
        <w:t xml:space="preserve">Raça (negro)</w:t>
      </w:r>
      <w:r>
        <w:rPr>
          <w:rFonts w:ascii="Arial" w:hAnsi="Arial"/>
          <w:sz w:val="22"/>
        </w:rPr>
        <w:t xml:space="preserve"> </w:t>
      </w:r>
      <w:r>
        <w:rPr>
          <w:rFonts w:ascii="Arial" w:hAnsi="Arial"/>
          <w:sz w:val="22"/>
        </w:rPr>
        <w:t xml:space="preserve">nos dois painéis: é a mesma variável, com o sinal trocado — soma no branco, subtrai no negro. Serve para ver como o modelo compõe uma decisão, não para generalizar: a magnitude média está na Figura 9, sobre os 50 mil casos.</w:t>
      </w:r>
    </w:p>
    <w:bookmarkEnd w:id="119"/>
    <w:bookmarkStart w:id="122" w:name="Xc02d7afb41e20bd837441008f8bdad2e17cceb6"/>
    <w:p>
      <w:pPr>
        <w:pStyle w:val="Ttulo2"/>
        <w:spacing w:line="360" w:lineRule="auto" w:before="280" w:after="280"/>
        <w:ind w:firstLine="709"/>
        <w:jc w:val="left"/>
      </w:pPr>
      <w:r>
        <w:rPr>
          <w:rFonts w:ascii="Arial" w:hAnsi="Arial"/>
          <w:b/>
          <w:sz w:val="22"/>
        </w:rPr>
        <w:t xml:space="preserve">Multicolinearidade do Modelo M4: Análise VIF</w:t>
      </w:r>
    </w:p>
    <w:p>
      <w:pPr>
        <w:pStyle w:val="FirstParagraph"/>
        <w:spacing w:line="360" w:lineRule="auto" w:after="0"/>
        <w:ind w:firstLine="709"/>
        <w:jc w:val="both"/>
      </w:pPr>
      <w:r>
        <w:rPr>
          <w:rFonts w:ascii="Arial" w:hAnsi="Arial"/>
          <w:sz w:val="22"/>
        </w:rPr>
        <w:t xml:space="preserve">Antes da Discussão, uma checagem técnica do modelo com mais controles, o M4.</w:t>
      </w:r>
      <w:r>
        <w:rPr>
          <w:rFonts w:ascii="Arial" w:hAnsi="Arial"/>
          <w:sz w:val="22"/>
        </w:rPr>
        <w:t xml:space="preserve"> </w:t>
      </w:r>
      <w:bookmarkStart w:id="120" w:name="subsec:vif"/>
      <w:bookmarkEnd w:id="120"/>
    </w:p>
    <w:p>
      <w:pPr>
        <w:pStyle w:val="BodyText"/>
        <w:spacing w:line="360" w:lineRule="auto" w:after="0"/>
        <w:ind w:firstLine="709"/>
        <w:jc w:val="both"/>
      </w:pPr>
      <w:r>
        <w:rPr>
          <w:rFonts w:ascii="Arial" w:hAnsi="Arial"/>
          <w:sz w:val="22"/>
        </w:rPr>
        <w:t xml:space="preserve">Os controles do M4 estão brigando entre si? A pergunta é legítima: o modelo empilha nove indicadores de grupo ocupacional sobre três de vínculo, e variáveis muito próximas entre si inflam o erro-padrão umas das outras, a ponto de tornar instável justamente o coeficiente que interessa. O</w:t>
      </w:r>
      <w:r>
        <w:rPr>
          <w:rFonts w:ascii="Arial" w:hAnsi="Arial"/>
          <w:sz w:val="22"/>
        </w:rPr>
        <w:t xml:space="preserve"> </w:t>
      </w:r>
      <w:r>
        <w:rPr>
          <w:rFonts w:ascii="Arial" w:hAnsi="Arial"/>
          <w:sz w:val="22"/>
        </w:rPr>
        <w:t xml:space="preserve">Variance Inflation Factor</w:t>
      </w:r>
      <w:r>
        <w:rPr>
          <w:rFonts w:ascii="Arial" w:hAnsi="Arial"/>
          <w:sz w:val="22"/>
        </w:rPr>
        <w:t xml:space="preserve"> </w:t>
      </w:r>
      <w:r>
        <w:rPr>
          <w:rFonts w:ascii="Arial" w:hAnsi="Arial"/>
          <w:sz w:val="22"/>
        </w:rPr>
        <w:t xml:space="preserve">mede esse efeito: quanto a variância de cada estimativa cresce em razão das demais. A resposta, aqui, é que há colinearidade — mas não onde ela importaria.</w:t>
      </w:r>
      <w:r>
        <w:rPr>
          <w:rStyle w:val="FootnoteReference"/>
          <w:rFonts w:ascii="Arial" w:hAnsi="Arial"/>
          <w:sz w:val="22"/>
          <w:vertAlign w:val="superscript"/>
        </w:rPr>
        <w:footnoteReference w:id="121"/>
      </w:r>
      <w:r>
        <w:rPr>
          <w:rFonts w:ascii="Arial" w:hAnsi="Arial"/>
          <w:sz w:val="22"/>
        </w:rPr>
        <w:t xml:space="preserve"> </w:t>
      </w:r>
      <w:r>
        <w:rPr>
          <w:rFonts w:ascii="Arial" w:hAnsi="Arial"/>
          <w:sz w:val="22"/>
        </w:rPr>
        <w:t xml:space="preserve">Nenhum preditor do M4 tem VIF acima de 10; o maior é o de</w:t>
      </w:r>
      <w:r>
        <w:rPr>
          <w:rFonts w:ascii="Arial" w:hAnsi="Arial"/>
          <w:sz w:val="22"/>
        </w:rPr>
        <w:t xml:space="preserve"> </w:t>
      </w:r>
      <w:r>
        <w:rPr>
          <w:rStyle w:val="VerbatimChar"/>
          <w:rFonts w:ascii="Arial" w:hAnsi="Arial"/>
          <w:sz w:val="22"/>
        </w:rPr>
        <w:t xml:space="preserve">ocp_profissional</w:t>
      </w:r>
      <w:r>
        <w:rPr>
          <w:rFonts w:ascii="Arial" w:hAnsi="Arial"/>
          <w:sz w:val="22"/>
        </w:rPr>
        <w:t xml:space="preserve"> </w:t>
      </w:r>
      <w:r>
        <w:rPr>
          <w:rFonts w:ascii="Arial" w:hAnsi="Arial"/>
          <w:sz w:val="22"/>
        </w:rPr>
        <w:t xml:space="preserve">(2,66). A colinearidade que houver</w:t>
      </w:r>
      <w:r>
        <w:rPr>
          <w:rFonts w:ascii="Arial" w:hAnsi="Arial"/>
          <w:sz w:val="22"/>
        </w:rPr>
        <w:t xml:space="preserve"> </w:t>
      </w:r>
      <w:r>
        <w:rPr>
          <w:rFonts w:ascii="Arial" w:hAnsi="Arial"/>
          <w:b/>
          <w:bCs/>
          <w:sz w:val="22"/>
        </w:rPr>
        <w:t xml:space="preserve">não</w:t>
      </w:r>
      <w:r>
        <w:rPr>
          <w:rFonts w:ascii="Arial" w:hAnsi="Arial"/>
          <w:sz w:val="22"/>
        </w:rPr>
        <w:t xml:space="preserve"> </w:t>
      </w:r>
      <w:r>
        <w:rPr>
          <w:rFonts w:ascii="Arial" w:hAnsi="Arial"/>
          <w:sz w:val="22"/>
        </w:rPr>
        <w:t xml:space="preserve">contamina o coeficiente de</w:t>
      </w:r>
      <w:r>
        <w:rPr>
          <w:rFonts w:ascii="Arial" w:hAnsi="Arial"/>
          <w:sz w:val="22"/>
        </w:rPr>
        <w:t xml:space="preserve"> </w:t>
      </w:r>
      <w:r>
        <w:rPr>
          <w:rFonts w:ascii="Arial" w:hAnsi="Arial"/>
          <w:sz w:val="22"/>
        </w:rPr>
        <w:t xml:space="preserve">interesse: o VIF de</w:t>
      </w:r>
      <w:r>
        <w:rPr>
          <w:rFonts w:ascii="Arial" w:hAnsi="Arial"/>
          <w:sz w:val="22"/>
        </w:rPr>
        <w:t xml:space="preserve"> </w:t>
      </w:r>
      <w:r>
        <w:rPr>
          <w:rStyle w:val="VerbatimChar"/>
          <w:rFonts w:ascii="Arial" w:hAnsi="Arial"/>
          <w:sz w:val="22"/>
        </w:rPr>
        <w:t xml:space="preserve">negro</w:t>
      </w:r>
      <w:r>
        <w:rPr>
          <w:rFonts w:ascii="Arial" w:hAnsi="Arial"/>
          <w:sz w:val="22"/>
        </w:rPr>
        <w:t xml:space="preserve"> </w:t>
      </w:r>
      <w:r>
        <w:rPr>
          <w:rFonts w:ascii="Arial" w:hAnsi="Arial"/>
          <w:sz w:val="22"/>
        </w:rPr>
        <w:t xml:space="preserve">é 1,36 e o das variáveis de contexto da UPA fica abaixo de</w:t>
      </w:r>
      <w:r>
        <w:rPr>
          <w:rFonts w:ascii="Arial" w:hAnsi="Arial"/>
          <w:sz w:val="22"/>
        </w:rPr>
        <w:t xml:space="preserve"> </w:t>
      </w:r>
      <w:r>
        <w:rPr>
          <w:rFonts w:ascii="Arial" w:hAnsi="Arial"/>
          <w:sz w:val="22"/>
        </w:rPr>
        <w:t xml:space="preserve">2,2. Entre as</w:t>
      </w:r>
      <w:r>
        <w:rPr>
          <w:rFonts w:ascii="Arial" w:hAnsi="Arial"/>
          <w:sz w:val="22"/>
        </w:rPr>
        <w:t xml:space="preserve"> </w:t>
      </w:r>
      <w:r>
        <w:rPr>
          <w:rFonts w:ascii="Arial" w:hAnsi="Arial"/>
          <w:sz w:val="22"/>
        </w:rPr>
        <w:t xml:space="preserve">dummies</w:t>
      </w:r>
      <w:r>
        <w:rPr>
          <w:rFonts w:ascii="Arial" w:hAnsi="Arial"/>
          <w:sz w:val="22"/>
        </w:rPr>
        <w:t xml:space="preserve"> </w:t>
      </w:r>
      <w:r>
        <w:rPr>
          <w:rFonts w:ascii="Arial" w:hAnsi="Arial"/>
          <w:sz w:val="22"/>
        </w:rPr>
        <w:t xml:space="preserve">de CBO e as variáveis de vínculo — a</w:t>
      </w:r>
      <w:r>
        <w:rPr>
          <w:rFonts w:ascii="Arial" w:hAnsi="Arial"/>
          <w:sz w:val="22"/>
        </w:rPr>
        <w:t xml:space="preserve"> </w:t>
      </w:r>
      <w:r>
        <w:rPr>
          <w:rFonts w:ascii="Arial" w:hAnsi="Arial"/>
          <w:sz w:val="22"/>
        </w:rPr>
        <w:t xml:space="preserve">colinearidade que se temia no M4 — o VIF máximo é 2,66. A especificação</w:t>
      </w:r>
      <w:r>
        <w:rPr>
          <w:rFonts w:ascii="Arial" w:hAnsi="Arial"/>
          <w:sz w:val="22"/>
        </w:rPr>
        <w:t xml:space="preserve"> </w:t>
      </w:r>
      <w:r>
        <w:rPr>
          <w:rFonts w:ascii="Arial" w:hAnsi="Arial"/>
          <w:sz w:val="22"/>
        </w:rPr>
        <w:t xml:space="preserve">do M4 dispensa, portanto, ortogonalização ou eliminação de preditores; o que ela</w:t>
      </w:r>
      <w:r>
        <w:rPr>
          <w:rFonts w:ascii="Arial" w:hAnsi="Arial"/>
          <w:sz w:val="22"/>
        </w:rPr>
        <w:t xml:space="preserve"> </w:t>
      </w:r>
      <w:r>
        <w:rPr>
          <w:rFonts w:ascii="Arial" w:hAnsi="Arial"/>
          <w:sz w:val="22"/>
        </w:rPr>
        <w:t xml:space="preserve">não dispensa é a ressalva de</w:t>
      </w:r>
      <w:r>
        <w:rPr>
          <w:rFonts w:ascii="Arial" w:hAnsi="Arial"/>
          <w:sz w:val="22"/>
        </w:rPr>
        <w:t xml:space="preserve"> </w:t>
      </w:r>
      <w:r>
        <w:rPr>
          <w:rFonts w:ascii="Arial" w:hAnsi="Arial"/>
          <w:sz w:val="22"/>
        </w:rPr>
        <w:t xml:space="preserve">bad control</w:t>
      </w:r>
      <w:r>
        <w:rPr>
          <w:rFonts w:ascii="Arial" w:hAnsi="Arial"/>
          <w:sz w:val="22"/>
        </w:rPr>
        <w:t xml:space="preserve"> </w:t>
      </w:r>
      <w:r>
        <w:rPr>
          <w:rFonts w:ascii="Arial" w:hAnsi="Arial"/>
          <w:sz w:val="22"/>
        </w:rPr>
        <w:t xml:space="preserve">(Subseção</w:t>
      </w:r>
      <w:r>
        <w:rPr>
          <w:rFonts w:ascii="Arial" w:hAnsi="Arial"/>
          <w:sz w:val="22"/>
        </w:rPr>
        <w:t xml:space="preserve"> </w:t>
      </w:r>
      <w:r>
        <w:rPr>
          <w:rFonts w:ascii="Arial" w:hAnsi="Arial"/>
          <w:sz w:val="22"/>
        </w:rPr>
        <w:t xml:space="preserve">“Modelos Hierárquicos Lineares — Mediação Contextual do Gap”</w:t>
      </w:r>
      <w:r>
        <w:rPr>
          <w:rFonts w:ascii="Arial" w:hAnsi="Arial"/>
          <w:sz w:val="22"/>
        </w:rPr>
        <w:t xml:space="preserve">).</w:t>
      </w:r>
    </w:p>
    <w:bookmarkEnd w:id="122"/>
    <w:bookmarkStart w:id="126" w:name="sec:discussao"/>
    <w:p>
      <w:pPr>
        <w:pStyle w:val="Ttulo2"/>
        <w:spacing w:line="360" w:lineRule="auto" w:before="280" w:after="280"/>
        <w:ind w:firstLine="709"/>
        <w:jc w:val="left"/>
      </w:pPr>
      <w:r>
        <w:rPr>
          <w:rFonts w:ascii="Arial" w:hAnsi="Arial"/>
          <w:b/>
          <w:sz w:val="22"/>
        </w:rPr>
        <w:t xml:space="preserve">Discussão</w:t>
      </w:r>
    </w:p>
    <w:p>
      <w:pPr>
        <w:pStyle w:val="FirstParagraph"/>
        <w:spacing w:line="360" w:lineRule="auto" w:after="0"/>
        <w:ind w:firstLine="709"/>
        <w:jc w:val="both"/>
      </w:pPr>
      <w:r>
        <w:rPr>
          <w:rFonts w:ascii="Arial" w:hAnsi="Arial"/>
          <w:b/>
          <w:bCs/>
          <w:sz w:val="22"/>
        </w:rPr>
        <w:t xml:space="preserve">Nota terminológica.</w:t>
      </w:r>
      <w:r>
        <w:rPr>
          <w:rFonts w:ascii="Arial" w:hAnsi="Arial"/>
          <w:sz w:val="22"/>
        </w:rPr>
        <w:t xml:space="preserve"> </w:t>
      </w:r>
      <w:r>
        <w:rPr>
          <w:rFonts w:ascii="Arial" w:hAnsi="Arial"/>
          <w:sz w:val="22"/>
        </w:rPr>
        <w:t xml:space="preserve">Três conceitos próximos, mas distintos, percorrem este trabalho e não devem ser</w:t>
      </w:r>
      <w:r>
        <w:rPr>
          <w:rFonts w:ascii="Arial" w:hAnsi="Arial"/>
          <w:sz w:val="22"/>
        </w:rPr>
        <w:t xml:space="preserve"> </w:t>
      </w:r>
      <w:r>
        <w:rPr>
          <w:rFonts w:ascii="Arial" w:hAnsi="Arial"/>
          <w:sz w:val="22"/>
        </w:rPr>
        <w:t xml:space="preserve">confundidos.</w:t>
      </w:r>
      <w:r>
        <w:rPr>
          <w:rFonts w:ascii="Arial" w:hAnsi="Arial"/>
          <w:sz w:val="22"/>
        </w:rPr>
        <w:t xml:space="preserve"> </w:t>
      </w:r>
      <w:r>
        <w:rPr>
          <w:rFonts w:ascii="Arial" w:hAnsi="Arial"/>
          <w:b/>
          <w:bCs/>
          <w:sz w:val="22"/>
        </w:rPr>
        <w:t xml:space="preserve">Mediação contextual</w:t>
      </w:r>
      <w:r>
        <w:rPr>
          <w:rFonts w:ascii="Arial" w:hAnsi="Arial"/>
          <w:sz w:val="22"/>
        </w:rPr>
        <w:t xml:space="preserve"> </w:t>
      </w:r>
      <w:r>
        <w:rPr>
          <w:rFonts w:ascii="Arial" w:hAnsi="Arial"/>
          <w:sz w:val="22"/>
        </w:rPr>
        <w:t xml:space="preserve">(HLM) é a fração do gap agregado</w:t>
      </w:r>
      <w:r>
        <w:rPr>
          <w:rFonts w:ascii="Arial" w:hAnsi="Arial"/>
          <w:sz w:val="22"/>
        </w:rPr>
        <w:t xml:space="preserve"> </w:t>
      </w:r>
      <w:r>
        <w:rPr>
          <w:rFonts w:ascii="Arial" w:hAnsi="Arial"/>
          <w:sz w:val="22"/>
        </w:rPr>
        <w:t xml:space="preserve">(condicional a capital humano e estado) que</w:t>
      </w:r>
      <w:r>
        <w:rPr>
          <w:rFonts w:ascii="Arial" w:hAnsi="Arial"/>
          <w:sz w:val="22"/>
        </w:rPr>
        <w:t xml:space="preserve"> </w:t>
      </w:r>
      <w:r>
        <w:rPr>
          <w:rFonts w:ascii="Arial" w:hAnsi="Arial"/>
          <w:sz w:val="22"/>
        </w:rPr>
        <w:t xml:space="preserve">desaparece</w:t>
      </w:r>
      <w:r>
        <w:rPr>
          <w:rFonts w:ascii="Arial" w:hAnsi="Arial"/>
          <w:sz w:val="22"/>
        </w:rPr>
        <w:t xml:space="preserve"> </w:t>
      </w:r>
      <w:r>
        <w:rPr>
          <w:rFonts w:ascii="Arial" w:hAnsi="Arial"/>
          <w:sz w:val="22"/>
        </w:rPr>
        <w:t xml:space="preserve">ao se compararem</w:t>
      </w:r>
      <w:r>
        <w:rPr>
          <w:rFonts w:ascii="Arial" w:hAnsi="Arial"/>
          <w:sz w:val="22"/>
        </w:rPr>
        <w:t xml:space="preserve"> </w:t>
      </w:r>
      <w:r>
        <w:rPr>
          <w:rFonts w:ascii="Arial" w:hAnsi="Arial"/>
          <w:sz w:val="22"/>
        </w:rPr>
        <w:t xml:space="preserve">pessoas do mesmo bairro (UPA) — mede o quanto da penalidade racial transita</w:t>
      </w:r>
      <w:r>
        <w:rPr>
          <w:rFonts w:ascii="Arial" w:hAnsi="Arial"/>
          <w:sz w:val="22"/>
        </w:rPr>
        <w:t xml:space="preserve"> </w:t>
      </w:r>
      <w:r>
        <w:rPr>
          <w:rFonts w:ascii="Arial" w:hAnsi="Arial"/>
          <w:sz w:val="22"/>
        </w:rPr>
        <w:t xml:space="preserve">pelo</w:t>
      </w:r>
      <w:r>
        <w:rPr>
          <w:rFonts w:ascii="Arial" w:hAnsi="Arial"/>
          <w:sz w:val="22"/>
        </w:rPr>
        <w:t xml:space="preserve"> </w:t>
      </w:r>
      <w:r>
        <w:rPr>
          <w:rFonts w:ascii="Arial" w:hAnsi="Arial"/>
          <w:sz w:val="22"/>
        </w:rPr>
        <w:t xml:space="preserve">território.</w:t>
      </w:r>
      <w:r>
        <w:rPr>
          <w:rFonts w:ascii="Arial" w:hAnsi="Arial"/>
          <w:sz w:val="22"/>
        </w:rPr>
        <w:t xml:space="preserve"> </w:t>
      </w:r>
      <w:r>
        <w:rPr>
          <w:rFonts w:ascii="Arial" w:hAnsi="Arial"/>
          <w:b/>
          <w:bCs/>
          <w:sz w:val="22"/>
        </w:rPr>
        <w:t xml:space="preserve">Efeito dotação</w:t>
      </w:r>
      <w:r>
        <w:rPr>
          <w:rFonts w:ascii="Arial" w:hAnsi="Arial"/>
          <w:sz w:val="22"/>
        </w:rPr>
        <w:t xml:space="preserve"> </w:t>
      </w:r>
      <w:r>
        <w:rPr>
          <w:rFonts w:ascii="Arial" w:hAnsi="Arial"/>
          <w:sz w:val="22"/>
        </w:rPr>
        <w:t xml:space="preserve">(Oaxaca–Blinder) é a parcela do gap atribuível a</w:t>
      </w:r>
      <w:r>
        <w:rPr>
          <w:rFonts w:ascii="Arial" w:hAnsi="Arial"/>
          <w:sz w:val="22"/>
        </w:rPr>
        <w:t xml:space="preserve"> </w:t>
      </w:r>
      <w:r>
        <w:rPr>
          <w:rFonts w:ascii="Arial" w:hAnsi="Arial"/>
          <w:sz w:val="22"/>
        </w:rPr>
        <w:t xml:space="preserve">diferenças nas características observáveis</w:t>
      </w:r>
      <w:r>
        <w:rPr>
          <w:rFonts w:ascii="Arial" w:hAnsi="Arial"/>
          <w:sz w:val="22"/>
        </w:rPr>
        <w:t xml:space="preserve"> </w:t>
      </w:r>
      <w:r>
        <w:rPr>
          <w:rFonts w:ascii="Arial" w:hAnsi="Arial"/>
          <w:sz w:val="22"/>
        </w:rPr>
        <w:t xml:space="preserve">entre brancos e negros</w:t>
      </w:r>
      <w:r>
        <w:rPr>
          <w:rFonts w:ascii="Arial" w:hAnsi="Arial"/>
          <w:sz w:val="22"/>
        </w:rPr>
        <w:t xml:space="preserve"> </w:t>
      </w:r>
      <w:r>
        <w:rPr>
          <w:rFonts w:ascii="Arial" w:hAnsi="Arial"/>
          <w:sz w:val="22"/>
        </w:rPr>
        <w:t xml:space="preserve">(escolaridade, ocupação, contexto), por oposição ao</w:t>
      </w:r>
      <w:r>
        <w:rPr>
          <w:rFonts w:ascii="Arial" w:hAnsi="Arial"/>
          <w:sz w:val="22"/>
        </w:rPr>
        <w:t xml:space="preserve"> </w:t>
      </w:r>
      <w:r>
        <w:rPr>
          <w:rFonts w:ascii="Arial" w:hAnsi="Arial"/>
          <w:b/>
          <w:bCs/>
          <w:sz w:val="22"/>
        </w:rPr>
        <w:t xml:space="preserve">efeito retornos</w:t>
      </w:r>
      <w:r>
        <w:rPr>
          <w:rFonts w:ascii="Arial" w:hAnsi="Arial"/>
          <w:sz w:val="22"/>
        </w:rPr>
        <w:t xml:space="preserve"> </w:t>
      </w:r>
      <w:r>
        <w:rPr>
          <w:rFonts w:ascii="Arial" w:hAnsi="Arial"/>
          <w:sz w:val="22"/>
        </w:rPr>
        <w:t xml:space="preserve">(preços diferenciais pagos às mesmas características).</w:t>
      </w:r>
      <w:r>
        <w:rPr>
          <w:rFonts w:ascii="Arial" w:hAnsi="Arial"/>
          <w:sz w:val="22"/>
        </w:rPr>
        <w:t xml:space="preserve"> </w:t>
      </w:r>
      <w:r>
        <w:rPr>
          <w:rFonts w:ascii="Arial" w:hAnsi="Arial"/>
          <w:b/>
          <w:bCs/>
          <w:sz w:val="22"/>
        </w:rPr>
        <w:t xml:space="preserve">Gap líquido</w:t>
      </w:r>
      <w:r>
        <w:rPr>
          <w:rFonts w:ascii="Arial" w:hAnsi="Arial"/>
          <w:sz w:val="22"/>
        </w:rPr>
        <w:t xml:space="preserve"> </w:t>
      </w:r>
      <w:r>
        <w:rPr>
          <w:rFonts w:ascii="Arial" w:hAnsi="Arial"/>
          <w:sz w:val="22"/>
        </w:rPr>
        <w:t xml:space="preserve">é o diferencial que</w:t>
      </w:r>
      <w:r>
        <w:rPr>
          <w:rFonts w:ascii="Arial" w:hAnsi="Arial"/>
          <w:sz w:val="22"/>
        </w:rPr>
        <w:t xml:space="preserve"> </w:t>
      </w:r>
      <w:r>
        <w:rPr>
          <w:rFonts w:ascii="Arial" w:hAnsi="Arial"/>
          <w:sz w:val="22"/>
        </w:rPr>
        <w:t xml:space="preserve">persiste</w:t>
      </w:r>
      <w:r>
        <w:rPr>
          <w:rFonts w:ascii="Arial" w:hAnsi="Arial"/>
          <w:sz w:val="22"/>
        </w:rPr>
        <w:t xml:space="preserve"> </w:t>
      </w:r>
      <w:r>
        <w:rPr>
          <w:rFonts w:ascii="Arial" w:hAnsi="Arial"/>
          <w:sz w:val="22"/>
        </w:rPr>
        <w:t xml:space="preserve">após o controle de</w:t>
      </w:r>
      <w:r>
        <w:rPr>
          <w:rFonts w:ascii="Arial" w:hAnsi="Arial"/>
          <w:sz w:val="22"/>
        </w:rPr>
        <w:t xml:space="preserve"> </w:t>
      </w:r>
      <w:r>
        <w:rPr>
          <w:rFonts w:ascii="Arial" w:hAnsi="Arial"/>
          <w:sz w:val="22"/>
        </w:rPr>
        <w:t xml:space="preserve">capital humano e contexto (M3): 6,1%.</w:t>
      </w:r>
      <w:r>
        <w:rPr>
          <w:rFonts w:ascii="Arial" w:hAnsi="Arial"/>
          <w:sz w:val="22"/>
        </w:rPr>
        <w:t xml:space="preserve"> </w:t>
      </w:r>
      <w:r>
        <w:rPr>
          <w:rFonts w:ascii="Arial" w:hAnsi="Arial"/>
          <w:b/>
          <w:bCs/>
          <w:sz w:val="22"/>
        </w:rPr>
        <w:t xml:space="preserve">Gap residual pós-ocupação</w:t>
      </w:r>
      <w:r>
        <w:rPr>
          <w:rFonts w:ascii="Arial" w:hAnsi="Arial"/>
          <w:sz w:val="22"/>
        </w:rPr>
        <w:t xml:space="preserve"> </w:t>
      </w:r>
      <w:r>
        <w:rPr>
          <w:rFonts w:ascii="Arial" w:hAnsi="Arial"/>
          <w:sz w:val="22"/>
        </w:rPr>
        <w:t xml:space="preserve">é o</w:t>
      </w:r>
      <w:r>
        <w:rPr>
          <w:rFonts w:ascii="Arial" w:hAnsi="Arial"/>
          <w:sz w:val="22"/>
        </w:rPr>
        <w:t xml:space="preserve"> </w:t>
      </w:r>
      <w:r>
        <w:rPr>
          <w:rFonts w:ascii="Arial" w:hAnsi="Arial"/>
          <w:sz w:val="22"/>
        </w:rPr>
        <w:t xml:space="preserve">que resta ao se controlar também ocupação e formalidade (M4): 5,6% — um limite</w:t>
      </w:r>
      <w:r>
        <w:rPr>
          <w:rFonts w:ascii="Arial" w:hAnsi="Arial"/>
          <w:sz w:val="22"/>
        </w:rPr>
        <w:t xml:space="preserve"> </w:t>
      </w:r>
      <w:r>
        <w:rPr>
          <w:rFonts w:ascii="Arial" w:hAnsi="Arial"/>
          <w:sz w:val="22"/>
        </w:rPr>
        <w:t xml:space="preserve">inferior, pois a ocupação é ela própria resultado da barreira de acesso. Em suma: a mediação contextual responde</w:t>
      </w:r>
      <w:r>
        <w:rPr>
          <w:rFonts w:ascii="Arial" w:hAnsi="Arial"/>
          <w:sz w:val="22"/>
        </w:rPr>
        <w:t xml:space="preserve"> </w:t>
      </w:r>
      <w:r>
        <w:rPr>
          <w:rFonts w:ascii="Arial" w:hAnsi="Arial"/>
          <w:sz w:val="22"/>
        </w:rPr>
        <w:t xml:space="preserve">“por onde passa o gap”</w:t>
      </w:r>
      <w:r>
        <w:rPr>
          <w:rFonts w:ascii="Arial" w:hAnsi="Arial"/>
          <w:sz w:val="22"/>
        </w:rPr>
        <w:t xml:space="preserve">; a decomposição de dotações,</w:t>
      </w:r>
      <w:r>
        <w:rPr>
          <w:rFonts w:ascii="Arial" w:hAnsi="Arial"/>
          <w:sz w:val="22"/>
        </w:rPr>
        <w:t xml:space="preserve"> </w:t>
      </w:r>
      <w:r>
        <w:rPr>
          <w:rFonts w:ascii="Arial" w:hAnsi="Arial"/>
          <w:sz w:val="22"/>
        </w:rPr>
        <w:t xml:space="preserve">“de que ele é feito”</w:t>
      </w:r>
      <w:r>
        <w:rPr>
          <w:rFonts w:ascii="Arial" w:hAnsi="Arial"/>
          <w:sz w:val="22"/>
        </w:rPr>
        <w:t xml:space="preserve">; e o</w:t>
      </w:r>
      <w:r>
        <w:rPr>
          <w:rFonts w:ascii="Arial" w:hAnsi="Arial"/>
          <w:sz w:val="22"/>
        </w:rPr>
        <w:t xml:space="preserve"> </w:t>
      </w:r>
      <w:r>
        <w:rPr>
          <w:rFonts w:ascii="Arial" w:hAnsi="Arial"/>
          <w:sz w:val="22"/>
        </w:rPr>
        <w:t xml:space="preserve">gap líquido,</w:t>
      </w:r>
      <w:r>
        <w:rPr>
          <w:rFonts w:ascii="Arial" w:hAnsi="Arial"/>
          <w:sz w:val="22"/>
        </w:rPr>
        <w:t xml:space="preserve"> </w:t>
      </w:r>
      <w:r>
        <w:rPr>
          <w:rFonts w:ascii="Arial" w:hAnsi="Arial"/>
          <w:sz w:val="22"/>
        </w:rPr>
        <w:t xml:space="preserve">“o que sobra sem explicação”</w:t>
      </w:r>
      <w:r>
        <w:rPr>
          <w:rFonts w:ascii="Arial" w:hAnsi="Arial"/>
          <w:sz w:val="22"/>
        </w:rPr>
        <w:t xml:space="preserve">.</w:t>
      </w:r>
    </w:p>
    <w:p>
      <w:pPr>
        <w:pStyle w:val="BodyText"/>
        <w:spacing w:line="360" w:lineRule="auto" w:after="0"/>
        <w:ind w:firstLine="709"/>
        <w:jc w:val="both"/>
      </w:pPr>
      <w:r>
        <w:rPr>
          <w:rFonts w:ascii="Arial" w:hAnsi="Arial"/>
          <w:b/>
          <w:bCs/>
          <w:sz w:val="22"/>
        </w:rPr>
        <w:t xml:space="preserve">Da diagnose às políticas.</w:t>
      </w:r>
      <w:r>
        <w:rPr>
          <w:rFonts w:ascii="Arial" w:hAnsi="Arial"/>
          <w:sz w:val="22"/>
        </w:rPr>
        <w:t xml:space="preserve"> </w:t>
      </w:r>
      <w:r>
        <w:rPr>
          <w:rFonts w:ascii="Arial" w:hAnsi="Arial"/>
          <w:sz w:val="22"/>
        </w:rPr>
        <w:t xml:space="preserve">O diagnóstico das duas barreiras revela gargalos simultâneos — exclusão de</w:t>
      </w:r>
      <w:r>
        <w:rPr>
          <w:rFonts w:ascii="Arial" w:hAnsi="Arial"/>
          <w:sz w:val="22"/>
        </w:rPr>
        <w:t xml:space="preserve"> </w:t>
      </w:r>
      <w:r>
        <w:rPr>
          <w:rFonts w:ascii="Arial" w:hAnsi="Arial"/>
          <w:sz w:val="22"/>
        </w:rPr>
        <w:t xml:space="preserve">acesso às ocupações qualificadas e penalidade salarial que persiste dentro delas</w:t>
      </w:r>
      <w:r>
        <w:rPr>
          <w:rFonts w:ascii="Arial" w:hAnsi="Arial"/>
          <w:sz w:val="22"/>
        </w:rPr>
        <w:t xml:space="preserve"> </w:t>
      </w:r>
      <w:r>
        <w:rPr>
          <w:rFonts w:ascii="Arial" w:hAnsi="Arial"/>
          <w:sz w:val="22"/>
        </w:rPr>
        <w:t xml:space="preserve">— que aparecem juntas nos mesmos dados. A consequência para o desenho de políticas</w:t>
      </w:r>
      <w:r>
        <w:rPr>
          <w:rFonts w:ascii="Arial" w:hAnsi="Arial"/>
          <w:sz w:val="22"/>
        </w:rPr>
        <w:t xml:space="preserve"> </w:t>
      </w:r>
      <w:r>
        <w:rPr>
          <w:rFonts w:ascii="Arial" w:hAnsi="Arial"/>
          <w:sz w:val="22"/>
        </w:rPr>
        <w:t xml:space="preserve">é direta: nenhuma intervenção unidimensional (só cotas de acesso, só fiscalização</w:t>
      </w:r>
      <w:r>
        <w:rPr>
          <w:rFonts w:ascii="Arial" w:hAnsi="Arial"/>
          <w:sz w:val="22"/>
        </w:rPr>
        <w:t xml:space="preserve"> </w:t>
      </w:r>
      <w:r>
        <w:rPr>
          <w:rFonts w:ascii="Arial" w:hAnsi="Arial"/>
          <w:sz w:val="22"/>
        </w:rPr>
        <w:t xml:space="preserve">salarial, só escolaridade) atinge as duas barreiras ao mesmo tempo; a magnitude</w:t>
      </w:r>
      <w:r>
        <w:rPr>
          <w:rFonts w:ascii="Arial" w:hAnsi="Arial"/>
          <w:sz w:val="22"/>
        </w:rPr>
        <w:t xml:space="preserve"> </w:t>
      </w:r>
      <w:r>
        <w:rPr>
          <w:rFonts w:ascii="Arial" w:hAnsi="Arial"/>
          <w:sz w:val="22"/>
        </w:rPr>
        <w:t xml:space="preserve">relativa de cada uma, estimada aqui, é o insumo para priorizá-las.</w:t>
      </w:r>
    </w:p>
    <w:p>
      <w:pPr>
        <w:pStyle w:val="BodyText"/>
        <w:spacing w:line="360" w:lineRule="auto" w:after="0"/>
        <w:ind w:firstLine="709"/>
        <w:jc w:val="both"/>
      </w:pPr>
      <w:r>
        <w:rPr>
          <w:rFonts w:ascii="Arial" w:hAnsi="Arial"/>
          <w:b/>
          <w:bCs/>
          <w:sz w:val="22"/>
        </w:rPr>
        <w:t xml:space="preserve">O que este trabalho acrescenta ao debate.</w:t>
      </w:r>
      <w:r>
        <w:rPr>
          <w:rFonts w:ascii="Arial" w:hAnsi="Arial"/>
          <w:sz w:val="22"/>
        </w:rPr>
        <w:t xml:space="preserve"> </w:t>
      </w:r>
      <w:r>
        <w:rPr>
          <w:rFonts w:ascii="Arial" w:hAnsi="Arial"/>
          <w:sz w:val="22"/>
        </w:rPr>
        <w:t xml:space="preserve">Hasenbalg (1979)</w:t>
      </w:r>
      <w:r>
        <w:rPr>
          <w:rFonts w:ascii="Arial" w:hAnsi="Arial"/>
          <w:sz w:val="22"/>
        </w:rPr>
        <w:t xml:space="preserve"> </w:t>
      </w:r>
      <w:r>
        <w:rPr>
          <w:rFonts w:ascii="Arial" w:hAnsi="Arial"/>
          <w:sz w:val="22"/>
        </w:rPr>
        <w:t xml:space="preserve">identificou a discriminação racial como estrutural,</w:t>
      </w:r>
      <w:r>
        <w:rPr>
          <w:rFonts w:ascii="Arial" w:hAnsi="Arial"/>
          <w:sz w:val="22"/>
        </w:rPr>
        <w:t xml:space="preserve"> </w:t>
      </w:r>
      <w:r>
        <w:rPr>
          <w:rFonts w:ascii="Arial" w:hAnsi="Arial"/>
          <w:sz w:val="22"/>
        </w:rPr>
        <w:t xml:space="preserve">sem poder quantificar mecanismos em escala nacional.</w:t>
      </w:r>
      <w:r>
        <w:rPr>
          <w:rFonts w:ascii="Arial" w:hAnsi="Arial"/>
          <w:sz w:val="22"/>
        </w:rPr>
        <w:t xml:space="preserve"> </w:t>
      </w:r>
      <w:r>
        <w:rPr>
          <w:rFonts w:ascii="Arial" w:hAnsi="Arial"/>
          <w:sz w:val="22"/>
        </w:rPr>
        <w:t xml:space="preserve">Henriques (2001)</w:t>
      </w:r>
      <w:r>
        <w:rPr>
          <w:rFonts w:ascii="Arial" w:hAnsi="Arial"/>
          <w:sz w:val="22"/>
        </w:rPr>
        <w:t xml:space="preserve"> </w:t>
      </w:r>
      <w:r>
        <w:rPr>
          <w:rFonts w:ascii="Arial" w:hAnsi="Arial"/>
          <w:sz w:val="22"/>
        </w:rPr>
        <w:t xml:space="preserve">documentou o gap educacional racial, mas não separou</w:t>
      </w:r>
      <w:r>
        <w:rPr>
          <w:rFonts w:ascii="Arial" w:hAnsi="Arial"/>
          <w:sz w:val="22"/>
        </w:rPr>
        <w:t xml:space="preserve"> </w:t>
      </w:r>
      <w:r>
        <w:rPr>
          <w:rFonts w:ascii="Arial" w:hAnsi="Arial"/>
          <w:sz w:val="22"/>
        </w:rPr>
        <w:t xml:space="preserve">o efeito educacional do de redes e contexto.</w:t>
      </w:r>
      <w:r>
        <w:rPr>
          <w:rFonts w:ascii="Arial" w:hAnsi="Arial"/>
          <w:sz w:val="22"/>
        </w:rPr>
        <w:t xml:space="preserve"> </w:t>
      </w:r>
      <w:r>
        <w:rPr>
          <w:rFonts w:ascii="Arial" w:hAnsi="Arial"/>
          <w:sz w:val="22"/>
        </w:rPr>
        <w:t xml:space="preserve">Soares (2009)</w:t>
      </w:r>
      <w:r>
        <w:rPr>
          <w:rFonts w:ascii="Arial" w:hAnsi="Arial"/>
          <w:sz w:val="22"/>
        </w:rPr>
        <w:t xml:space="preserve"> </w:t>
      </w:r>
      <w:r>
        <w:rPr>
          <w:rFonts w:ascii="Arial" w:hAnsi="Arial"/>
          <w:sz w:val="22"/>
        </w:rPr>
        <w:t xml:space="preserve">estimou, com dados de 2006, que cerca de 50% do gap</w:t>
      </w:r>
      <w:r>
        <w:rPr>
          <w:rFonts w:ascii="Arial" w:hAnsi="Arial"/>
          <w:sz w:val="22"/>
        </w:rPr>
        <w:t xml:space="preserve"> </w:t>
      </w:r>
      <w:r>
        <w:rPr>
          <w:rFonts w:ascii="Arial" w:hAnsi="Arial"/>
          <w:sz w:val="22"/>
        </w:rPr>
        <w:t xml:space="preserve">salarial seria</w:t>
      </w:r>
      <w:r>
        <w:rPr>
          <w:rFonts w:ascii="Arial" w:hAnsi="Arial"/>
          <w:sz w:val="22"/>
        </w:rPr>
        <w:t xml:space="preserve"> </w:t>
      </w:r>
      <w:r>
        <w:rPr>
          <w:rFonts w:ascii="Arial" w:hAnsi="Arial"/>
          <w:sz w:val="22"/>
        </w:rPr>
        <w:t xml:space="preserve">“inexplicado”</w:t>
      </w:r>
      <w:r>
        <w:rPr>
          <w:rFonts w:ascii="Arial" w:hAnsi="Arial"/>
          <w:sz w:val="22"/>
        </w:rPr>
        <w:t xml:space="preserve"> </w:t>
      </w:r>
      <w:r>
        <w:rPr>
          <w:rFonts w:ascii="Arial" w:hAnsi="Arial"/>
          <w:sz w:val="22"/>
        </w:rPr>
        <w:t xml:space="preserve">— interpretado como discriminação direta.</w:t>
      </w:r>
      <w:r>
        <w:rPr>
          <w:rFonts w:ascii="Arial" w:hAnsi="Arial"/>
          <w:sz w:val="22"/>
        </w:rPr>
        <w:t xml:space="preserve"> </w:t>
      </w:r>
      <w:r>
        <w:rPr>
          <w:rFonts w:ascii="Arial" w:hAnsi="Arial"/>
          <w:sz w:val="22"/>
        </w:rPr>
        <w:t xml:space="preserve">Este trabalho, com dados de 2016–2025 e metodologias não disponíveis</w:t>
      </w:r>
      <w:r>
        <w:rPr>
          <w:rFonts w:ascii="Arial" w:hAnsi="Arial"/>
          <w:sz w:val="22"/>
        </w:rPr>
        <w:t xml:space="preserve"> </w:t>
      </w:r>
      <w:r>
        <w:rPr>
          <w:rFonts w:ascii="Arial" w:hAnsi="Arial"/>
          <w:sz w:val="22"/>
        </w:rPr>
        <w:t xml:space="preserve">a Soares, decompõe essa</w:t>
      </w:r>
      <w:r>
        <w:rPr>
          <w:rFonts w:ascii="Arial" w:hAnsi="Arial"/>
          <w:sz w:val="22"/>
        </w:rPr>
        <w:t xml:space="preserve"> </w:t>
      </w:r>
      <w:r>
        <w:rPr>
          <w:rFonts w:ascii="Arial" w:hAnsi="Arial"/>
          <w:sz w:val="22"/>
        </w:rPr>
        <w:t xml:space="preserve">caixa preta</w:t>
      </w:r>
      <w:r>
        <w:rPr>
          <w:rFonts w:ascii="Arial" w:hAnsi="Arial"/>
          <w:sz w:val="22"/>
        </w:rPr>
        <w:t xml:space="preserve">. Na especificação comparável à dele</w:t>
      </w:r>
      <w:r>
        <w:rPr>
          <w:rFonts w:ascii="Arial" w:hAnsi="Arial"/>
          <w:sz w:val="22"/>
        </w:rPr>
        <w:t xml:space="preserve"> </w:t>
      </w:r>
      <w:r>
        <w:rPr>
          <w:rFonts w:ascii="Arial" w:hAnsi="Arial"/>
          <w:sz w:val="22"/>
        </w:rPr>
        <w:t xml:space="preserve">(capital humano e contexto, sem ocupação), 17,9% do gap bruto são retornos</w:t>
      </w:r>
      <w:r>
        <w:rPr>
          <w:rFonts w:ascii="Arial" w:hAnsi="Arial"/>
          <w:sz w:val="22"/>
        </w:rPr>
        <w:t xml:space="preserve"> </w:t>
      </w:r>
      <w:r>
        <w:rPr>
          <w:rFonts w:ascii="Arial" w:hAnsi="Arial"/>
          <w:sz w:val="22"/>
        </w:rPr>
        <w:t xml:space="preserve">diferenciais — limite superior do tratamento diferencial — e 82,1% são</w:t>
      </w:r>
      <w:r>
        <w:rPr>
          <w:rFonts w:ascii="Arial" w:hAnsi="Arial"/>
          <w:sz w:val="22"/>
        </w:rPr>
        <w:t xml:space="preserve"> </w:t>
      </w:r>
      <w:r>
        <w:rPr>
          <w:rFonts w:ascii="Arial" w:hAnsi="Arial"/>
          <w:sz w:val="22"/>
        </w:rPr>
        <w:t xml:space="preserve">diferenças de dotações; quando a ocupação é tratada como dotação, o não explicado</w:t>
      </w:r>
      <w:r>
        <w:rPr>
          <w:rFonts w:ascii="Arial" w:hAnsi="Arial"/>
          <w:sz w:val="22"/>
        </w:rPr>
        <w:t xml:space="preserve"> </w:t>
      </w:r>
      <w:r>
        <w:rPr>
          <w:rFonts w:ascii="Arial" w:hAnsi="Arial"/>
          <w:sz w:val="22"/>
        </w:rPr>
        <w:t xml:space="preserve">cai para 15,4%, e 84,6% passam a ser dotações — mas essas dotações são, elas mesmas,</w:t>
      </w:r>
      <w:r>
        <w:rPr>
          <w:rFonts w:ascii="Arial" w:hAnsi="Arial"/>
          <w:sz w:val="22"/>
        </w:rPr>
        <w:t xml:space="preserve"> </w:t>
      </w:r>
      <w:r>
        <w:rPr>
          <w:rFonts w:ascii="Arial" w:hAnsi="Arial"/>
          <w:sz w:val="22"/>
        </w:rPr>
        <w:t xml:space="preserve">produto da barreira de acesso às ocupações qualificadas (GLMM), que este</w:t>
      </w:r>
      <w:r>
        <w:rPr>
          <w:rFonts w:ascii="Arial" w:hAnsi="Arial"/>
          <w:sz w:val="22"/>
        </w:rPr>
        <w:t xml:space="preserve"> </w:t>
      </w:r>
      <w:r>
        <w:rPr>
          <w:rFonts w:ascii="Arial" w:hAnsi="Arial"/>
          <w:sz w:val="22"/>
        </w:rPr>
        <w:t xml:space="preserve">trabalho quantifica em conjunto com a penalidade salarial.</w:t>
      </w:r>
      <w:r>
        <w:rPr>
          <w:rFonts w:ascii="Arial" w:hAnsi="Arial"/>
          <w:sz w:val="22"/>
        </w:rPr>
        <w:t xml:space="preserve"> </w:t>
      </w:r>
      <w:r>
        <w:rPr>
          <w:rFonts w:ascii="Arial" w:hAnsi="Arial"/>
          <w:sz w:val="22"/>
        </w:rPr>
        <w:t xml:space="preserve">A contribuição central não é mostrar que o gap existe — isso a</w:t>
      </w:r>
      <w:r>
        <w:rPr>
          <w:rFonts w:ascii="Arial" w:hAnsi="Arial"/>
          <w:sz w:val="22"/>
        </w:rPr>
        <w:t xml:space="preserve"> </w:t>
      </w:r>
      <w:r>
        <w:rPr>
          <w:rFonts w:ascii="Arial" w:hAnsi="Arial"/>
          <w:sz w:val="22"/>
        </w:rPr>
        <w:t xml:space="preserve">literatura já sabia desde</w:t>
      </w:r>
      <w:r>
        <w:rPr>
          <w:rFonts w:ascii="Arial" w:hAnsi="Arial"/>
          <w:sz w:val="22"/>
        </w:rPr>
        <w:t xml:space="preserve"> </w:t>
      </w:r>
      <w:r>
        <w:rPr>
          <w:rFonts w:ascii="Arial" w:hAnsi="Arial"/>
          <w:sz w:val="22"/>
        </w:rPr>
        <w:t xml:space="preserve">Hasenbalg (1979)</w:t>
      </w:r>
      <w:r>
        <w:rPr>
          <w:rFonts w:ascii="Arial" w:hAnsi="Arial"/>
          <w:sz w:val="22"/>
        </w:rPr>
        <w:t xml:space="preserve"> </w:t>
      </w:r>
      <w:r>
        <w:rPr>
          <w:rFonts w:ascii="Arial" w:hAnsi="Arial"/>
          <w:sz w:val="22"/>
        </w:rPr>
        <w:t xml:space="preserve">—,</w:t>
      </w:r>
      <w:r>
        <w:rPr>
          <w:rFonts w:ascii="Arial" w:hAnsi="Arial"/>
          <w:sz w:val="22"/>
        </w:rPr>
        <w:t xml:space="preserve"> </w:t>
      </w:r>
      <w:r>
        <w:rPr>
          <w:rFonts w:ascii="Arial" w:hAnsi="Arial"/>
          <w:sz w:val="22"/>
        </w:rPr>
        <w:t xml:space="preserve">mas mostrar que ele é consistente com um</w:t>
      </w:r>
      <w:r>
        <w:rPr>
          <w:rFonts w:ascii="Arial" w:hAnsi="Arial"/>
          <w:sz w:val="22"/>
        </w:rPr>
        <w:t xml:space="preserve"> </w:t>
      </w:r>
      <w:r>
        <w:rPr>
          <w:rFonts w:ascii="Arial" w:hAnsi="Arial"/>
          <w:b/>
          <w:bCs/>
          <w:sz w:val="22"/>
        </w:rPr>
        <w:t xml:space="preserve">sistema combinado</w:t>
      </w:r>
      <w:r>
        <w:rPr>
          <w:rFonts w:ascii="Arial" w:hAnsi="Arial"/>
          <w:sz w:val="22"/>
        </w:rPr>
        <w:t xml:space="preserve"> </w:t>
      </w:r>
      <w:r>
        <w:rPr>
          <w:rFonts w:ascii="Arial" w:hAnsi="Arial"/>
          <w:sz w:val="22"/>
        </w:rPr>
        <w:t xml:space="preserve">em que discriminação de acesso, segregação</w:t>
      </w:r>
      <w:r>
        <w:rPr>
          <w:rFonts w:ascii="Arial" w:hAnsi="Arial"/>
          <w:sz w:val="22"/>
        </w:rPr>
        <w:t xml:space="preserve"> </w:t>
      </w:r>
      <w:r>
        <w:rPr>
          <w:rFonts w:ascii="Arial" w:hAnsi="Arial"/>
          <w:sz w:val="22"/>
        </w:rPr>
        <w:t xml:space="preserve">residencial e penalidade salarial operam em conjunto, tornando</w:t>
      </w:r>
      <w:r>
        <w:rPr>
          <w:rFonts w:ascii="Arial" w:hAnsi="Arial"/>
          <w:sz w:val="22"/>
        </w:rPr>
        <w:t xml:space="preserve"> </w:t>
      </w:r>
      <w:r>
        <w:rPr>
          <w:rFonts w:ascii="Arial" w:hAnsi="Arial"/>
          <w:sz w:val="22"/>
        </w:rPr>
        <w:t xml:space="preserve">insuficientes políticas focadas em um único mecanismo.</w:t>
      </w:r>
    </w:p>
    <w:p>
      <w:pPr>
        <w:pStyle w:val="BodyText"/>
        <w:spacing w:line="360" w:lineRule="auto" w:after="0"/>
        <w:ind w:firstLine="709"/>
        <w:jc w:val="both"/>
      </w:pPr>
      <w:r>
        <w:rPr>
          <w:rFonts w:ascii="Arial" w:hAnsi="Arial"/>
          <w:b/>
          <w:bCs/>
          <w:sz w:val="22"/>
        </w:rPr>
        <w:t xml:space="preserve">Diálogo com o quadro macro recente do IBGE.</w:t>
      </w:r>
      <w:r>
        <w:rPr>
          <w:rFonts w:ascii="Arial" w:hAnsi="Arial"/>
          <w:sz w:val="22"/>
        </w:rPr>
        <w:t xml:space="preserve"> </w:t>
      </w:r>
      <w:r>
        <w:rPr>
          <w:rFonts w:ascii="Arial" w:hAnsi="Arial"/>
          <w:sz w:val="22"/>
        </w:rPr>
        <w:t xml:space="preserve">Os resultados convergem com o retrato macroestrutural mais recente. A melhora multidimensional captada pela POF não eliminou o gap racial de qualidade de vida, e a renda voltou a concentrar-se no topo em 2025.</w:t>
      </w:r>
      <w:r>
        <w:rPr>
          <w:rStyle w:val="FootnoteReference"/>
          <w:rFonts w:ascii="Arial" w:hAnsi="Arial"/>
          <w:sz w:val="22"/>
          <w:vertAlign w:val="superscript"/>
        </w:rPr>
        <w:footnoteReference w:id="123"/>
      </w:r>
      <w:r>
        <w:rPr>
          <w:rFonts w:ascii="Arial" w:hAnsi="Arial"/>
          <w:sz w:val="22"/>
        </w:rPr>
        <w:t xml:space="preserve"> </w:t>
      </w:r>
      <w:r>
        <w:rPr>
          <w:rFonts w:ascii="Arial" w:hAnsi="Arial"/>
          <w:sz w:val="22"/>
        </w:rPr>
        <w:t xml:space="preserve">As duas medidas não são a mesma coisa, e a diferença importa para não se ler tendência onde há mudança de conceito.</w:t>
      </w:r>
      <w:r>
        <w:rPr>
          <w:rStyle w:val="FootnoteReference"/>
          <w:rFonts w:ascii="Arial" w:hAnsi="Arial"/>
          <w:sz w:val="22"/>
          <w:vertAlign w:val="superscript"/>
        </w:rPr>
        <w:footnoteReference w:id="124"/>
      </w:r>
      <w:r>
        <w:rPr>
          <w:rFonts w:ascii="Arial" w:hAnsi="Arial"/>
          <w:sz w:val="22"/>
        </w:rPr>
        <w:t xml:space="preserve"> </w:t>
      </w:r>
      <w:r>
        <w:rPr>
          <w:rFonts w:ascii="Arial" w:hAnsi="Arial"/>
          <w:sz w:val="22"/>
        </w:rPr>
        <w:t xml:space="preserve">No conceito adotado aqui, a desigualdade</w:t>
      </w:r>
      <w:r>
        <w:rPr>
          <w:rFonts w:ascii="Arial" w:hAnsi="Arial"/>
          <w:sz w:val="22"/>
        </w:rPr>
        <w:t xml:space="preserve"> </w:t>
      </w:r>
      <w:r>
        <w:rPr>
          <w:rFonts w:ascii="Arial" w:hAnsi="Arial"/>
          <w:sz w:val="22"/>
        </w:rPr>
        <w:t xml:space="preserve">interna</w:t>
      </w:r>
      <w:r>
        <w:rPr>
          <w:rFonts w:ascii="Arial" w:hAnsi="Arial"/>
          <w:sz w:val="22"/>
        </w:rPr>
        <w:t xml:space="preserve"> </w:t>
      </w:r>
      <w:r>
        <w:rPr>
          <w:rFonts w:ascii="Arial" w:hAnsi="Arial"/>
          <w:sz w:val="22"/>
        </w:rPr>
        <w:t xml:space="preserve">é maior entre brancos (</w:t>
      </w:r>
      <m:oMath>
        <m:r>
          <m:rPr>
            <m:sty m:val="p"/>
          </m:rPr>
          <m:t>=</m:t>
        </m:r>
        <m:r>
          <m:t>0</m:t>
        </m:r>
        <m:r>
          <m:rPr>
            <m:sty m:val="p"/>
          </m:rPr>
          <m:t>,</m:t>
        </m:r>
        <m:r>
          <m:t>477</m:t>
        </m:r>
      </m:oMath>
      <w:r>
        <w:rPr>
          <w:rFonts w:ascii="Arial" w:hAnsi="Arial"/>
          <w:sz w:val="22"/>
        </w:rPr>
        <w:t xml:space="preserve">) do que entre negros</w:t>
      </w:r>
      <w:r>
        <w:rPr>
          <w:rFonts w:ascii="Arial" w:hAnsi="Arial"/>
          <w:sz w:val="22"/>
        </w:rPr>
        <w:t xml:space="preserve"> </w:t>
      </w:r>
      <w:r>
        <w:rPr>
          <w:rFonts w:ascii="Arial" w:hAnsi="Arial"/>
          <w:sz w:val="22"/>
        </w:rPr>
        <w:t xml:space="preserve">(</w:t>
      </w:r>
      <m:oMath>
        <m:r>
          <m:rPr>
            <m:sty m:val="p"/>
          </m:rPr>
          <m:t>=</m:t>
        </m:r>
        <m:r>
          <m:t>0</m:t>
        </m:r>
        <m:r>
          <m:rPr>
            <m:sty m:val="p"/>
          </m:rPr>
          <m:t>,</m:t>
        </m:r>
        <m:r>
          <m:t>436</m:t>
        </m:r>
      </m:oMath>
      <w:r>
        <w:rPr>
          <w:rFonts w:ascii="Arial" w:hAnsi="Arial"/>
          <w:sz w:val="22"/>
        </w:rPr>
        <w:t xml:space="preserve">) — não por equidade, mas por confinamento dos</w:t>
      </w:r>
      <w:r>
        <w:rPr>
          <w:rFonts w:ascii="Arial" w:hAnsi="Arial"/>
          <w:sz w:val="22"/>
        </w:rPr>
        <w:t xml:space="preserve"> </w:t>
      </w:r>
      <w:r>
        <w:rPr>
          <w:rFonts w:ascii="Arial" w:hAnsi="Arial"/>
          <w:sz w:val="22"/>
        </w:rPr>
        <w:t xml:space="preserve">negros ao piso da distribuição, o reverso distribucional do teto de vidro.</w:t>
      </w:r>
    </w:p>
    <w:p>
      <w:pPr>
        <w:pStyle w:val="BodyText"/>
        <w:spacing w:line="360" w:lineRule="auto" w:after="0"/>
        <w:ind w:firstLine="709"/>
        <w:jc w:val="both"/>
      </w:pPr>
      <w:r>
        <w:rPr>
          <w:rFonts w:ascii="Arial" w:hAnsi="Arial"/>
          <w:b/>
          <w:bCs/>
          <w:sz w:val="22"/>
        </w:rPr>
        <w:t xml:space="preserve">Triangulação com o Índice de Progresso Social (IPS).</w:t>
      </w:r>
      <w:r>
        <w:rPr>
          <w:rFonts w:ascii="Arial" w:hAnsi="Arial"/>
          <w:sz w:val="22"/>
        </w:rPr>
        <w:t xml:space="preserve"> </w:t>
      </w:r>
      <w:r>
        <w:rPr>
          <w:rFonts w:ascii="Arial" w:hAnsi="Arial"/>
          <w:sz w:val="22"/>
        </w:rPr>
        <w:t xml:space="preserve">O IPS municipal</w:t>
      </w:r>
      <w:r>
        <w:rPr>
          <w:rFonts w:ascii="Arial" w:hAnsi="Arial"/>
          <w:sz w:val="22"/>
        </w:rPr>
        <w:t xml:space="preserve"> </w:t>
      </w:r>
      <w:r>
        <w:rPr>
          <w:rFonts w:ascii="Arial" w:hAnsi="Arial"/>
          <w:sz w:val="22"/>
        </w:rPr>
        <w:t xml:space="preserve">(Wilm et al., 2026)</w:t>
      </w:r>
      <w:r>
        <w:rPr>
          <w:rFonts w:ascii="Arial" w:hAnsi="Arial"/>
          <w:sz w:val="22"/>
        </w:rPr>
        <w:t xml:space="preserve"> </w:t>
      </w:r>
      <w:r>
        <w:rPr>
          <w:rFonts w:ascii="Arial" w:hAnsi="Arial"/>
          <w:sz w:val="22"/>
        </w:rPr>
        <w:t xml:space="preserve">— que avalia a qualidade de vida dos</w:t>
      </w:r>
      <w:r>
        <w:rPr>
          <w:rFonts w:ascii="Arial" w:hAnsi="Arial"/>
          <w:sz w:val="22"/>
        </w:rPr>
        <w:t xml:space="preserve"> </w:t>
      </w:r>
      <w:r>
        <w:rPr>
          <w:rFonts w:ascii="Arial" w:hAnsi="Arial"/>
          <w:sz w:val="22"/>
        </w:rPr>
        <w:t xml:space="preserve">5.570 municípios brasileiros a partir de 57 indicadores sociais e ambientais —</w:t>
      </w:r>
      <w:r>
        <w:rPr>
          <w:rFonts w:ascii="Arial" w:hAnsi="Arial"/>
          <w:sz w:val="22"/>
        </w:rPr>
        <w:t xml:space="preserve"> </w:t>
      </w:r>
      <w:r>
        <w:rPr>
          <w:rFonts w:ascii="Arial" w:hAnsi="Arial"/>
          <w:sz w:val="22"/>
        </w:rPr>
        <w:t xml:space="preserve">oferece corroboração externa e multidimensional do eixo territorial desta tese.</w:t>
      </w:r>
      <w:r>
        <w:rPr>
          <w:rFonts w:ascii="Arial" w:hAnsi="Arial"/>
          <w:sz w:val="22"/>
        </w:rPr>
        <w:t xml:space="preserve"> </w:t>
      </w:r>
      <w:r>
        <w:rPr>
          <w:rFonts w:ascii="Arial" w:hAnsi="Arial"/>
          <w:sz w:val="22"/>
        </w:rPr>
        <w:t xml:space="preserve">Uma integração</w:t>
      </w:r>
      <w:r>
        <w:rPr>
          <w:rFonts w:ascii="Arial" w:hAnsi="Arial"/>
          <w:sz w:val="22"/>
        </w:rPr>
        <w:t xml:space="preserve"> </w:t>
      </w:r>
      <w:r>
        <w:rPr>
          <w:rFonts w:ascii="Arial" w:hAnsi="Arial"/>
          <w:sz w:val="22"/>
        </w:rPr>
        <w:t xml:space="preserve">fina</w:t>
      </w:r>
      <w:r>
        <w:rPr>
          <w:rFonts w:ascii="Arial" w:hAnsi="Arial"/>
          <w:sz w:val="22"/>
        </w:rPr>
        <w:t xml:space="preserve"> </w:t>
      </w:r>
      <w:r>
        <w:rPr>
          <w:rFonts w:ascii="Arial" w:hAnsi="Arial"/>
          <w:sz w:val="22"/>
        </w:rPr>
        <w:t xml:space="preserve">com o nosso proxy de bairro (UPA) é, contudo,</w:t>
      </w:r>
      <w:r>
        <w:rPr>
          <w:rFonts w:ascii="Arial" w:hAnsi="Arial"/>
          <w:sz w:val="22"/>
        </w:rPr>
        <w:t xml:space="preserve"> </w:t>
      </w:r>
      <w:r>
        <w:rPr>
          <w:rFonts w:ascii="Arial" w:hAnsi="Arial"/>
          <w:sz w:val="22"/>
        </w:rPr>
        <w:t xml:space="preserve">inviável: o painel público da PNAD não divulga o município (apenas UF e a situação</w:t>
      </w:r>
      <w:r>
        <w:rPr>
          <w:rFonts w:ascii="Arial" w:hAnsi="Arial"/>
          <w:sz w:val="22"/>
        </w:rPr>
        <w:t xml:space="preserve"> </w:t>
      </w:r>
      <w:r>
        <w:rPr>
          <w:rFonts w:ascii="Arial" w:hAnsi="Arial"/>
          <w:sz w:val="22"/>
        </w:rPr>
        <w:t xml:space="preserve">capital/RM/interior), e o IPS é municipal — portanto mais agregado que a UPA, que</w:t>
      </w:r>
      <w:r>
        <w:rPr>
          <w:rFonts w:ascii="Arial" w:hAnsi="Arial"/>
          <w:sz w:val="22"/>
        </w:rPr>
        <w:t xml:space="preserve"> </w:t>
      </w:r>
      <w:r>
        <w:rPr>
          <w:rFonts w:ascii="Arial" w:hAnsi="Arial"/>
          <w:sz w:val="22"/>
        </w:rPr>
        <w:t xml:space="preserve">é sub-municipal. O IPS, assim, não valida o achado de</w:t>
      </w:r>
      <w:r>
        <w:rPr>
          <w:rFonts w:ascii="Arial" w:hAnsi="Arial"/>
          <w:sz w:val="22"/>
        </w:rPr>
        <w:t xml:space="preserve"> </w:t>
      </w:r>
      <w:r>
        <w:rPr>
          <w:rFonts w:ascii="Arial" w:hAnsi="Arial"/>
          <w:sz w:val="22"/>
        </w:rPr>
        <w:t xml:space="preserve">bairro</w:t>
      </w:r>
      <w:r>
        <w:rPr>
          <w:rFonts w:ascii="Arial" w:hAnsi="Arial"/>
          <w:sz w:val="22"/>
        </w:rPr>
        <w:t xml:space="preserve">: situa-se</w:t>
      </w:r>
      <w:r>
        <w:rPr>
          <w:rFonts w:ascii="Arial" w:hAnsi="Arial"/>
          <w:sz w:val="22"/>
        </w:rPr>
        <w:t xml:space="preserve"> </w:t>
      </w:r>
      <w:r>
        <w:rPr>
          <w:rFonts w:ascii="Arial" w:hAnsi="Arial"/>
          <w:sz w:val="22"/>
        </w:rPr>
        <w:t xml:space="preserve">acima dele na escala e mede progresso social geral, não desigualdade racial. Fica</w:t>
      </w:r>
      <w:r>
        <w:rPr>
          <w:rFonts w:ascii="Arial" w:hAnsi="Arial"/>
          <w:sz w:val="22"/>
        </w:rPr>
        <w:t xml:space="preserve"> </w:t>
      </w:r>
      <w:r>
        <w:rPr>
          <w:rFonts w:ascii="Arial" w:hAnsi="Arial"/>
          <w:sz w:val="22"/>
        </w:rPr>
        <w:t xml:space="preserve">como agenda: com o município identificado (microdados de acesso restrito), seria</w:t>
      </w:r>
      <w:r>
        <w:rPr>
          <w:rFonts w:ascii="Arial" w:hAnsi="Arial"/>
          <w:sz w:val="22"/>
        </w:rPr>
        <w:t xml:space="preserve"> </w:t>
      </w:r>
      <w:r>
        <w:rPr>
          <w:rFonts w:ascii="Arial" w:hAnsi="Arial"/>
          <w:sz w:val="22"/>
        </w:rPr>
        <w:t xml:space="preserve">possível testar se a penalidade de bairro varia com o progresso social do município.</w:t>
      </w:r>
    </w:p>
    <w:p>
      <w:pPr>
        <w:pStyle w:val="BodyText"/>
        <w:spacing w:line="360" w:lineRule="auto" w:after="0"/>
        <w:ind w:firstLine="709"/>
        <w:jc w:val="both"/>
      </w:pPr>
      <w:r>
        <w:rPr>
          <w:rFonts w:ascii="Arial" w:hAnsi="Arial"/>
          <w:b/>
          <w:bCs/>
          <w:sz w:val="22"/>
        </w:rPr>
        <w:t xml:space="preserve">O diploma quase iguala o salário, mas não abre a porta.</w:t>
      </w:r>
      <w:r>
        <w:rPr>
          <w:rFonts w:ascii="Arial" w:hAnsi="Arial"/>
          <w:sz w:val="22"/>
        </w:rPr>
        <w:t xml:space="preserve"> </w:t>
      </w:r>
      <w:r>
        <w:rPr>
          <w:rFonts w:ascii="Arial" w:hAnsi="Arial"/>
          <w:sz w:val="22"/>
        </w:rPr>
        <w:t xml:space="preserve">As duas barreiras respondem de modo diferente à escolaridade. A penalidade salarial é de 9</w:t>
      </w:r>
      <w:r>
        <w:rPr>
          <w:rFonts w:ascii="Arial" w:hAnsi="Arial"/>
          <w:sz w:val="22"/>
        </w:rPr>
        <w:t xml:space="preserve">,</w:t>
      </w:r>
      <w:r>
        <w:rPr>
          <w:rFonts w:ascii="Arial" w:hAnsi="Arial"/>
          <w:sz w:val="22"/>
        </w:rPr>
        <w:t xml:space="preserve">6% entre quem não tem fundamental completo e cai a 1</w:t>
      </w:r>
      <w:r>
        <w:rPr>
          <w:rFonts w:ascii="Arial" w:hAnsi="Arial"/>
          <w:sz w:val="22"/>
        </w:rPr>
        <w:t xml:space="preserve">,</w:t>
      </w:r>
      <w:r>
        <w:rPr>
          <w:rFonts w:ascii="Arial" w:hAnsi="Arial"/>
          <w:sz w:val="22"/>
        </w:rPr>
        <w:t xml:space="preserve">1% na pós-graduação (Figura 3); a desvantagem de acesso, não: com superior completo, as chances de um trabalhador negro chegar a um cargo qualificado seguem 18% menores que as de um branco de mesmo perfil e bairro, e com pós-graduação, 23% menores (GLMM, degrau A4, Tabela 7). A escolaridade se associa a quase toda a convergência salarial, mas não à de acesso. Duas cautelas: são diferenças condicionais entre pessoas comparáveis, não o efeito de estudar mais — quem chega à pós-graduação é um grupo selecionado —, e as razões de chances do A4 incluem o vínculo, o que faz delas um limite inferior da desvantagem.</w:t>
      </w:r>
    </w:p>
    <w:p>
      <w:pPr>
        <w:pStyle w:val="BodyText"/>
        <w:spacing w:line="360" w:lineRule="auto" w:after="0"/>
        <w:ind w:firstLine="709"/>
        <w:jc w:val="both"/>
      </w:pPr>
      <w:r>
        <w:rPr>
          <w:rFonts w:ascii="Arial" w:hAnsi="Arial"/>
          <w:b/>
          <w:bCs/>
          <w:sz w:val="22"/>
        </w:rPr>
        <w:t xml:space="preserve">A segregação residencial como multiplicador da desigualdade.</w:t>
      </w:r>
      <w:r>
        <w:rPr>
          <w:rFonts w:ascii="Arial" w:hAnsi="Arial"/>
          <w:sz w:val="22"/>
        </w:rPr>
        <w:t xml:space="preserve"> </w:t>
      </w:r>
      <w:r>
        <w:rPr>
          <w:rFonts w:ascii="Arial" w:hAnsi="Arial"/>
          <w:sz w:val="22"/>
        </w:rPr>
        <w:t xml:space="preserve">O achado mais robusto desta análise é que 39,5% do gap salarial racial</w:t>
      </w:r>
      <w:r>
        <w:rPr>
          <w:rFonts w:ascii="Arial" w:hAnsi="Arial"/>
          <w:sz w:val="22"/>
        </w:rPr>
        <w:t xml:space="preserve"> </w:t>
      </w:r>
      <w:r>
        <w:rPr>
          <w:rFonts w:ascii="Arial" w:hAnsi="Arial"/>
          <w:sz w:val="22"/>
        </w:rPr>
        <w:t xml:space="preserve">condicional a capital humano é mediado pelo bairro de moradia — muito além do que modelos</w:t>
      </w:r>
      <w:r>
        <w:rPr>
          <w:rFonts w:ascii="Arial" w:hAnsi="Arial"/>
          <w:sz w:val="22"/>
        </w:rPr>
        <w:t xml:space="preserve"> </w:t>
      </w:r>
      <w:r>
        <w:rPr>
          <w:rFonts w:ascii="Arial" w:hAnsi="Arial"/>
          <w:sz w:val="22"/>
        </w:rPr>
        <w:t xml:space="preserve">cross-sectionais típicos, que ignoram a estrutura aninhada dos dados,</w:t>
      </w:r>
      <w:r>
        <w:rPr>
          <w:rFonts w:ascii="Arial" w:hAnsi="Arial"/>
          <w:sz w:val="22"/>
        </w:rPr>
        <w:t xml:space="preserve"> </w:t>
      </w:r>
      <w:r>
        <w:rPr>
          <w:rFonts w:ascii="Arial" w:hAnsi="Arial"/>
          <w:sz w:val="22"/>
        </w:rPr>
        <w:t xml:space="preserve">seriam capazes de estimar. O coeficiente contextual</w:t>
      </w:r>
      <w:r>
        <w:rPr>
          <w:rFonts w:ascii="Arial" w:hAnsi="Arial"/>
          <w:sz w:val="22"/>
        </w:rPr>
        <w:t xml:space="preserve"> </w:t>
      </w:r>
      <m:oMath>
        <m:sSub>
          <m:e>
            <m:acc>
              <m:accPr>
                <m:chr m:val="̂"/>
              </m:accPr>
              <m:e>
                <m:r>
                  <m:t>γ</m:t>
                </m:r>
              </m:e>
            </m:acc>
          </m:e>
          <m:sub>
            <m:r>
              <m:t>01</m:t>
            </m:r>
          </m:sub>
        </m:sSub>
        <m:r>
          <m:rPr>
            <m:sty m:val="p"/>
          </m:rPr>
          <m:t>=</m:t>
        </m:r>
        <m:r>
          <m:rPr>
            <m:sty m:val="p"/>
          </m:rPr>
          <m:t>−</m:t>
        </m:r>
        <m:r>
          <m:t>0</m:t>
        </m:r>
        <m:r>
          <m:rPr>
            <m:sty m:val="p"/>
          </m:rPr>
          <m:t>,</m:t>
        </m:r>
        <m:r>
          <m:t>1272</m:t>
        </m:r>
      </m:oMath>
      <w:r>
        <w:rPr>
          <w:rFonts w:ascii="Arial" w:hAnsi="Arial"/>
          <w:sz w:val="22"/>
        </w:rPr>
        <w:t xml:space="preserve"> </w:t>
      </w:r>
      <w:r>
        <w:rPr>
          <w:rFonts w:ascii="Arial" w:hAnsi="Arial"/>
          <w:sz w:val="22"/>
        </w:rPr>
        <w:t xml:space="preserve">por desvio-padrão da proporção de negros na UPA</w:t>
      </w:r>
      <w:r>
        <w:rPr>
          <w:rFonts w:ascii="Arial" w:hAnsi="Arial"/>
          <w:sz w:val="22"/>
        </w:rPr>
        <w:t xml:space="preserve"> </w:t>
      </w:r>
      <w:r>
        <w:rPr>
          <w:rFonts w:ascii="Arial" w:hAnsi="Arial"/>
          <w:sz w:val="22"/>
        </w:rPr>
        <w:t xml:space="preserve">indica que a penalidade de viver em bairro segregado é da mesma ordem</w:t>
      </w:r>
      <w:r>
        <w:rPr>
          <w:rFonts w:ascii="Arial" w:hAnsi="Arial"/>
          <w:sz w:val="22"/>
        </w:rPr>
        <w:t xml:space="preserve"> </w:t>
      </w:r>
      <w:r>
        <w:rPr>
          <w:rFonts w:ascii="Arial" w:hAnsi="Arial"/>
          <w:sz w:val="22"/>
        </w:rPr>
        <w:t xml:space="preserve">de grandeza da própria penalidade individual de ser negro — e que 35,3%</w:t>
      </w:r>
      <w:r>
        <w:rPr>
          <w:rFonts w:ascii="Arial" w:hAnsi="Arial"/>
          <w:sz w:val="22"/>
        </w:rPr>
        <w:t xml:space="preserve"> </w:t>
      </w:r>
      <w:r>
        <w:rPr>
          <w:rFonts w:ascii="Arial" w:hAnsi="Arial"/>
          <w:sz w:val="22"/>
        </w:rPr>
        <w:t xml:space="preserve">da variância do rendimento está entre bairros, não entre pessoas.</w:t>
      </w:r>
      <w:r>
        <w:rPr>
          <w:rFonts w:ascii="Arial" w:hAnsi="Arial"/>
          <w:sz w:val="22"/>
        </w:rPr>
        <w:t xml:space="preserve"> </w:t>
      </w:r>
      <w:r>
        <w:rPr>
          <w:rFonts w:ascii="Arial" w:hAnsi="Arial"/>
          <w:sz w:val="22"/>
        </w:rPr>
        <w:t xml:space="preserve">Isso sugere que políticas de redistribuição de renda que não enfrentem</w:t>
      </w:r>
      <w:r>
        <w:rPr>
          <w:rFonts w:ascii="Arial" w:hAnsi="Arial"/>
          <w:sz w:val="22"/>
        </w:rPr>
        <w:t xml:space="preserve"> </w:t>
      </w:r>
      <w:r>
        <w:rPr>
          <w:rFonts w:ascii="Arial" w:hAnsi="Arial"/>
          <w:sz w:val="22"/>
        </w:rPr>
        <w:t xml:space="preserve">a segregação residencial terão eficácia limitada sobre o gap racial.</w:t>
      </w:r>
    </w:p>
    <w:p>
      <w:pPr>
        <w:pStyle w:val="BodyText"/>
        <w:spacing w:line="360" w:lineRule="auto" w:after="0"/>
        <w:ind w:firstLine="709"/>
        <w:jc w:val="both"/>
      </w:pPr>
      <w:r>
        <w:rPr>
          <w:rFonts w:ascii="Arial" w:hAnsi="Arial"/>
          <w:b/>
          <w:bCs/>
          <w:sz w:val="22"/>
        </w:rPr>
        <w:t xml:space="preserve">Subvalorização do capital humano negro.</w:t>
      </w:r>
      <w:r>
        <w:rPr>
          <w:rFonts w:ascii="Arial" w:hAnsi="Arial"/>
          <w:sz w:val="22"/>
        </w:rPr>
        <w:t xml:space="preserve"> </w:t>
      </w:r>
      <w:r>
        <w:rPr>
          <w:rFonts w:ascii="Arial" w:hAnsi="Arial"/>
          <w:sz w:val="22"/>
        </w:rPr>
        <w:t xml:space="preserve">A decomposição de Oaxaca–Blinder atribui 17,9% do gap a</w:t>
      </w:r>
      <w:r>
        <w:rPr>
          <w:rFonts w:ascii="Arial" w:hAnsi="Arial"/>
          <w:sz w:val="22"/>
        </w:rPr>
        <w:t xml:space="preserve"> </w:t>
      </w:r>
      <w:r>
        <w:rPr>
          <w:rFonts w:ascii="Arial" w:hAnsi="Arial"/>
          <w:sz w:val="22"/>
        </w:rPr>
        <w:t xml:space="preserve">retornos</w:t>
      </w:r>
      <w:r>
        <w:rPr>
          <w:rFonts w:ascii="Arial" w:hAnsi="Arial"/>
          <w:sz w:val="22"/>
        </w:rPr>
        <w:t xml:space="preserve"> </w:t>
      </w:r>
      <w:r>
        <w:rPr>
          <w:rFonts w:ascii="Arial" w:hAnsi="Arial"/>
          <w:sz w:val="22"/>
        </w:rPr>
        <w:t xml:space="preserve">diferenciais — as mesmas características de capital humano e contexto rendem</w:t>
      </w:r>
      <w:r>
        <w:rPr>
          <w:rFonts w:ascii="Arial" w:hAnsi="Arial"/>
          <w:sz w:val="22"/>
        </w:rPr>
        <w:t xml:space="preserve"> </w:t>
      </w:r>
      <w:r>
        <w:rPr>
          <w:rFonts w:ascii="Arial" w:hAnsi="Arial"/>
          <w:sz w:val="22"/>
        </w:rPr>
        <w:t xml:space="preserve">menos a trabalhadores negros — e ainda 15,4% quando a própria posição</w:t>
      </w:r>
      <w:r>
        <w:rPr>
          <w:rFonts w:ascii="Arial" w:hAnsi="Arial"/>
          <w:sz w:val="22"/>
        </w:rPr>
        <w:t xml:space="preserve"> </w:t>
      </w:r>
      <w:r>
        <w:rPr>
          <w:rFonts w:ascii="Arial" w:hAnsi="Arial"/>
          <w:sz w:val="22"/>
        </w:rPr>
        <w:t xml:space="preserve">ocupacional é descontada; a decomposição RIF mostra que essa parcela chega a 27%</w:t>
      </w:r>
      <w:r>
        <w:rPr>
          <w:rFonts w:ascii="Arial" w:hAnsi="Arial"/>
          <w:sz w:val="22"/>
        </w:rPr>
        <w:t xml:space="preserve"> </w:t>
      </w:r>
      <w:r>
        <w:rPr>
          <w:rFonts w:ascii="Arial" w:hAnsi="Arial"/>
          <w:sz w:val="22"/>
        </w:rPr>
        <w:t xml:space="preserve">na base da distribuição. O GLMM acrescenta que a</w:t>
      </w:r>
      <w:r>
        <w:rPr>
          <w:rFonts w:ascii="Arial" w:hAnsi="Arial"/>
          <w:sz w:val="22"/>
        </w:rPr>
        <w:t xml:space="preserve"> </w:t>
      </w:r>
      <w:r>
        <w:rPr>
          <w:rFonts w:ascii="Arial" w:hAnsi="Arial"/>
          <w:sz w:val="22"/>
        </w:rPr>
        <w:t xml:space="preserve">credencial educacional não neutraliza a barreira de acesso (OR combinado de</w:t>
      </w:r>
      <w:r>
        <w:rPr>
          <w:rFonts w:ascii="Arial" w:hAnsi="Arial"/>
          <w:sz w:val="22"/>
        </w:rPr>
        <w:t xml:space="preserve"> </w:t>
      </w:r>
      <w:r>
        <w:rPr>
          <w:rStyle w:val="VerbatimChar"/>
          <w:rFonts w:ascii="Arial" w:hAnsi="Arial"/>
          <w:sz w:val="22"/>
        </w:rPr>
        <w:t xml:space="preserve">negro</w:t>
      </w:r>
      <w:r>
        <w:rPr>
          <w:rFonts w:ascii="Arial" w:hAnsi="Arial"/>
          <w:sz w:val="22"/>
        </w:rPr>
        <w:t xml:space="preserve"> </w:t>
      </w:r>
      <w:r>
        <w:rPr>
          <w:rFonts w:ascii="Arial" w:hAnsi="Arial"/>
          <w:sz w:val="22"/>
        </w:rPr>
        <w:t xml:space="preserve">de 0,818 entre os de superior completo). Juntas, essas evidências indicam</w:t>
      </w:r>
      <w:r>
        <w:rPr>
          <w:rFonts w:ascii="Arial" w:hAnsi="Arial"/>
          <w:sz w:val="22"/>
        </w:rPr>
        <w:t xml:space="preserve"> </w:t>
      </w:r>
      <w:r>
        <w:rPr>
          <w:rFonts w:ascii="Arial" w:hAnsi="Arial"/>
          <w:sz w:val="22"/>
        </w:rPr>
        <w:t xml:space="preserve">um duplo obstáculo ao retorno educacional: além da penalidade direta mensurada</w:t>
      </w:r>
      <w:r>
        <w:rPr>
          <w:rFonts w:ascii="Arial" w:hAnsi="Arial"/>
          <w:sz w:val="22"/>
        </w:rPr>
        <w:t xml:space="preserve"> </w:t>
      </w:r>
      <w:r>
        <w:rPr>
          <w:rFonts w:ascii="Arial" w:hAnsi="Arial"/>
          <w:sz w:val="22"/>
        </w:rPr>
        <w:t xml:space="preserve">pelo HLM, o acesso desigual às ocupações que convertem credenciais em renda.</w:t>
      </w:r>
      <w:r>
        <w:rPr>
          <w:rFonts w:ascii="Arial" w:hAnsi="Arial"/>
          <w:sz w:val="22"/>
        </w:rPr>
        <w:t xml:space="preserve"> </w:t>
      </w:r>
      <w:r>
        <w:rPr>
          <w:rFonts w:ascii="Arial" w:hAnsi="Arial"/>
          <w:sz w:val="22"/>
        </w:rPr>
        <w:t xml:space="preserve">Granovetter (1973)</w:t>
      </w:r>
      <w:r>
        <w:rPr>
          <w:rFonts w:ascii="Arial" w:hAnsi="Arial"/>
          <w:sz w:val="22"/>
        </w:rPr>
        <w:t xml:space="preserve"> </w:t>
      </w:r>
      <w:r>
        <w:rPr>
          <w:rFonts w:ascii="Arial" w:hAnsi="Arial"/>
          <w:sz w:val="22"/>
        </w:rPr>
        <w:t xml:space="preserve">oferece o mecanismo plausível — redes de indicação</w:t>
      </w:r>
      <w:r>
        <w:rPr>
          <w:rFonts w:ascii="Arial" w:hAnsi="Arial"/>
          <w:sz w:val="22"/>
        </w:rPr>
        <w:t xml:space="preserve"> </w:t>
      </w:r>
      <w:r>
        <w:rPr>
          <w:rFonts w:ascii="Arial" w:hAnsi="Arial"/>
          <w:sz w:val="22"/>
        </w:rPr>
        <w:t xml:space="preserve">que não cruzam fronteiras sociais —, hipótese que este trabalho não testa</w:t>
      </w:r>
      <w:r>
        <w:rPr>
          <w:rFonts w:ascii="Arial" w:hAnsi="Arial"/>
          <w:sz w:val="22"/>
        </w:rPr>
        <w:t xml:space="preserve"> </w:t>
      </w:r>
      <w:r>
        <w:rPr>
          <w:rFonts w:ascii="Arial" w:hAnsi="Arial"/>
          <w:sz w:val="22"/>
        </w:rPr>
        <w:t xml:space="preserve">diretamente e que fica como agenda.</w:t>
      </w:r>
    </w:p>
    <w:p>
      <w:pPr>
        <w:pStyle w:val="BodyText"/>
        <w:spacing w:line="360" w:lineRule="auto" w:after="0"/>
        <w:ind w:firstLine="709"/>
        <w:jc w:val="both"/>
      </w:pPr>
      <w:r>
        <w:rPr>
          <w:rFonts w:ascii="Arial" w:hAnsi="Arial"/>
          <w:b/>
          <w:bCs/>
          <w:sz w:val="22"/>
        </w:rPr>
        <w:t xml:space="preserve">Persistência da discriminação direta.</w:t>
      </w:r>
      <w:r>
        <w:rPr>
          <w:rFonts w:ascii="Arial" w:hAnsi="Arial"/>
          <w:sz w:val="22"/>
        </w:rPr>
        <w:t xml:space="preserve"> </w:t>
      </w:r>
      <w:r>
        <w:rPr>
          <w:rFonts w:ascii="Arial" w:hAnsi="Arial"/>
          <w:sz w:val="22"/>
        </w:rPr>
        <w:t xml:space="preserve">O gap líquido de 6,1%, estimado após controlar por todos os vetores</w:t>
      </w:r>
      <w:r>
        <w:rPr>
          <w:rFonts w:ascii="Arial" w:hAnsi="Arial"/>
          <w:sz w:val="22"/>
        </w:rPr>
        <w:t xml:space="preserve"> </w:t>
      </w:r>
      <w:r>
        <w:rPr>
          <w:rFonts w:ascii="Arial" w:hAnsi="Arial"/>
          <w:sz w:val="22"/>
        </w:rPr>
        <w:t xml:space="preserve">de transmissão contextual, é o limite superior do intervalo — cujo piso é o</w:t>
      </w:r>
      <w:r>
        <w:rPr>
          <w:rFonts w:ascii="Arial" w:hAnsi="Arial"/>
          <w:sz w:val="22"/>
        </w:rPr>
        <w:t xml:space="preserve"> </w:t>
      </w:r>
      <w:r>
        <w:rPr>
          <w:rFonts w:ascii="Arial" w:hAnsi="Arial"/>
          <w:sz w:val="22"/>
        </w:rPr>
        <w:t xml:space="preserve">M4, com a ocupação — dentro do qual está a penalidade direta não explicada por</w:t>
      </w:r>
      <w:r>
        <w:rPr>
          <w:rFonts w:ascii="Arial" w:hAnsi="Arial"/>
          <w:sz w:val="22"/>
        </w:rPr>
        <w:t xml:space="preserve"> </w:t>
      </w:r>
      <w:r>
        <w:rPr>
          <w:rFonts w:ascii="Arial" w:hAnsi="Arial"/>
          <w:sz w:val="22"/>
        </w:rPr>
        <w:t xml:space="preserve">diferenças observáveis. Os valores SHAP reforçam essa</w:t>
      </w:r>
      <w:r>
        <w:rPr>
          <w:rFonts w:ascii="Arial" w:hAnsi="Arial"/>
          <w:sz w:val="22"/>
        </w:rPr>
        <w:t xml:space="preserve"> </w:t>
      </w:r>
      <w:r>
        <w:rPr>
          <w:rFonts w:ascii="Arial" w:hAnsi="Arial"/>
          <w:sz w:val="22"/>
        </w:rPr>
        <w:t xml:space="preserve">interpretação: a variável racial mantém o 14</w:t>
      </w:r>
      <m:oMath>
        <m:sSup>
          <m:e>
            <m:r>
              <m:t>​</m:t>
            </m:r>
          </m:e>
          <m:sup>
            <m:r>
              <m:rPr>
                <m:sty m:val="p"/>
              </m:rPr>
              <m:t>∘</m:t>
            </m:r>
          </m:sup>
        </m:sSup>
      </m:oMath>
      <w:r>
        <w:rPr>
          <w:rFonts w:ascii="Arial" w:hAnsi="Arial"/>
          <w:sz w:val="22"/>
        </w:rPr>
        <w:t xml:space="preserve"> </w:t>
      </w:r>
      <w:r>
        <w:rPr>
          <w:rFonts w:ascii="Arial" w:hAnsi="Arial"/>
          <w:sz w:val="22"/>
        </w:rPr>
        <w:t xml:space="preserve">lugar</w:t>
      </w:r>
      <w:r>
        <w:rPr>
          <w:rFonts w:ascii="Arial" w:hAnsi="Arial"/>
          <w:sz w:val="22"/>
        </w:rPr>
        <w:t xml:space="preserve"> </w:t>
      </w:r>
      <w:r>
        <w:rPr>
          <w:rFonts w:ascii="Arial" w:hAnsi="Arial"/>
          <w:sz w:val="22"/>
        </w:rPr>
        <w:t xml:space="preserve">na importância preditiva do XGBoost mesmo quando o modelo tem acesso</w:t>
      </w:r>
      <w:r>
        <w:rPr>
          <w:rFonts w:ascii="Arial" w:hAnsi="Arial"/>
          <w:sz w:val="22"/>
        </w:rPr>
        <w:t xml:space="preserve"> </w:t>
      </w:r>
      <w:r>
        <w:rPr>
          <w:rFonts w:ascii="Arial" w:hAnsi="Arial"/>
          <w:sz w:val="22"/>
        </w:rPr>
        <w:t xml:space="preserve">completo às variáveis educacionais, demográficas e contextuais.</w:t>
      </w:r>
      <w:r>
        <w:rPr>
          <w:rFonts w:ascii="Arial" w:hAnsi="Arial"/>
          <w:sz w:val="22"/>
        </w:rPr>
        <w:t xml:space="preserve"> </w:t>
      </w:r>
      <w:r>
        <w:rPr>
          <w:rFonts w:ascii="Arial" w:hAnsi="Arial"/>
          <w:sz w:val="22"/>
        </w:rPr>
        <w:t xml:space="preserve">Essa evidência é consistente com os experimentos de auditoria de</w:t>
      </w:r>
      <w:r>
        <w:rPr>
          <w:rFonts w:ascii="Arial" w:hAnsi="Arial"/>
          <w:sz w:val="22"/>
        </w:rPr>
        <w:t xml:space="preserve"> </w:t>
      </w:r>
      <w:r>
        <w:rPr>
          <w:rFonts w:ascii="Arial" w:hAnsi="Arial"/>
          <w:sz w:val="22"/>
        </w:rPr>
        <w:t xml:space="preserve">Pager (2007)</w:t>
      </w:r>
      <w:r>
        <w:rPr>
          <w:rFonts w:ascii="Arial" w:hAnsi="Arial"/>
          <w:sz w:val="22"/>
        </w:rPr>
        <w:t xml:space="preserve">, que demonstram experimentalmente a discriminação</w:t>
      </w:r>
      <w:r>
        <w:rPr>
          <w:rFonts w:ascii="Arial" w:hAnsi="Arial"/>
          <w:sz w:val="22"/>
        </w:rPr>
        <w:t xml:space="preserve"> </w:t>
      </w:r>
      <w:r>
        <w:rPr>
          <w:rFonts w:ascii="Arial" w:hAnsi="Arial"/>
          <w:sz w:val="22"/>
        </w:rPr>
        <w:t xml:space="preserve">racial em processos seletivos.</w:t>
      </w:r>
    </w:p>
    <w:p>
      <w:pPr>
        <w:pStyle w:val="BodyText"/>
        <w:spacing w:line="360" w:lineRule="auto" w:after="0"/>
        <w:ind w:firstLine="709"/>
        <w:jc w:val="both"/>
      </w:pPr>
      <w:r>
        <w:rPr>
          <w:rFonts w:ascii="Arial" w:hAnsi="Arial"/>
          <w:b/>
          <w:bCs/>
          <w:sz w:val="22"/>
        </w:rPr>
        <w:t xml:space="preserve">A convergência existe, mas é lenta.</w:t>
      </w:r>
      <w:r>
        <w:rPr>
          <w:rFonts w:ascii="Arial" w:hAnsi="Arial"/>
          <w:sz w:val="22"/>
        </w:rPr>
        <w:t xml:space="preserve"> </w:t>
      </w:r>
      <w:r>
        <w:rPr>
          <w:rFonts w:ascii="Arial" w:hAnsi="Arial"/>
          <w:sz w:val="22"/>
        </w:rPr>
        <w:t xml:space="preserve">Em dez anos o gap encolheu 14</w:t>
      </w:r>
      <w:r>
        <w:rPr>
          <w:rFonts w:ascii="Arial" w:hAnsi="Arial"/>
          <w:sz w:val="22"/>
        </w:rPr>
        <w:t xml:space="preserve">,</w:t>
      </w:r>
      <w:r>
        <w:rPr>
          <w:rFonts w:ascii="Arial" w:hAnsi="Arial"/>
          <w:sz w:val="22"/>
        </w:rPr>
        <w:t xml:space="preserve">7%, e a inclinação é estatisticamente distinta de zero</w:t>
      </w:r>
      <w:r>
        <w:rPr>
          <w:rStyle w:val="FootnoteReference"/>
          <w:rFonts w:ascii="Arial" w:hAnsi="Arial"/>
          <w:sz w:val="22"/>
          <w:vertAlign w:val="superscript"/>
        </w:rPr>
        <w:footnoteReference w:id="125"/>
      </w:r>
      <w:r>
        <w:rPr>
          <w:rFonts w:ascii="Arial" w:hAnsi="Arial"/>
          <w:sz w:val="22"/>
        </w:rPr>
        <w:t xml:space="preserve">. Mantido o ritmo, eliminar o diferencial observado em 2016 levaria cerca de 76 anos. Nada disso trivializa os avanços recentes em políticas de cotas e de acesso ao ensino superior. Diz, sim, que reformas no campo educacional, sem intervenção simultânea nos mecanismos de segregação residencial e de acesso às ocupações, são insuficientes — que é precisamente o que a sequência de modelos deste trabalho mostrou.</w:t>
      </w:r>
    </w:p>
    <w:p>
      <w:pPr>
        <w:pStyle w:val="BodyText"/>
        <w:spacing w:line="360" w:lineRule="auto" w:after="0"/>
        <w:ind w:firstLine="709"/>
        <w:jc w:val="both"/>
      </w:pPr>
      <w:r>
        <w:rPr>
          <w:rFonts w:ascii="Arial" w:hAnsi="Arial"/>
          <w:b/>
          <w:bCs/>
          <w:sz w:val="22"/>
        </w:rPr>
        <w:t xml:space="preserve">O que os resultados dizem sobre a política de diversidade vigente.</w:t>
      </w:r>
      <w:r>
        <w:rPr>
          <w:rFonts w:ascii="Arial" w:hAnsi="Arial"/>
          <w:sz w:val="22"/>
        </w:rPr>
        <w:t xml:space="preserve"> </w:t>
      </w:r>
      <w:r>
        <w:rPr>
          <w:rFonts w:ascii="Arial" w:hAnsi="Arial"/>
          <w:b/>
          <w:bCs/>
          <w:sz w:val="22"/>
        </w:rPr>
        <w:t xml:space="preserve">As políticas cuidam do ingresso, não da subida.</w:t>
      </w:r>
      <w:r>
        <w:rPr>
          <w:rFonts w:ascii="Arial" w:hAnsi="Arial"/>
          <w:sz w:val="22"/>
        </w:rPr>
        <w:t xml:space="preserve"> </w:t>
      </w:r>
      <w:r>
        <w:rPr>
          <w:rFonts w:ascii="Arial" w:hAnsi="Arial"/>
          <w:sz w:val="22"/>
        </w:rPr>
        <w:t xml:space="preserve">A reserva de vagas no ensino superior federal</w:t>
      </w:r>
      <w:r>
        <w:rPr>
          <w:rFonts w:ascii="Arial" w:hAnsi="Arial"/>
          <w:sz w:val="22"/>
        </w:rPr>
        <w:t xml:space="preserve"> </w:t>
      </w:r>
      <w:r>
        <w:rPr>
          <w:rFonts w:ascii="Arial" w:hAnsi="Arial"/>
          <w:sz w:val="22"/>
        </w:rPr>
        <w:t xml:space="preserve">(Brasil, 2012, 2023a)</w:t>
      </w:r>
      <w:r>
        <w:rPr>
          <w:rFonts w:ascii="Arial" w:hAnsi="Arial"/>
          <w:sz w:val="22"/>
        </w:rPr>
        <w:t xml:space="preserve"> </w:t>
      </w:r>
      <w:r>
        <w:rPr>
          <w:rFonts w:ascii="Arial" w:hAnsi="Arial"/>
          <w:sz w:val="22"/>
        </w:rPr>
        <w:t xml:space="preserve">e nos concursos federais</w:t>
      </w:r>
      <w:r>
        <w:rPr>
          <w:rFonts w:ascii="Arial" w:hAnsi="Arial"/>
          <w:sz w:val="22"/>
        </w:rPr>
        <w:t xml:space="preserve"> </w:t>
      </w:r>
      <w:r>
        <w:rPr>
          <w:rFonts w:ascii="Arial" w:hAnsi="Arial"/>
          <w:sz w:val="22"/>
        </w:rPr>
        <w:t xml:space="preserve">(Brasil, 2014, 2025)</w:t>
      </w:r>
      <w:r>
        <w:rPr>
          <w:rFonts w:ascii="Arial" w:hAnsi="Arial"/>
          <w:sz w:val="22"/>
        </w:rPr>
        <w:t xml:space="preserve"> </w:t>
      </w:r>
      <w:r>
        <w:rPr>
          <w:rFonts w:ascii="Arial" w:hAnsi="Arial"/>
          <w:sz w:val="22"/>
        </w:rPr>
        <w:t xml:space="preserve">atua na entrada. A desvantagem medida aqui, porém, cresce onde se decide a ascensão: as chances de alcançar o décimo mais rico foram 24% menores, e, entre os dirigentes, a mulher negra teve a menor chance de todos os grupos (OR </w:t>
      </w:r>
      <m:oMath>
        <m:r>
          <m:rPr>
            <m:sty m:val="p"/>
          </m:rPr>
          <m:t>=</m:t>
        </m:r>
        <m:r>
          <m:t>0</m:t>
        </m:r>
        <m:r>
          <m:rPr>
            <m:sty m:val="p"/>
          </m:rPr>
          <m:t>,</m:t>
        </m:r>
        <m:r>
          <m:t>63</m:t>
        </m:r>
      </m:oMath>
      <w:r>
        <w:rPr>
          <w:rFonts w:ascii="Arial" w:hAnsi="Arial"/>
          <w:sz w:val="22"/>
        </w:rPr>
        <w:t xml:space="preserve">). O único instrumento federal voltado ao comando, a reserva de cargos em comissão e funções de confiança</w:t>
      </w:r>
      <w:r>
        <w:rPr>
          <w:rFonts w:ascii="Arial" w:hAnsi="Arial"/>
          <w:sz w:val="22"/>
        </w:rPr>
        <w:t xml:space="preserve"> </w:t>
      </w:r>
      <w:r>
        <w:rPr>
          <w:rFonts w:ascii="Arial" w:hAnsi="Arial"/>
          <w:sz w:val="22"/>
        </w:rPr>
        <w:t xml:space="preserve">(Brasil, 2023b)</w:t>
      </w:r>
      <w:r>
        <w:rPr>
          <w:rFonts w:ascii="Arial" w:hAnsi="Arial"/>
          <w:sz w:val="22"/>
        </w:rPr>
        <w:t xml:space="preserve">, vale apenas para a administração pública federal, e o setor privado, que concentra a maior parte do emprego, não tem obrigação equivalente. O recorte por setor torna o diagnóstico mais preciso. Mesmo com reserva de vagas nos concursos desde 2014, o setor público não abre mais a porta do cargo qualificado (OR </w:t>
      </w:r>
      <m:oMath>
        <m:r>
          <m:t>0</m:t>
        </m:r>
        <m:r>
          <m:rPr>
            <m:sty m:val="p"/>
          </m:rPr>
          <m:t>,</m:t>
        </m:r>
        <m:r>
          <m:t>786</m:t>
        </m:r>
      </m:oMath>
      <w:r>
        <w:rPr>
          <w:rFonts w:ascii="Arial" w:hAnsi="Arial"/>
          <w:sz w:val="22"/>
        </w:rPr>
        <w:t xml:space="preserve">, contra</w:t>
      </w:r>
      <w:r>
        <w:rPr>
          <w:rFonts w:ascii="Arial" w:hAnsi="Arial"/>
          <w:sz w:val="22"/>
        </w:rPr>
        <w:t xml:space="preserve"> </w:t>
      </w:r>
      <m:oMath>
        <m:r>
          <m:t>0</m:t>
        </m:r>
        <m:r>
          <m:rPr>
            <m:sty m:val="p"/>
          </m:rPr>
          <m:t>,</m:t>
        </m:r>
        <m:r>
          <m:t>783</m:t>
        </m:r>
      </m:oMath>
      <w:r>
        <w:rPr>
          <w:rFonts w:ascii="Arial" w:hAnsi="Arial"/>
          <w:sz w:val="22"/>
        </w:rPr>
        <w:t xml:space="preserve"> </w:t>
      </w:r>
      <w:r>
        <w:rPr>
          <w:rFonts w:ascii="Arial" w:hAnsi="Arial"/>
          <w:sz w:val="22"/>
        </w:rPr>
        <w:t xml:space="preserve">no privado): a reserva opera na admissão ao serviço público, não no nível da ocupação, e os ocupados incluem coortes anteriores a ela. O que o setor público tem é um teto que pesa bem menos — no décimo mais rico,</w:t>
      </w:r>
      <w:r>
        <w:rPr>
          <w:rFonts w:ascii="Arial" w:hAnsi="Arial"/>
          <w:sz w:val="22"/>
        </w:rPr>
        <w:t xml:space="preserve"> </w:t>
      </w:r>
      <m:oMath>
        <m:r>
          <m:t>0</m:t>
        </m:r>
        <m:r>
          <m:rPr>
            <m:sty m:val="p"/>
          </m:rPr>
          <m:t>,</m:t>
        </m:r>
        <m:r>
          <m:t>843</m:t>
        </m:r>
      </m:oMath>
      <w:r>
        <w:rPr>
          <w:rFonts w:ascii="Arial" w:hAnsi="Arial"/>
          <w:sz w:val="22"/>
        </w:rPr>
        <w:t xml:space="preserve"> </w:t>
      </w:r>
      <w:r>
        <w:rPr>
          <w:rFonts w:ascii="Arial" w:hAnsi="Arial"/>
          <w:sz w:val="22"/>
        </w:rPr>
        <w:t xml:space="preserve">contra</w:t>
      </w:r>
      <w:r>
        <w:rPr>
          <w:rFonts w:ascii="Arial" w:hAnsi="Arial"/>
          <w:sz w:val="22"/>
        </w:rPr>
        <w:t xml:space="preserve"> </w:t>
      </w:r>
      <m:oMath>
        <m:r>
          <m:t>0</m:t>
        </m:r>
        <m:r>
          <m:rPr>
            <m:sty m:val="p"/>
          </m:rPr>
          <m:t>,</m:t>
        </m:r>
        <m:r>
          <m:t>685</m:t>
        </m:r>
      </m:oMath>
      <w:r>
        <w:rPr>
          <w:rFonts w:ascii="Arial" w:hAnsi="Arial"/>
          <w:sz w:val="22"/>
        </w:rPr>
        <w:t xml:space="preserve"> </w:t>
      </w:r>
      <w:r>
        <w:rPr>
          <w:rFonts w:ascii="Arial" w:hAnsi="Arial"/>
          <w:sz w:val="22"/>
        </w:rPr>
        <w:t xml:space="preserve">— e penalidade salarial menor (4,6% contra 7,2%). É no setor privado que a subida mais se fecha, o que é compatível com a ausência de obrigação, mas também com a estrutura salarial regulada do setor público; os dados não separam as duas leituras.</w:t>
      </w:r>
    </w:p>
    <w:p>
      <w:pPr>
        <w:pStyle w:val="BodyText"/>
        <w:spacing w:line="360" w:lineRule="auto" w:after="0"/>
        <w:ind w:firstLine="709"/>
        <w:jc w:val="both"/>
      </w:pPr>
      <w:r>
        <w:rPr>
          <w:rFonts w:ascii="Arial" w:hAnsi="Arial"/>
          <w:b/>
          <w:bCs/>
          <w:sz w:val="22"/>
        </w:rPr>
        <w:t xml:space="preserve">A aposta educacional é necessária, mas insuficiente.</w:t>
      </w:r>
      <w:r>
        <w:rPr>
          <w:rFonts w:ascii="Arial" w:hAnsi="Arial"/>
          <w:sz w:val="22"/>
        </w:rPr>
        <w:t xml:space="preserve"> </w:t>
      </w:r>
      <w:r>
        <w:rPr>
          <w:rFonts w:ascii="Arial" w:hAnsi="Arial"/>
          <w:sz w:val="22"/>
        </w:rPr>
        <w:t xml:space="preserve">A escolaridade se associou a quase toda a convergência salarial — a penalidade caiu de 9,6% sem fundamental completo para 1,1% na pós-graduação —, mas não à de acesso: com pós-graduação, as chances de chegar a um cargo qualificado seguiram 23% menores. Programas de acesso ao ensino atacam a barreira que mais cede ao diploma.</w:t>
      </w:r>
    </w:p>
    <w:p>
      <w:pPr>
        <w:pStyle w:val="BodyText"/>
        <w:spacing w:line="360" w:lineRule="auto" w:after="0"/>
        <w:ind w:firstLine="709"/>
        <w:jc w:val="both"/>
      </w:pPr>
      <w:r>
        <w:rPr>
          <w:rFonts w:ascii="Arial" w:hAnsi="Arial"/>
          <w:b/>
          <w:bCs/>
          <w:sz w:val="22"/>
        </w:rPr>
        <w:t xml:space="preserve">Não há território na política de diversidade.</w:t>
      </w:r>
      <w:r>
        <w:rPr>
          <w:rFonts w:ascii="Arial" w:hAnsi="Arial"/>
          <w:sz w:val="22"/>
        </w:rPr>
        <w:t xml:space="preserve"> </w:t>
      </w:r>
      <w:r>
        <w:rPr>
          <w:rFonts w:ascii="Arial" w:hAnsi="Arial"/>
          <w:sz w:val="22"/>
        </w:rPr>
        <w:t xml:space="preserve">A diversidade é medida dentro da empresa, mas 39,5% do diferencial agregado passou pelo bairro de moradia, e nenhum instrumento federal de diversidade usa o local de moradia como critério.</w:t>
      </w:r>
    </w:p>
    <w:p>
      <w:pPr>
        <w:pStyle w:val="BodyText"/>
        <w:spacing w:line="360" w:lineRule="auto" w:after="0"/>
        <w:ind w:firstLine="709"/>
        <w:jc w:val="both"/>
      </w:pPr>
      <w:r>
        <w:rPr>
          <w:rFonts w:ascii="Arial" w:hAnsi="Arial"/>
          <w:b/>
          <w:bCs/>
          <w:sz w:val="22"/>
        </w:rPr>
        <w:t xml:space="preserve">Um eixo de cada vez deixa a mulher negra de fora.</w:t>
      </w:r>
      <w:r>
        <w:rPr>
          <w:rFonts w:ascii="Arial" w:hAnsi="Arial"/>
          <w:sz w:val="22"/>
        </w:rPr>
        <w:t xml:space="preserve"> </w:t>
      </w:r>
      <w:r>
        <w:rPr>
          <w:rFonts w:ascii="Arial" w:hAnsi="Arial"/>
          <w:sz w:val="22"/>
        </w:rPr>
        <w:t xml:space="preserve">Ela entrou mais do que o homem branco nas ocupações feminizadas — apoio administrativo (OR </w:t>
      </w:r>
      <m:oMath>
        <m:r>
          <m:rPr>
            <m:sty m:val="p"/>
          </m:rPr>
          <m:t>=</m:t>
        </m:r>
        <m:r>
          <m:t>1</m:t>
        </m:r>
        <m:r>
          <m:rPr>
            <m:sty m:val="p"/>
          </m:rPr>
          <m:t>,</m:t>
        </m:r>
        <m:r>
          <m:t>96</m:t>
        </m:r>
      </m:oMath>
      <w:r>
        <w:rPr>
          <w:rFonts w:ascii="Arial" w:hAnsi="Arial"/>
          <w:sz w:val="22"/>
        </w:rPr>
        <w:t xml:space="preserve">), ensino e saúde —, mas menos do que a mulher branca (OR </w:t>
      </w:r>
      <m:oMath>
        <m:r>
          <m:rPr>
            <m:sty m:val="p"/>
          </m:rPr>
          <m:t>=</m:t>
        </m:r>
        <m:r>
          <m:t>2</m:t>
        </m:r>
        <m:r>
          <m:rPr>
            <m:sty m:val="p"/>
          </m:rPr>
          <m:t>,</m:t>
        </m:r>
        <m:r>
          <m:t>20</m:t>
        </m:r>
      </m:oMath>
      <w:r>
        <w:rPr>
          <w:rFonts w:ascii="Arial" w:hAnsi="Arial"/>
          <w:sz w:val="22"/>
        </w:rPr>
        <w:t xml:space="preserve"> </w:t>
      </w:r>
      <w:r>
        <w:rPr>
          <w:rFonts w:ascii="Arial" w:hAnsi="Arial"/>
          <w:sz w:val="22"/>
        </w:rPr>
        <w:t xml:space="preserve">no apoio administrativo); metas separadas para mulheres e para negros podem ser cumpridas pela mulher branca e pelo homem negro sem alcançá-la. A lei de transparência salarial</w:t>
      </w:r>
      <w:r>
        <w:rPr>
          <w:rFonts w:ascii="Arial" w:hAnsi="Arial"/>
          <w:sz w:val="22"/>
        </w:rPr>
        <w:t xml:space="preserve"> </w:t>
      </w:r>
      <w:r>
        <w:rPr>
          <w:rFonts w:ascii="Arial" w:hAnsi="Arial"/>
          <w:sz w:val="22"/>
        </w:rPr>
        <w:t xml:space="preserve">(Brasil, 2023c)</w:t>
      </w:r>
      <w:r>
        <w:rPr>
          <w:rFonts w:ascii="Arial" w:hAnsi="Arial"/>
          <w:sz w:val="22"/>
        </w:rPr>
        <w:t xml:space="preserve"> </w:t>
      </w:r>
      <w:r>
        <w:rPr>
          <w:rFonts w:ascii="Arial" w:hAnsi="Arial"/>
          <w:sz w:val="22"/>
        </w:rPr>
        <w:t xml:space="preserve">coleta raça no relatório das empresas com 100 ou mais empregados, mas a obrigação de igualdade que estabelece é entre mulheres e homens.</w:t>
      </w:r>
    </w:p>
    <w:p>
      <w:pPr>
        <w:pStyle w:val="BodyText"/>
        <w:spacing w:line="360" w:lineRule="auto" w:after="0"/>
        <w:ind w:firstLine="709"/>
        <w:jc w:val="both"/>
      </w:pPr>
      <w:r>
        <w:rPr>
          <w:rFonts w:ascii="Arial" w:hAnsi="Arial"/>
          <w:b/>
          <w:bCs/>
          <w:sz w:val="22"/>
        </w:rPr>
        <w:t xml:space="preserve">Propostas para reduzir o racismo estrutural no mercado de trabalho.</w:t>
      </w:r>
      <w:r>
        <w:rPr>
          <w:rFonts w:ascii="Arial" w:hAnsi="Arial"/>
          <w:sz w:val="22"/>
        </w:rPr>
        <w:t xml:space="preserve"> </w:t>
      </w:r>
      <w:r>
        <w:rPr>
          <w:rFonts w:ascii="Arial" w:hAnsi="Arial"/>
          <w:sz w:val="22"/>
        </w:rPr>
        <w:t xml:space="preserve">As propostas a seguir são sugeridas pelos resultados, não avaliadas por eles.</w:t>
      </w:r>
      <w:r>
        <w:rPr>
          <w:rFonts w:ascii="Arial" w:hAnsi="Arial"/>
          <w:sz w:val="22"/>
        </w:rPr>
        <w:t xml:space="preserve"> </w:t>
      </w:r>
      <w:r>
        <w:rPr>
          <w:rFonts w:ascii="Arial" w:hAnsi="Arial"/>
          <w:b/>
          <w:bCs/>
          <w:sz w:val="22"/>
        </w:rPr>
        <w:t xml:space="preserve">(i) Metas de representação em cargos de direção e gerência no setor privado, com recorte interseccional</w:t>
      </w:r>
      <w:r>
        <w:rPr>
          <w:rFonts w:ascii="Arial" w:hAnsi="Arial"/>
          <w:sz w:val="22"/>
        </w:rPr>
        <w:t xml:space="preserve">, apoiadas no relatório que a lei de transparência salarial já exige.</w:t>
      </w:r>
      <w:r>
        <w:rPr>
          <w:rFonts w:ascii="Arial" w:hAnsi="Arial"/>
          <w:sz w:val="22"/>
        </w:rPr>
        <w:t xml:space="preserve"> </w:t>
      </w:r>
      <w:r>
        <w:rPr>
          <w:rFonts w:ascii="Arial" w:hAnsi="Arial"/>
          <w:b/>
          <w:bCs/>
          <w:sz w:val="22"/>
        </w:rPr>
        <w:t xml:space="preserve">(ii) Igualdade salarial por raça como obrigação, e não só como dado</w:t>
      </w:r>
      <w:r>
        <w:rPr>
          <w:rFonts w:ascii="Arial" w:hAnsi="Arial"/>
          <w:sz w:val="22"/>
        </w:rPr>
        <w:t xml:space="preserve">, com fiscalização dirigida à diferença que persiste dentro da mesma ocupação (5,6%), base que a proibição de práticas discriminatórias e o Estatuto da Igualdade Racial já oferecem</w:t>
      </w:r>
      <w:r>
        <w:rPr>
          <w:rFonts w:ascii="Arial" w:hAnsi="Arial"/>
          <w:sz w:val="22"/>
        </w:rPr>
        <w:t xml:space="preserve"> </w:t>
      </w:r>
      <w:r>
        <w:rPr>
          <w:rFonts w:ascii="Arial" w:hAnsi="Arial"/>
          <w:sz w:val="22"/>
        </w:rPr>
        <w:t xml:space="preserve">(Brasil, 1995, 2010)</w:t>
      </w:r>
      <w:r>
        <w:rPr>
          <w:rFonts w:ascii="Arial" w:hAnsi="Arial"/>
          <w:sz w:val="22"/>
        </w:rPr>
        <w:t xml:space="preserve">.</w:t>
      </w:r>
      <w:r>
        <w:rPr>
          <w:rFonts w:ascii="Arial" w:hAnsi="Arial"/>
          <w:sz w:val="22"/>
        </w:rPr>
        <w:t xml:space="preserve"> </w:t>
      </w:r>
      <w:r>
        <w:rPr>
          <w:rFonts w:ascii="Arial" w:hAnsi="Arial"/>
          <w:b/>
          <w:bCs/>
          <w:sz w:val="22"/>
        </w:rPr>
        <w:t xml:space="preserve">(iii) Um componente territorial</w:t>
      </w:r>
      <w:r>
        <w:rPr>
          <w:rFonts w:ascii="Arial" w:hAnsi="Arial"/>
          <w:sz w:val="22"/>
        </w:rPr>
        <w:t xml:space="preserve">. Dos resultados decorrem três pontos: o bairro carrega parte do diferencial; a penalidade é maior nos bairros de renda mais alta, o que pede fiscalização também ali, e não só na periferia; e as estimativas por bairro do modelo hierárquico servem para escolher onde começar e para medir se a penalidade mudou. A literatura de efeitos de vizinhança</w:t>
      </w:r>
      <w:r>
        <w:rPr>
          <w:rFonts w:ascii="Arial" w:hAnsi="Arial"/>
          <w:sz w:val="22"/>
        </w:rPr>
        <w:t xml:space="preserve"> </w:t>
      </w:r>
      <w:r>
        <w:rPr>
          <w:rFonts w:ascii="Arial" w:hAnsi="Arial"/>
          <w:sz w:val="22"/>
        </w:rPr>
        <w:t xml:space="preserve">(Marques, 2010; Sampson; Raudenbush; Earls, 1997; Wilson, 1987)</w:t>
      </w:r>
      <w:r>
        <w:rPr>
          <w:rFonts w:ascii="Arial" w:hAnsi="Arial"/>
          <w:sz w:val="22"/>
        </w:rPr>
        <w:t xml:space="preserve"> </w:t>
      </w:r>
      <w:r>
        <w:rPr>
          <w:rFonts w:ascii="Arial" w:hAnsi="Arial"/>
          <w:sz w:val="22"/>
        </w:rPr>
        <w:t xml:space="preserve">sugere os instrumentos: transporte e intermediação de emprego que liguem os bairros segregados aos polos de emprego qualificado; aprendizagem, estágio e mentoria que levem redes de contato a quem não as tem — como a penalidade cresce com a idade, agir na entrada evita que ela se acumule, se a leitura de ciclo de vida for a correta —; currículo sem endereço nas primeiras etapas de seleção; escola de tempo integral e ensino técnico nos bairros de maior proporção de população negra; e habitação de interesse social em áreas centrais.</w:t>
      </w:r>
      <w:r>
        <w:rPr>
          <w:rFonts w:ascii="Arial" w:hAnsi="Arial"/>
          <w:sz w:val="22"/>
        </w:rPr>
        <w:t xml:space="preserve"> </w:t>
      </w:r>
      <w:r>
        <w:rPr>
          <w:rFonts w:ascii="Arial" w:hAnsi="Arial"/>
          <w:b/>
          <w:bCs/>
          <w:sz w:val="22"/>
        </w:rPr>
        <w:t xml:space="preserve">(iv) Promoção, e não só ingresso</w:t>
      </w:r>
      <w:r>
        <w:rPr>
          <w:rFonts w:ascii="Arial" w:hAnsi="Arial"/>
          <w:sz w:val="22"/>
        </w:rPr>
        <w:t xml:space="preserve">: estender a lógica da reserva de cargos de confiança às empresas estatais e à progressão nas carreiras.</w:t>
      </w:r>
      <w:r>
        <w:rPr>
          <w:rFonts w:ascii="Arial" w:hAnsi="Arial"/>
          <w:sz w:val="22"/>
        </w:rPr>
        <w:t xml:space="preserve"> </w:t>
      </w:r>
      <w:r>
        <w:rPr>
          <w:rFonts w:ascii="Arial" w:hAnsi="Arial"/>
          <w:b/>
          <w:bCs/>
          <w:sz w:val="22"/>
        </w:rPr>
        <w:t xml:space="preserve">(v) Monitoramento anual</w:t>
      </w:r>
      <w:r>
        <w:rPr>
          <w:rFonts w:ascii="Arial" w:hAnsi="Arial"/>
          <w:sz w:val="22"/>
        </w:rPr>
        <w:t xml:space="preserve"> </w:t>
      </w:r>
      <w:r>
        <w:rPr>
          <w:rFonts w:ascii="Arial" w:hAnsi="Arial"/>
          <w:sz w:val="22"/>
        </w:rPr>
        <w:t xml:space="preserve">destes indicadores — o diferencial líquido, a chance de acesso e a chance de comando por raça e gênero —, reproduzíveis com a PNAD Contínua, para verificar se uma intervenção moveu a barreira que importa.</w:t>
      </w:r>
    </w:p>
    <w:bookmarkEnd w:id="126"/>
    <w:bookmarkStart w:id="127" w:name="limitações-e-escopo-de-validade"/>
    <w:p>
      <w:pPr>
        <w:pStyle w:val="Ttulo2"/>
        <w:spacing w:line="360" w:lineRule="auto" w:before="280" w:after="280"/>
        <w:ind w:firstLine="709"/>
        <w:jc w:val="left"/>
      </w:pPr>
      <w:r>
        <w:rPr>
          <w:rFonts w:ascii="Arial" w:hAnsi="Arial"/>
          <w:b/>
          <w:sz w:val="22"/>
        </w:rPr>
        <w:t xml:space="preserve">Limitações e escopo de validade</w:t>
      </w:r>
    </w:p>
    <w:p>
      <w:pPr>
        <w:pStyle w:val="FirstParagraph"/>
        <w:spacing w:line="360" w:lineRule="auto" w:after="0"/>
        <w:ind w:firstLine="709"/>
        <w:jc w:val="both"/>
      </w:pPr>
      <w:r>
        <w:rPr>
          <w:rFonts w:ascii="Arial" w:hAnsi="Arial"/>
          <w:b/>
          <w:bCs/>
          <w:sz w:val="22"/>
        </w:rPr>
        <w:t xml:space="preserve">Natureza inferencial</w:t>
      </w:r>
      <w:r>
        <w:rPr>
          <w:rFonts w:ascii="Arial" w:hAnsi="Arial"/>
          <w:b/>
          <w:bCs/>
          <w:sz w:val="22"/>
        </w:rPr>
        <w:t xml:space="preserve"> </w:t>
      </w:r>
      <w:r>
        <w:rPr>
          <w:rFonts w:ascii="Arial" w:hAnsi="Arial"/>
          <w:b/>
          <w:bCs/>
          <w:sz w:val="22"/>
        </w:rPr>
        <w:t xml:space="preserve">vs.</w:t>
      </w:r>
      <w:r>
        <w:rPr>
          <w:rFonts w:ascii="Arial" w:hAnsi="Arial"/>
          <w:b/>
          <w:bCs/>
          <w:sz w:val="22"/>
        </w:rPr>
        <w:t xml:space="preserve"> preditiva dos modelos.</w:t>
      </w:r>
      <w:r>
        <w:rPr>
          <w:rFonts w:ascii="Arial" w:hAnsi="Arial"/>
          <w:sz w:val="22"/>
        </w:rPr>
        <w:t xml:space="preserve"> </w:t>
      </w:r>
      <w:r>
        <w:rPr>
          <w:rFonts w:ascii="Arial" w:hAnsi="Arial"/>
          <w:sz w:val="22"/>
        </w:rPr>
        <w:t xml:space="preserve">Os resultados devem ser lidos sob dois regimes epistemológicos distintos.</w:t>
      </w:r>
      <w:r>
        <w:rPr>
          <w:rFonts w:ascii="Arial" w:hAnsi="Arial"/>
          <w:sz w:val="22"/>
        </w:rPr>
        <w:t xml:space="preserve"> </w:t>
      </w:r>
      <w:r>
        <w:rPr>
          <w:rFonts w:ascii="Arial" w:hAnsi="Arial"/>
          <w:sz w:val="22"/>
        </w:rPr>
        <w:t xml:space="preserve">Os modelos HLM, a decomposição de Oaxaca–Blinder, a regressão quantílica e</w:t>
      </w:r>
      <w:r>
        <w:rPr>
          <w:rFonts w:ascii="Arial" w:hAnsi="Arial"/>
          <w:sz w:val="22"/>
        </w:rPr>
        <w:t xml:space="preserve"> </w:t>
      </w:r>
      <w:r>
        <w:rPr>
          <w:rFonts w:ascii="Arial" w:hAnsi="Arial"/>
          <w:sz w:val="22"/>
        </w:rPr>
        <w:t xml:space="preserve">o modelo logístico de acesso produzem</w:t>
      </w:r>
      <w:r>
        <w:rPr>
          <w:rFonts w:ascii="Arial" w:hAnsi="Arial"/>
          <w:sz w:val="22"/>
        </w:rPr>
        <w:t xml:space="preserve"> </w:t>
      </w:r>
      <w:r>
        <w:rPr>
          <w:rFonts w:ascii="Arial" w:hAnsi="Arial"/>
          <w:sz w:val="22"/>
        </w:rPr>
        <w:t xml:space="preserve">estimativas de associação condicional</w:t>
      </w:r>
      <w:r>
        <w:rPr>
          <w:rFonts w:ascii="Arial" w:hAnsi="Arial"/>
          <w:sz w:val="22"/>
        </w:rPr>
        <w:t xml:space="preserve">:</w:t>
      </w:r>
      <w:r>
        <w:rPr>
          <w:rFonts w:ascii="Arial" w:hAnsi="Arial"/>
          <w:sz w:val="22"/>
        </w:rPr>
        <w:t xml:space="preserve"> </w:t>
      </w:r>
      <w:r>
        <w:rPr>
          <w:rFonts w:ascii="Arial" w:hAnsi="Arial"/>
          <w:sz w:val="22"/>
        </w:rPr>
        <w:t xml:space="preserve">medem o diferencial racial que persiste após o controle de covariáveis</w:t>
      </w:r>
      <w:r>
        <w:rPr>
          <w:rFonts w:ascii="Arial" w:hAnsi="Arial"/>
          <w:sz w:val="22"/>
        </w:rPr>
        <w:t xml:space="preserve"> </w:t>
      </w:r>
      <w:r>
        <w:rPr>
          <w:rFonts w:ascii="Arial" w:hAnsi="Arial"/>
          <w:sz w:val="22"/>
        </w:rPr>
        <w:t xml:space="preserve">observáveis, sob o pressuposto de seleção em observáveis. Não constituem, por</w:t>
      </w:r>
      <w:r>
        <w:rPr>
          <w:rFonts w:ascii="Arial" w:hAnsi="Arial"/>
          <w:sz w:val="22"/>
        </w:rPr>
        <w:t xml:space="preserve"> </w:t>
      </w:r>
      <w:r>
        <w:rPr>
          <w:rFonts w:ascii="Arial" w:hAnsi="Arial"/>
          <w:sz w:val="22"/>
        </w:rPr>
        <w:t xml:space="preserve">si sós, prova de causalidade no sentido contrafactual, pois não derivam de</w:t>
      </w:r>
      <w:r>
        <w:rPr>
          <w:rFonts w:ascii="Arial" w:hAnsi="Arial"/>
          <w:sz w:val="22"/>
        </w:rPr>
        <w:t xml:space="preserve"> </w:t>
      </w:r>
      <w:r>
        <w:rPr>
          <w:rFonts w:ascii="Arial" w:hAnsi="Arial"/>
          <w:sz w:val="22"/>
        </w:rPr>
        <w:t xml:space="preserve">desenho experimental ou quase-experimental. Já o XGBoost e os valores SHAP têm</w:t>
      </w:r>
      <w:r>
        <w:rPr>
          <w:rFonts w:ascii="Arial" w:hAnsi="Arial"/>
          <w:sz w:val="22"/>
        </w:rPr>
        <w:t xml:space="preserve"> </w:t>
      </w:r>
      <w:r>
        <w:rPr>
          <w:rFonts w:ascii="Arial" w:hAnsi="Arial"/>
          <w:sz w:val="22"/>
        </w:rPr>
        <w:t xml:space="preserve">finalidade</w:t>
      </w:r>
      <w:r>
        <w:rPr>
          <w:rFonts w:ascii="Arial" w:hAnsi="Arial"/>
          <w:sz w:val="22"/>
        </w:rPr>
        <w:t xml:space="preserve"> </w:t>
      </w:r>
      <w:r>
        <w:rPr>
          <w:rFonts w:ascii="Arial" w:hAnsi="Arial"/>
          <w:sz w:val="22"/>
        </w:rPr>
        <w:t xml:space="preserve">preditiva e interpretativa</w:t>
      </w:r>
      <w:r>
        <w:rPr>
          <w:rFonts w:ascii="Arial" w:hAnsi="Arial"/>
          <w:sz w:val="22"/>
        </w:rPr>
        <w:t xml:space="preserve">: quantificam a contribuição de</w:t>
      </w:r>
      <w:r>
        <w:rPr>
          <w:rFonts w:ascii="Arial" w:hAnsi="Arial"/>
          <w:sz w:val="22"/>
        </w:rPr>
        <w:t xml:space="preserve"> </w:t>
      </w:r>
      <w:r>
        <w:rPr>
          <w:rFonts w:ascii="Arial" w:hAnsi="Arial"/>
          <w:sz w:val="22"/>
        </w:rPr>
        <w:t xml:space="preserve">cada variável para a</w:t>
      </w:r>
      <w:r>
        <w:rPr>
          <w:rFonts w:ascii="Arial" w:hAnsi="Arial"/>
          <w:sz w:val="22"/>
        </w:rPr>
        <w:t xml:space="preserve"> </w:t>
      </w:r>
      <w:r>
        <w:rPr>
          <w:rFonts w:ascii="Arial" w:hAnsi="Arial"/>
          <w:sz w:val="22"/>
        </w:rPr>
        <w:t xml:space="preserve">previsão</w:t>
      </w:r>
      <w:r>
        <w:rPr>
          <w:rFonts w:ascii="Arial" w:hAnsi="Arial"/>
          <w:sz w:val="22"/>
        </w:rPr>
        <w:t xml:space="preserve"> </w:t>
      </w:r>
      <w:r>
        <w:rPr>
          <w:rFonts w:ascii="Arial" w:hAnsi="Arial"/>
          <w:sz w:val="22"/>
        </w:rPr>
        <w:t xml:space="preserve">do rendimento — não o efeito causal</w:t>
      </w:r>
      <w:r>
        <w:rPr>
          <w:rFonts w:ascii="Arial" w:hAnsi="Arial"/>
          <w:sz w:val="22"/>
        </w:rPr>
        <w:t xml:space="preserve"> </w:t>
      </w:r>
      <w:r>
        <w:rPr>
          <w:rFonts w:ascii="Arial" w:hAnsi="Arial"/>
          <w:sz w:val="22"/>
        </w:rPr>
        <w:t xml:space="preserve">de manipulá-la. A convergência entre os dois regimes (a raça mantém importância</w:t>
      </w:r>
      <w:r>
        <w:rPr>
          <w:rFonts w:ascii="Arial" w:hAnsi="Arial"/>
          <w:sz w:val="22"/>
        </w:rPr>
        <w:t xml:space="preserve"> </w:t>
      </w:r>
      <w:r>
        <w:rPr>
          <w:rFonts w:ascii="Arial" w:hAnsi="Arial"/>
          <w:sz w:val="22"/>
        </w:rPr>
        <w:t xml:space="preserve">preditiva não desprezível</w:t>
      </w:r>
      <w:r>
        <w:rPr>
          <w:rFonts w:ascii="Arial" w:hAnsi="Arial"/>
          <w:sz w:val="22"/>
        </w:rPr>
        <w:t xml:space="preserve"> </w:t>
      </w:r>
      <w:r>
        <w:rPr>
          <w:rFonts w:ascii="Arial" w:hAnsi="Arial"/>
          <w:sz w:val="22"/>
        </w:rPr>
        <w:t xml:space="preserve">e</w:t>
      </w:r>
      <w:r>
        <w:rPr>
          <w:rFonts w:ascii="Arial" w:hAnsi="Arial"/>
          <w:sz w:val="22"/>
        </w:rPr>
        <w:t xml:space="preserve"> </w:t>
      </w:r>
      <w:r>
        <w:rPr>
          <w:rFonts w:ascii="Arial" w:hAnsi="Arial"/>
          <w:sz w:val="22"/>
        </w:rPr>
        <w:t xml:space="preserve">coeficiente negativo significante sob</w:t>
      </w:r>
      <w:r>
        <w:rPr>
          <w:rFonts w:ascii="Arial" w:hAnsi="Arial"/>
          <w:sz w:val="22"/>
        </w:rPr>
        <w:t xml:space="preserve"> </w:t>
      </w:r>
      <w:r>
        <w:rPr>
          <w:rFonts w:ascii="Arial" w:hAnsi="Arial"/>
          <w:sz w:val="22"/>
        </w:rPr>
        <w:t xml:space="preserve">controle exaustivo) é o que confere robustez ao diagnóstico; ainda assim, a</w:t>
      </w:r>
      <w:r>
        <w:rPr>
          <w:rFonts w:ascii="Arial" w:hAnsi="Arial"/>
          <w:sz w:val="22"/>
        </w:rPr>
        <w:t xml:space="preserve"> </w:t>
      </w:r>
      <w:r>
        <w:rPr>
          <w:rFonts w:ascii="Arial" w:hAnsi="Arial"/>
          <w:sz w:val="22"/>
        </w:rPr>
        <w:t xml:space="preserve">linguagem causal foi deliberadamente evitada.</w:t>
      </w:r>
    </w:p>
    <w:p>
      <w:pPr>
        <w:pStyle w:val="BodyText"/>
        <w:spacing w:line="360" w:lineRule="auto" w:after="0"/>
        <w:ind w:firstLine="709"/>
        <w:jc w:val="both"/>
      </w:pPr>
      <w:r>
        <w:rPr>
          <w:rFonts w:ascii="Arial" w:hAnsi="Arial"/>
          <w:b/>
          <w:bCs/>
          <w:sz w:val="22"/>
        </w:rPr>
        <w:t xml:space="preserve">Condicionar em quem tem renda positiva.</w:t>
      </w:r>
      <w:r>
        <w:rPr>
          <w:rFonts w:ascii="Arial" w:hAnsi="Arial"/>
          <w:sz w:val="22"/>
        </w:rPr>
        <w:t xml:space="preserve"> </w:t>
      </w:r>
      <w:r>
        <w:rPr>
          <w:rFonts w:ascii="Arial" w:hAnsi="Arial"/>
          <w:sz w:val="22"/>
        </w:rPr>
        <w:t xml:space="preserve">Todos os modelos de rendimento são estimados entre ocupados com renda positiva. Isso é</w:t>
      </w:r>
      <w:r>
        <w:rPr>
          <w:rFonts w:ascii="Arial" w:hAnsi="Arial"/>
          <w:sz w:val="22"/>
        </w:rPr>
        <w:t xml:space="preserve"> </w:t>
      </w:r>
      <w:r>
        <w:rPr>
          <w:rFonts w:ascii="Arial" w:hAnsi="Arial"/>
          <w:sz w:val="22"/>
        </w:rPr>
        <w:t xml:space="preserve">condicionar no desfecho</w:t>
      </w:r>
      <w:r>
        <w:rPr>
          <w:rFonts w:ascii="Arial" w:hAnsi="Arial"/>
          <w:sz w:val="22"/>
        </w:rPr>
        <w:t xml:space="preserve"> </w:t>
      </w:r>
      <w:r>
        <w:rPr>
          <w:rFonts w:ascii="Arial" w:hAnsi="Arial"/>
          <w:sz w:val="22"/>
        </w:rPr>
        <w:t xml:space="preserve">(</w:t>
      </w:r>
      <w:r>
        <w:rPr>
          <w:rFonts w:ascii="Arial" w:hAnsi="Arial"/>
          <w:sz w:val="22"/>
        </w:rPr>
        <w:t xml:space="preserve">Angrist; Pischke (2009)</w:t>
      </w:r>
      <w:r>
        <w:rPr>
          <w:rFonts w:ascii="Arial" w:hAnsi="Arial"/>
          <w:sz w:val="22"/>
        </w:rPr>
        <w:t xml:space="preserve">, cap. 3): se a discriminação</w:t>
      </w:r>
      <w:r>
        <w:rPr>
          <w:rFonts w:ascii="Arial" w:hAnsi="Arial"/>
          <w:sz w:val="22"/>
        </w:rPr>
        <w:t xml:space="preserve"> </w:t>
      </w:r>
      <w:r>
        <w:rPr>
          <w:rFonts w:ascii="Arial" w:hAnsi="Arial"/>
          <w:sz w:val="22"/>
        </w:rPr>
        <w:t xml:space="preserve">também reduz a probabilidade de estar ocupado, o gap salarial condicional mistura o</w:t>
      </w:r>
      <w:r>
        <w:rPr>
          <w:rFonts w:ascii="Arial" w:hAnsi="Arial"/>
          <w:sz w:val="22"/>
        </w:rPr>
        <w:t xml:space="preserve"> </w:t>
      </w:r>
      <w:r>
        <w:rPr>
          <w:rFonts w:ascii="Arial" w:hAnsi="Arial"/>
          <w:sz w:val="22"/>
        </w:rPr>
        <w:t xml:space="preserve">efeito sobre o salário com a seleção de quem permanece na amostra. A direção provável do</w:t>
      </w:r>
      <w:r>
        <w:rPr>
          <w:rFonts w:ascii="Arial" w:hAnsi="Arial"/>
          <w:sz w:val="22"/>
        </w:rPr>
        <w:t xml:space="preserve"> </w:t>
      </w:r>
      <w:r>
        <w:rPr>
          <w:rFonts w:ascii="Arial" w:hAnsi="Arial"/>
          <w:sz w:val="22"/>
        </w:rPr>
        <w:t xml:space="preserve">viés é de</w:t>
      </w:r>
      <w:r>
        <w:rPr>
          <w:rFonts w:ascii="Arial" w:hAnsi="Arial"/>
          <w:sz w:val="22"/>
        </w:rPr>
        <w:t xml:space="preserve"> </w:t>
      </w:r>
      <w:r>
        <w:rPr>
          <w:rFonts w:ascii="Arial" w:hAnsi="Arial"/>
          <w:sz w:val="22"/>
        </w:rPr>
        <w:t xml:space="preserve">subestimação</w:t>
      </w:r>
      <w:r>
        <w:rPr>
          <w:rFonts w:ascii="Arial" w:hAnsi="Arial"/>
          <w:sz w:val="22"/>
        </w:rPr>
        <w:t xml:space="preserve">: se os trabalhadores negros que conseguem se manter</w:t>
      </w:r>
      <w:r>
        <w:rPr>
          <w:rFonts w:ascii="Arial" w:hAnsi="Arial"/>
          <w:sz w:val="22"/>
        </w:rPr>
        <w:t xml:space="preserve"> </w:t>
      </w:r>
      <w:r>
        <w:rPr>
          <w:rFonts w:ascii="Arial" w:hAnsi="Arial"/>
          <w:sz w:val="22"/>
        </w:rPr>
        <w:t xml:space="preserve">ocupados são positivamente selecionados em atributos não observados, o gap entre os</w:t>
      </w:r>
      <w:r>
        <w:rPr>
          <w:rFonts w:ascii="Arial" w:hAnsi="Arial"/>
          <w:sz w:val="22"/>
        </w:rPr>
        <w:t xml:space="preserve"> </w:t>
      </w:r>
      <w:r>
        <w:rPr>
          <w:rFonts w:ascii="Arial" w:hAnsi="Arial"/>
          <w:sz w:val="22"/>
        </w:rPr>
        <w:t xml:space="preserve">observados é menor que o gap potencial na população. O modelo logístico de acesso trata</w:t>
      </w:r>
      <w:r>
        <w:rPr>
          <w:rFonts w:ascii="Arial" w:hAnsi="Arial"/>
          <w:sz w:val="22"/>
        </w:rPr>
        <w:t xml:space="preserve"> </w:t>
      </w:r>
      <w:r>
        <w:rPr>
          <w:rFonts w:ascii="Arial" w:hAnsi="Arial"/>
          <w:sz w:val="22"/>
        </w:rPr>
        <w:t xml:space="preserve">diretamente a outra metade do problema — a probabilidade de chegar à ocupação</w:t>
      </w:r>
      <w:r>
        <w:rPr>
          <w:rFonts w:ascii="Arial" w:hAnsi="Arial"/>
          <w:sz w:val="22"/>
        </w:rPr>
        <w:t xml:space="preserve"> </w:t>
      </w:r>
      <w:r>
        <w:rPr>
          <w:rFonts w:ascii="Arial" w:hAnsi="Arial"/>
          <w:sz w:val="22"/>
        </w:rPr>
        <w:t xml:space="preserve">qualificada —; uma correção de seleção à Heckman, que exigiria uma variável de</w:t>
      </w:r>
      <w:r>
        <w:rPr>
          <w:rFonts w:ascii="Arial" w:hAnsi="Arial"/>
          <w:sz w:val="22"/>
        </w:rPr>
        <w:t xml:space="preserve"> </w:t>
      </w:r>
      <w:r>
        <w:rPr>
          <w:rFonts w:ascii="Arial" w:hAnsi="Arial"/>
          <w:sz w:val="22"/>
        </w:rPr>
        <w:t xml:space="preserve">exclusão crível (algo que afete estar ocupado sem afetar o salário), fica como extensão</w:t>
      </w:r>
      <w:r>
        <w:rPr>
          <w:rFonts w:ascii="Arial" w:hAnsi="Arial"/>
          <w:sz w:val="22"/>
        </w:rPr>
        <w:t xml:space="preserve"> </w:t>
      </w:r>
      <w:r>
        <w:rPr>
          <w:rFonts w:ascii="Arial" w:hAnsi="Arial"/>
          <w:sz w:val="22"/>
        </w:rPr>
        <w:t xml:space="preserve">e não é estimada aqui. A leitura correta é, portanto: o gap líquido aqui reportado</w:t>
      </w:r>
      <w:r>
        <w:rPr>
          <w:rFonts w:ascii="Arial" w:hAnsi="Arial"/>
          <w:sz w:val="22"/>
        </w:rPr>
        <w:t xml:space="preserve"> </w:t>
      </w:r>
      <w:r>
        <w:rPr>
          <w:rFonts w:ascii="Arial" w:hAnsi="Arial"/>
          <w:sz w:val="22"/>
        </w:rPr>
        <w:t xml:space="preserve">é o gap</w:t>
      </w:r>
      <w:r>
        <w:rPr>
          <w:rFonts w:ascii="Arial" w:hAnsi="Arial"/>
          <w:sz w:val="22"/>
        </w:rPr>
        <w:t xml:space="preserve"> </w:t>
      </w:r>
      <w:r>
        <w:rPr>
          <w:rFonts w:ascii="Arial" w:hAnsi="Arial"/>
          <w:sz w:val="22"/>
        </w:rPr>
        <w:t xml:space="preserve">entre ocupados</w:t>
      </w:r>
      <w:r>
        <w:rPr>
          <w:rFonts w:ascii="Arial" w:hAnsi="Arial"/>
          <w:sz w:val="22"/>
        </w:rPr>
        <w:t xml:space="preserve">, não o gap potencial de toda a população em idade ativa.</w:t>
      </w:r>
    </w:p>
    <w:p>
      <w:pPr>
        <w:pStyle w:val="BodyText"/>
        <w:spacing w:line="360" w:lineRule="auto" w:after="0"/>
        <w:ind w:firstLine="709"/>
        <w:jc w:val="both"/>
      </w:pPr>
      <w:r>
        <w:rPr>
          <w:rFonts w:ascii="Arial" w:hAnsi="Arial"/>
          <w:b/>
          <w:bCs/>
          <w:sz w:val="22"/>
        </w:rPr>
        <w:t xml:space="preserve">As hipóteses, uma a uma, e o que acontece se falharem.</w:t>
      </w:r>
      <w:r>
        <w:rPr>
          <w:rFonts w:ascii="Arial" w:hAnsi="Arial"/>
          <w:sz w:val="22"/>
        </w:rPr>
        <w:t xml:space="preserve"> </w:t>
      </w:r>
      <w:r>
        <w:rPr>
          <w:rFonts w:ascii="Arial" w:hAnsi="Arial"/>
          <w:sz w:val="22"/>
        </w:rPr>
        <w:t xml:space="preserve">Seguindo a recomendação de</w:t>
      </w:r>
      <w:r>
        <w:rPr>
          <w:rFonts w:ascii="Arial" w:hAnsi="Arial"/>
          <w:sz w:val="22"/>
        </w:rPr>
        <w:t xml:space="preserve"> </w:t>
      </w:r>
      <w:r>
        <w:rPr>
          <w:rFonts w:ascii="Arial" w:hAnsi="Arial"/>
          <w:sz w:val="22"/>
        </w:rPr>
        <w:t xml:space="preserve">“ser o próprio cético”</w:t>
      </w:r>
      <w:r>
        <w:rPr>
          <w:rFonts w:ascii="Arial" w:hAnsi="Arial"/>
          <w:sz w:val="22"/>
        </w:rPr>
        <w:t xml:space="preserve"> </w:t>
      </w:r>
      <w:r>
        <w:rPr>
          <w:rFonts w:ascii="Arial" w:hAnsi="Arial"/>
          <w:sz w:val="22"/>
        </w:rPr>
        <w:t xml:space="preserve">(</w:t>
      </w:r>
      <w:r>
        <w:rPr>
          <w:rFonts w:ascii="Arial" w:hAnsi="Arial"/>
          <w:sz w:val="22"/>
        </w:rPr>
        <w:t xml:space="preserve">Angrist; Pischke (2009)</w:t>
      </w:r>
      <w:r>
        <w:rPr>
          <w:rFonts w:ascii="Arial" w:hAnsi="Arial"/>
          <w:sz w:val="22"/>
        </w:rPr>
        <w:t xml:space="preserve">, cap. 8):</w:t>
      </w:r>
    </w:p>
    <w:p>
      <w:pPr>
        <w:numPr>
          <w:ilvl w:val="0"/>
          <w:numId w:val="1001"/>
        </w:numPr>
        <w:spacing w:line="360" w:lineRule="auto" w:after="0"/>
        <w:ind w:firstLine="709"/>
        <w:jc w:val="both"/>
      </w:pPr>
      <w:r>
        <w:rPr>
          <w:rFonts w:ascii="Arial" w:hAnsi="Arial"/>
          <w:b/>
          <w:bCs/>
          <w:sz w:val="22"/>
        </w:rPr>
        <w:t xml:space="preserve">Seleção em observáveis (CIA).</w:t>
      </w:r>
      <w:r>
        <w:rPr>
          <w:rFonts w:ascii="Arial" w:hAnsi="Arial"/>
          <w:sz w:val="22"/>
        </w:rPr>
        <w:t xml:space="preserve"> </w:t>
      </w:r>
      <w:r>
        <w:rPr>
          <w:rFonts w:ascii="Arial" w:hAnsi="Arial"/>
          <w:sz w:val="22"/>
        </w:rPr>
        <w:t xml:space="preserve">O gap líquido só é o efeito do tratamento</w:t>
      </w:r>
      <w:r>
        <w:rPr>
          <w:rFonts w:ascii="Arial" w:hAnsi="Arial"/>
          <w:sz w:val="22"/>
        </w:rPr>
        <w:t xml:space="preserve"> </w:t>
      </w:r>
      <w:r>
        <w:rPr>
          <w:rFonts w:ascii="Arial" w:hAnsi="Arial"/>
          <w:sz w:val="22"/>
        </w:rPr>
        <w:t xml:space="preserve">diferencial se, condicional a</w:t>
      </w:r>
      <w:r>
        <w:rPr>
          <w:rFonts w:ascii="Arial" w:hAnsi="Arial"/>
          <w:sz w:val="22"/>
        </w:rPr>
        <w:t xml:space="preserve"> </w:t>
      </w:r>
      <m:oMath>
        <m:r>
          <m:t>X</m:t>
        </m:r>
      </m:oMath>
      <w:r>
        <w:rPr>
          <w:rFonts w:ascii="Arial" w:hAnsi="Arial"/>
          <w:sz w:val="22"/>
        </w:rPr>
        <w:t xml:space="preserve">, a raça for</w:t>
      </w:r>
      <w:r>
        <w:rPr>
          <w:rFonts w:ascii="Arial" w:hAnsi="Arial"/>
          <w:sz w:val="22"/>
        </w:rPr>
        <w:t xml:space="preserve"> </w:t>
      </w:r>
      <w:r>
        <w:rPr>
          <w:rFonts w:ascii="Arial" w:hAnsi="Arial"/>
          <w:sz w:val="22"/>
        </w:rPr>
        <w:t xml:space="preserve">“como se”</w:t>
      </w:r>
      <w:r>
        <w:rPr>
          <w:rFonts w:ascii="Arial" w:hAnsi="Arial"/>
          <w:sz w:val="22"/>
        </w:rPr>
        <w:t xml:space="preserve"> </w:t>
      </w:r>
      <w:r>
        <w:rPr>
          <w:rFonts w:ascii="Arial" w:hAnsi="Arial"/>
          <w:sz w:val="22"/>
        </w:rPr>
        <w:t xml:space="preserve">aleatória. Não é: qualidade</w:t>
      </w:r>
      <w:r>
        <w:rPr>
          <w:rFonts w:ascii="Arial" w:hAnsi="Arial"/>
          <w:sz w:val="22"/>
        </w:rPr>
        <w:t xml:space="preserve"> </w:t>
      </w:r>
      <w:r>
        <w:rPr>
          <w:rFonts w:ascii="Arial" w:hAnsi="Arial"/>
          <w:sz w:val="22"/>
        </w:rPr>
        <w:t xml:space="preserve">da escola, habilidade não medida e redes ficam fora. Se esses omitidos correlacionam</w:t>
      </w:r>
      <w:r>
        <w:rPr>
          <w:rFonts w:ascii="Arial" w:hAnsi="Arial"/>
          <w:sz w:val="22"/>
        </w:rPr>
        <w:t xml:space="preserve"> </w:t>
      </w:r>
      <w:r>
        <w:rPr>
          <w:rFonts w:ascii="Arial" w:hAnsi="Arial"/>
          <w:sz w:val="22"/>
        </w:rPr>
        <w:t xml:space="preserve">negativamente com ser negro e positivamente com renda, o coeficiente</w:t>
      </w:r>
      <w:r>
        <w:rPr>
          <w:rFonts w:ascii="Arial" w:hAnsi="Arial"/>
          <w:sz w:val="22"/>
        </w:rPr>
        <w:t xml:space="preserve"> </w:t>
      </w:r>
      <w:r>
        <w:rPr>
          <w:rFonts w:ascii="Arial" w:hAnsi="Arial"/>
          <w:sz w:val="22"/>
        </w:rPr>
        <w:t xml:space="preserve">superestima</w:t>
      </w:r>
      <w:r>
        <w:rPr>
          <w:rFonts w:ascii="Arial" w:hAnsi="Arial"/>
          <w:sz w:val="22"/>
        </w:rPr>
        <w:t xml:space="preserve"> </w:t>
      </w:r>
      <w:r>
        <w:rPr>
          <w:rFonts w:ascii="Arial" w:hAnsi="Arial"/>
          <w:sz w:val="22"/>
        </w:rPr>
        <w:t xml:space="preserve">a discriminação — por isso o gap líquido é apresentado como limite superior dessa</w:t>
      </w:r>
      <w:r>
        <w:rPr>
          <w:rFonts w:ascii="Arial" w:hAnsi="Arial"/>
          <w:sz w:val="22"/>
        </w:rPr>
        <w:t xml:space="preserve"> </w:t>
      </w:r>
      <w:r>
        <w:rPr>
          <w:rFonts w:ascii="Arial" w:hAnsi="Arial"/>
          <w:sz w:val="22"/>
        </w:rPr>
        <w:t xml:space="preserve">leitura, e o Konfound/E-value quantificam quanto de confundimento seria preciso.</w:t>
      </w:r>
    </w:p>
    <w:p>
      <w:pPr>
        <w:numPr>
          <w:ilvl w:val="0"/>
          <w:numId w:val="1001"/>
        </w:numPr>
        <w:spacing w:line="360" w:lineRule="auto" w:after="0"/>
        <w:ind w:firstLine="709"/>
        <w:jc w:val="both"/>
      </w:pPr>
      <w:r>
        <w:rPr>
          <w:rFonts w:ascii="Arial" w:hAnsi="Arial"/>
          <w:b/>
          <w:bCs/>
          <w:sz w:val="22"/>
        </w:rPr>
        <w:t xml:space="preserve">Bad controls</w:t>
      </w:r>
      <w:r>
        <w:rPr>
          <w:rFonts w:ascii="Arial" w:hAnsi="Arial"/>
          <w:b/>
          <w:bCs/>
          <w:sz w:val="22"/>
        </w:rPr>
        <w:t xml:space="preserve">.</w:t>
      </w:r>
      <w:r>
        <w:rPr>
          <w:rFonts w:ascii="Arial" w:hAnsi="Arial"/>
          <w:sz w:val="22"/>
        </w:rPr>
        <w:t xml:space="preserve"> </w:t>
      </w:r>
      <w:r>
        <w:rPr>
          <w:rFonts w:ascii="Arial" w:hAnsi="Arial"/>
          <w:sz w:val="22"/>
        </w:rPr>
        <w:t xml:space="preserve">Ocupação e formalidade são desfechos da</w:t>
      </w:r>
      <w:r>
        <w:rPr>
          <w:rFonts w:ascii="Arial" w:hAnsi="Arial"/>
          <w:sz w:val="22"/>
        </w:rPr>
        <w:t xml:space="preserve"> </w:t>
      </w:r>
      <w:r>
        <w:rPr>
          <w:rFonts w:ascii="Arial" w:hAnsi="Arial"/>
          <w:sz w:val="22"/>
        </w:rPr>
        <w:t xml:space="preserve">própria discriminação; a jornada, não: com renda mensal, ela é controle necessário</w:t>
      </w:r>
      <w:r>
        <w:rPr>
          <w:rFonts w:ascii="Arial" w:hAnsi="Arial"/>
          <w:sz w:val="22"/>
        </w:rPr>
        <w:t xml:space="preserve"> </w:t>
      </w:r>
      <w:r>
        <w:rPr>
          <w:rFonts w:ascii="Arial" w:hAnsi="Arial"/>
          <w:sz w:val="22"/>
        </w:rPr>
        <w:t xml:space="preserve">e entra nas duas especificações da Oaxaca–Blinder — no modelo de acesso, só no</w:t>
      </w:r>
      <w:r>
        <w:rPr>
          <w:rFonts w:ascii="Arial" w:hAnsi="Arial"/>
          <w:sz w:val="22"/>
        </w:rPr>
        <w:t xml:space="preserve"> </w:t>
      </w:r>
      <w:r>
        <w:rPr>
          <w:rFonts w:ascii="Arial" w:hAnsi="Arial"/>
          <w:sz w:val="22"/>
        </w:rPr>
        <w:t xml:space="preserve">degrau de limite inferior. Com eles (M4, Oaxaca-Blinder de acesso) o resultado é um</w:t>
      </w:r>
      <w:r>
        <w:rPr>
          <w:rFonts w:ascii="Arial" w:hAnsi="Arial"/>
          <w:sz w:val="22"/>
        </w:rPr>
        <w:t xml:space="preserve"> </w:t>
      </w:r>
      <w:r>
        <w:rPr>
          <w:rFonts w:ascii="Arial" w:hAnsi="Arial"/>
          <w:sz w:val="22"/>
        </w:rPr>
        <w:t xml:space="preserve">limite inferior descritivo</w:t>
      </w:r>
      <w:r>
        <w:rPr>
          <w:rFonts w:ascii="Arial" w:hAnsi="Arial"/>
          <w:sz w:val="22"/>
        </w:rPr>
        <w:t xml:space="preserve">: a parcela que opera pela porta de entrada some da</w:t>
      </w:r>
      <w:r>
        <w:rPr>
          <w:rFonts w:ascii="Arial" w:hAnsi="Arial"/>
          <w:sz w:val="22"/>
        </w:rPr>
        <w:t xml:space="preserve"> </w:t>
      </w:r>
      <w:r>
        <w:rPr>
          <w:rFonts w:ascii="Arial" w:hAnsi="Arial"/>
          <w:sz w:val="22"/>
        </w:rPr>
        <w:t xml:space="preserve">conta. Sem eles (M3, especificação (A) da Oaxaca-Blinder) tem-se o gap total</w:t>
      </w:r>
      <w:r>
        <w:rPr>
          <w:rFonts w:ascii="Arial" w:hAnsi="Arial"/>
          <w:sz w:val="22"/>
        </w:rPr>
        <w:t xml:space="preserve"> </w:t>
      </w:r>
      <w:r>
        <w:rPr>
          <w:rFonts w:ascii="Arial" w:hAnsi="Arial"/>
          <w:sz w:val="22"/>
        </w:rPr>
        <w:t xml:space="preserve">condicional a capital humano e bairro. As duas versões são reportadas lado a lado.</w:t>
      </w:r>
    </w:p>
    <w:p>
      <w:pPr>
        <w:numPr>
          <w:ilvl w:val="0"/>
          <w:numId w:val="1001"/>
        </w:numPr>
        <w:spacing w:line="360" w:lineRule="auto" w:after="0"/>
        <w:ind w:firstLine="709"/>
        <w:jc w:val="both"/>
      </w:pPr>
      <w:r>
        <w:rPr>
          <w:rFonts w:ascii="Arial" w:hAnsi="Arial"/>
          <w:b/>
          <w:bCs/>
          <w:sz w:val="22"/>
        </w:rPr>
        <w:t xml:space="preserve">Reflexo (Manski).</w:t>
      </w:r>
      <w:r>
        <w:rPr>
          <w:rFonts w:ascii="Arial" w:hAnsi="Arial"/>
          <w:sz w:val="22"/>
        </w:rPr>
        <w:t xml:space="preserve"> </w:t>
      </w:r>
      <w:r>
        <w:rPr>
          <w:rFonts w:ascii="Arial" w:hAnsi="Arial"/>
          <w:sz w:val="22"/>
        </w:rPr>
        <w:t xml:space="preserve">Uma média de bairro que inclui o próprio indivíduo é</w:t>
      </w:r>
      <w:r>
        <w:rPr>
          <w:rFonts w:ascii="Arial" w:hAnsi="Arial"/>
          <w:sz w:val="22"/>
        </w:rPr>
        <w:t xml:space="preserve"> </w:t>
      </w:r>
      <w:r>
        <w:rPr>
          <w:rFonts w:ascii="Arial" w:hAnsi="Arial"/>
          <w:sz w:val="22"/>
        </w:rPr>
        <w:t xml:space="preserve">mecanicamente informativa sobre ele — a raça da pessoa entraria no % de negros do</w:t>
      </w:r>
      <w:r>
        <w:rPr>
          <w:rFonts w:ascii="Arial" w:hAnsi="Arial"/>
          <w:sz w:val="22"/>
        </w:rPr>
        <w:t xml:space="preserve"> </w:t>
      </w:r>
      <w:r>
        <w:rPr>
          <w:rFonts w:ascii="Arial" w:hAnsi="Arial"/>
          <w:sz w:val="22"/>
        </w:rPr>
        <w:t xml:space="preserve">seu bairro. Por isso todas as médias de contexto, de UPA e de UF, são calculadas sem a</w:t>
      </w:r>
      <w:r>
        <w:rPr>
          <w:rFonts w:ascii="Arial" w:hAnsi="Arial"/>
          <w:sz w:val="22"/>
        </w:rPr>
        <w:t xml:space="preserve"> </w:t>
      </w:r>
      <w:r>
        <w:rPr>
          <w:rFonts w:ascii="Arial" w:hAnsi="Arial"/>
          <w:sz w:val="22"/>
        </w:rPr>
        <w:t xml:space="preserve">própria observação (</w:t>
      </w:r>
      <w:r>
        <w:rPr>
          <w:rFonts w:ascii="Arial" w:hAnsi="Arial"/>
          <w:sz w:val="22"/>
        </w:rPr>
        <w:t xml:space="preserve">leave-one-out</w:t>
      </w:r>
      <w:r>
        <w:rPr>
          <w:rFonts w:ascii="Arial" w:hAnsi="Arial"/>
          <w:sz w:val="22"/>
        </w:rPr>
        <w:t xml:space="preserve">), e a renda média do bairro, a mais exposta ao</w:t>
      </w:r>
      <w:r>
        <w:rPr>
          <w:rFonts w:ascii="Arial" w:hAnsi="Arial"/>
          <w:sz w:val="22"/>
        </w:rPr>
        <w:t xml:space="preserve"> </w:t>
      </w:r>
      <w:r>
        <w:rPr>
          <w:rFonts w:ascii="Arial" w:hAnsi="Arial"/>
          <w:sz w:val="22"/>
        </w:rPr>
        <w:t xml:space="preserve">problema, fica fora dos modelos estatísticos e só entra como preditor no XGBoost. Isso remove o reflexo mecânico, mas choques</w:t>
      </w:r>
      <w:r>
        <w:rPr>
          <w:rFonts w:ascii="Arial" w:hAnsi="Arial"/>
          <w:sz w:val="22"/>
        </w:rPr>
        <w:t xml:space="preserve"> </w:t>
      </w:r>
      <w:r>
        <w:rPr>
          <w:rFonts w:ascii="Arial" w:hAnsi="Arial"/>
          <w:sz w:val="22"/>
        </w:rPr>
        <w:t xml:space="preserve">comuns ao bairro ainda impedem leitura causal do coeficiente contextual.</w:t>
      </w:r>
    </w:p>
    <w:p>
      <w:pPr>
        <w:numPr>
          <w:ilvl w:val="0"/>
          <w:numId w:val="1001"/>
        </w:numPr>
        <w:spacing w:line="360" w:lineRule="auto" w:after="0"/>
        <w:ind w:firstLine="709"/>
        <w:jc w:val="both"/>
      </w:pPr>
      <w:r>
        <w:rPr>
          <w:rFonts w:ascii="Arial" w:hAnsi="Arial"/>
          <w:b/>
          <w:bCs/>
          <w:sz w:val="22"/>
        </w:rPr>
        <w:t xml:space="preserve">Efeitos aleatórios.</w:t>
      </w:r>
      <w:r>
        <w:rPr>
          <w:rFonts w:ascii="Arial" w:hAnsi="Arial"/>
          <w:sz w:val="22"/>
        </w:rPr>
        <w:t xml:space="preserve"> </w:t>
      </w:r>
      <w:r>
        <w:rPr>
          <w:rFonts w:ascii="Arial" w:hAnsi="Arial"/>
          <w:sz w:val="22"/>
        </w:rPr>
        <w:t xml:space="preserve">O HLM e o GLMM supõem que o efeito de bairro não é</w:t>
      </w:r>
      <w:r>
        <w:rPr>
          <w:rFonts w:ascii="Arial" w:hAnsi="Arial"/>
          <w:sz w:val="22"/>
        </w:rPr>
        <w:t xml:space="preserve"> </w:t>
      </w:r>
      <w:r>
        <w:rPr>
          <w:rFonts w:ascii="Arial" w:hAnsi="Arial"/>
          <w:sz w:val="22"/>
        </w:rPr>
        <w:t xml:space="preserve">correlacionado com os regressores. Como contraprova, todos os coeficientes foram</w:t>
      </w:r>
      <w:r>
        <w:rPr>
          <w:rFonts w:ascii="Arial" w:hAnsi="Arial"/>
          <w:sz w:val="22"/>
        </w:rPr>
        <w:t xml:space="preserve"> </w:t>
      </w:r>
      <w:r>
        <w:rPr>
          <w:rFonts w:ascii="Arial" w:hAnsi="Arial"/>
          <w:sz w:val="22"/>
        </w:rPr>
        <w:t xml:space="preserve">reestimados com efeitos fixos de UF e erro-padrão agrupado por UPA, com as mesmas</w:t>
      </w:r>
      <w:r>
        <w:rPr>
          <w:rFonts w:ascii="Arial" w:hAnsi="Arial"/>
          <w:sz w:val="22"/>
        </w:rPr>
        <w:t xml:space="preserve"> </w:t>
      </w:r>
      <w:r>
        <w:rPr>
          <w:rFonts w:ascii="Arial" w:hAnsi="Arial"/>
          <w:sz w:val="22"/>
        </w:rPr>
        <w:t xml:space="preserve">conclusões (Subseção</w:t>
      </w:r>
      <w:r>
        <w:rPr>
          <w:rFonts w:ascii="Arial" w:hAnsi="Arial"/>
          <w:sz w:val="22"/>
        </w:rPr>
        <w:t xml:space="preserve"> </w:t>
      </w:r>
      <w:r>
        <w:rPr>
          <w:rFonts w:ascii="Arial" w:hAnsi="Arial"/>
          <w:sz w:val="22"/>
        </w:rPr>
        <w:t xml:space="preserve">“Inferência: erros-padrão agrupados, poucos clusters e pesos”</w:t>
      </w:r>
      <w:r>
        <w:rPr>
          <w:rFonts w:ascii="Arial" w:hAnsi="Arial"/>
          <w:sz w:val="22"/>
        </w:rPr>
        <w:t xml:space="preserve">).</w:t>
      </w:r>
    </w:p>
    <w:p>
      <w:pPr>
        <w:numPr>
          <w:ilvl w:val="0"/>
          <w:numId w:val="1001"/>
        </w:numPr>
        <w:spacing w:line="360" w:lineRule="auto" w:after="0"/>
        <w:ind w:firstLine="709"/>
        <w:jc w:val="both"/>
      </w:pPr>
      <w:r>
        <w:rPr>
          <w:rFonts w:ascii="Arial" w:hAnsi="Arial"/>
          <w:b/>
          <w:bCs/>
          <w:sz w:val="22"/>
        </w:rPr>
        <w:t xml:space="preserve">Pesos e desenho amostral.</w:t>
      </w:r>
      <w:r>
        <w:rPr>
          <w:rFonts w:ascii="Arial" w:hAnsi="Arial"/>
          <w:sz w:val="22"/>
        </w:rPr>
        <w:t xml:space="preserve"> </w:t>
      </w:r>
      <w:r>
        <w:rPr>
          <w:rFonts w:ascii="Arial" w:hAnsi="Arial"/>
          <w:sz w:val="22"/>
        </w:rPr>
        <w:t xml:space="preserve">As estimativas são não ponderadas: descrevem a</w:t>
      </w:r>
      <w:r>
        <w:rPr>
          <w:rFonts w:ascii="Arial" w:hAnsi="Arial"/>
          <w:sz w:val="22"/>
        </w:rPr>
        <w:t xml:space="preserve"> </w:t>
      </w:r>
      <w:r>
        <w:rPr>
          <w:rFonts w:ascii="Arial" w:hAnsi="Arial"/>
          <w:sz w:val="22"/>
        </w:rPr>
        <w:t xml:space="preserve">regressão na amostra. A robustez ponderada pelo peso da PNAD muda o gap em cerca de</w:t>
      </w:r>
      <w:r>
        <w:rPr>
          <w:rFonts w:ascii="Arial" w:hAnsi="Arial"/>
          <w:sz w:val="22"/>
        </w:rPr>
        <w:t xml:space="preserve"> </w:t>
      </w:r>
      <w:r>
        <w:rPr>
          <w:rFonts w:ascii="Arial" w:hAnsi="Arial"/>
          <w:sz w:val="22"/>
        </w:rPr>
        <w:t xml:space="preserve">meio ponto percentual.</w:t>
      </w:r>
    </w:p>
    <w:p>
      <w:pPr>
        <w:numPr>
          <w:ilvl w:val="0"/>
          <w:numId w:val="1001"/>
        </w:numPr>
        <w:spacing w:line="360" w:lineRule="auto" w:after="0"/>
        <w:ind w:firstLine="709"/>
        <w:jc w:val="both"/>
      </w:pPr>
      <w:r>
        <w:rPr>
          <w:rFonts w:ascii="Arial" w:hAnsi="Arial"/>
          <w:b/>
          <w:bCs/>
          <w:sz w:val="22"/>
        </w:rPr>
        <w:t xml:space="preserve">Correlação intragrupo.</w:t>
      </w:r>
      <w:r>
        <w:rPr>
          <w:rFonts w:ascii="Arial" w:hAnsi="Arial"/>
          <w:sz w:val="22"/>
        </w:rPr>
        <w:t xml:space="preserve"> </w:t>
      </w:r>
      <w:r>
        <w:rPr>
          <w:rFonts w:ascii="Arial" w:hAnsi="Arial"/>
          <w:sz w:val="22"/>
        </w:rPr>
        <w:t xml:space="preserve">Ignorá-la subestimaria os erros-padrão (Moulton);</w:t>
      </w:r>
      <w:r>
        <w:rPr>
          <w:rFonts w:ascii="Arial" w:hAnsi="Arial"/>
          <w:sz w:val="22"/>
        </w:rPr>
        <w:t xml:space="preserve"> </w:t>
      </w:r>
      <w:r>
        <w:rPr>
          <w:rFonts w:ascii="Arial" w:hAnsi="Arial"/>
          <w:sz w:val="22"/>
        </w:rPr>
        <w:t xml:space="preserve">todos os modelos reportam erro-padrão agrupado por UPA ou o modelam por efeito</w:t>
      </w:r>
      <w:r>
        <w:rPr>
          <w:rFonts w:ascii="Arial" w:hAnsi="Arial"/>
          <w:sz w:val="22"/>
        </w:rPr>
        <w:t xml:space="preserve"> </w:t>
      </w:r>
      <w:r>
        <w:rPr>
          <w:rFonts w:ascii="Arial" w:hAnsi="Arial"/>
          <w:sz w:val="22"/>
        </w:rPr>
        <w:t xml:space="preserve">aleatório, e o agrupamento por UF usa</w:t>
      </w:r>
      <w:r>
        <w:rPr>
          <w:rFonts w:ascii="Arial" w:hAnsi="Arial"/>
          <w:sz w:val="22"/>
        </w:rPr>
        <w:t xml:space="preserve"> </w:t>
      </w:r>
      <m:oMath>
        <m:r>
          <m:t>t</m:t>
        </m:r>
      </m:oMath>
      <w:r>
        <w:rPr>
          <w:rFonts w:ascii="Arial" w:hAnsi="Arial"/>
          <w:sz w:val="22"/>
        </w:rPr>
        <w:t xml:space="preserve"> </w:t>
      </w:r>
      <w:r>
        <w:rPr>
          <w:rFonts w:ascii="Arial" w:hAnsi="Arial"/>
          <w:sz w:val="22"/>
        </w:rPr>
        <w:t xml:space="preserve">com</w:t>
      </w:r>
      <w:r>
        <w:rPr>
          <w:rFonts w:ascii="Arial" w:hAnsi="Arial"/>
          <w:sz w:val="22"/>
        </w:rPr>
        <w:t xml:space="preserve"> </w:t>
      </w:r>
      <m:oMath>
        <m:r>
          <m:t>G</m:t>
        </m:r>
        <m:r>
          <m:rPr>
            <m:sty m:val="p"/>
          </m:rPr>
          <m:t>−</m:t>
        </m:r>
        <m:r>
          <m:t>1</m:t>
        </m:r>
      </m:oMath>
      <w:r>
        <w:rPr>
          <w:rFonts w:ascii="Arial" w:hAnsi="Arial"/>
          <w:sz w:val="22"/>
        </w:rPr>
        <w:t xml:space="preserve"> </w:t>
      </w:r>
      <w:r>
        <w:rPr>
          <w:rFonts w:ascii="Arial" w:hAnsi="Arial"/>
          <w:sz w:val="22"/>
        </w:rPr>
        <w:t xml:space="preserve">graus de liberdade.</w:t>
      </w:r>
    </w:p>
    <w:p>
      <w:pPr>
        <w:numPr>
          <w:ilvl w:val="0"/>
          <w:numId w:val="1001"/>
        </w:numPr>
        <w:spacing w:line="360" w:lineRule="auto" w:after="0"/>
        <w:ind w:firstLine="709"/>
        <w:jc w:val="both"/>
      </w:pPr>
      <w:r>
        <w:rPr>
          <w:rFonts w:ascii="Arial" w:hAnsi="Arial"/>
          <w:b/>
          <w:bCs/>
          <w:sz w:val="22"/>
        </w:rPr>
        <w:t xml:space="preserve">Significância com</w:t>
      </w:r>
      <w:r>
        <w:rPr>
          <w:rFonts w:ascii="Arial" w:hAnsi="Arial"/>
          <w:b/>
          <w:bCs/>
          <w:sz w:val="22"/>
        </w:rPr>
        <w:t xml:space="preserve"> </w:t>
      </w:r>
      <m:oMath>
        <m:r>
          <m:t>N</m:t>
        </m:r>
      </m:oMath>
      <w:r>
        <w:rPr>
          <w:rFonts w:ascii="Arial" w:hAnsi="Arial"/>
          <w:b/>
          <w:bCs/>
          <w:sz w:val="22"/>
        </w:rPr>
        <w:t xml:space="preserve"> </w:t>
      </w:r>
      <w:r>
        <w:rPr>
          <w:rFonts w:ascii="Arial" w:hAnsi="Arial"/>
          <w:b/>
          <w:bCs/>
          <w:sz w:val="22"/>
        </w:rPr>
        <w:t xml:space="preserve">grande.</w:t>
      </w:r>
      <w:r>
        <w:rPr>
          <w:rFonts w:ascii="Arial" w:hAnsi="Arial"/>
          <w:sz w:val="22"/>
        </w:rPr>
        <w:t xml:space="preserve"> </w:t>
      </w:r>
      <w:r>
        <w:rPr>
          <w:rFonts w:ascii="Arial" w:hAnsi="Arial"/>
          <w:sz w:val="22"/>
        </w:rPr>
        <w:t xml:space="preserve">Com 7</w:t>
      </w:r>
      <w:r>
        <w:rPr>
          <w:rFonts w:ascii="Arial" w:hAnsi="Arial"/>
          <w:sz w:val="22"/>
        </w:rPr>
        <w:t xml:space="preserve">,</w:t>
      </w:r>
      <w:r>
        <w:rPr>
          <w:rFonts w:ascii="Arial" w:hAnsi="Arial"/>
          <w:sz w:val="22"/>
        </w:rPr>
        <w:t xml:space="preserve">7 milhões de observações, quase tudo é</w:t>
      </w:r>
      <w:r>
        <w:rPr>
          <w:rFonts w:ascii="Arial" w:hAnsi="Arial"/>
          <w:sz w:val="22"/>
        </w:rPr>
        <w:t xml:space="preserve"> </w:t>
      </w:r>
      <w:r>
        <w:rPr>
          <w:rFonts w:ascii="Arial" w:hAnsi="Arial"/>
          <w:sz w:val="22"/>
        </w:rPr>
        <w:t xml:space="preserve">“significativo”</w:t>
      </w:r>
      <w:r>
        <w:rPr>
          <w:rFonts w:ascii="Arial" w:hAnsi="Arial"/>
          <w:sz w:val="22"/>
        </w:rPr>
        <w:t xml:space="preserve">; a leitura privilegia magnitude, intervalos de confiança e E-values,</w:t>
      </w:r>
      <w:r>
        <w:rPr>
          <w:rFonts w:ascii="Arial" w:hAnsi="Arial"/>
          <w:sz w:val="22"/>
        </w:rPr>
        <w:t xml:space="preserve"> </w:t>
      </w:r>
      <w:r>
        <w:rPr>
          <w:rFonts w:ascii="Arial" w:hAnsi="Arial"/>
          <w:sz w:val="22"/>
        </w:rPr>
        <w:t xml:space="preserve">não asteriscos.</w:t>
      </w:r>
    </w:p>
    <w:p>
      <w:pPr>
        <w:pStyle w:val="FirstParagraph"/>
        <w:spacing w:line="360" w:lineRule="auto" w:after="0"/>
        <w:ind w:firstLine="709"/>
        <w:jc w:val="both"/>
      </w:pPr>
      <w:r>
        <w:rPr>
          <w:rFonts w:ascii="Arial" w:hAnsi="Arial"/>
          <w:b/>
          <w:bCs/>
          <w:sz w:val="22"/>
        </w:rPr>
        <w:t xml:space="preserve">Desenho transversal e direções futuras.</w:t>
      </w:r>
      <w:r>
        <w:rPr>
          <w:rFonts w:ascii="Arial" w:hAnsi="Arial"/>
          <w:sz w:val="22"/>
        </w:rPr>
        <w:t xml:space="preserve"> </w:t>
      </w:r>
      <w:r>
        <w:rPr>
          <w:rFonts w:ascii="Arial" w:hAnsi="Arial"/>
          <w:sz w:val="22"/>
        </w:rPr>
        <w:t xml:space="preserve">O caráter transversal do painel público impede a análise de trajetórias</w:t>
      </w:r>
      <w:r>
        <w:rPr>
          <w:rFonts w:ascii="Arial" w:hAnsi="Arial"/>
          <w:sz w:val="22"/>
        </w:rPr>
        <w:t xml:space="preserve"> </w:t>
      </w:r>
      <w:r>
        <w:rPr>
          <w:rFonts w:ascii="Arial" w:hAnsi="Arial"/>
          <w:sz w:val="22"/>
        </w:rPr>
        <w:t xml:space="preserve">individuais; o painel rotativo completo com microdado identificado e a extensão</w:t>
      </w:r>
      <w:r>
        <w:rPr>
          <w:rFonts w:ascii="Arial" w:hAnsi="Arial"/>
          <w:sz w:val="22"/>
        </w:rPr>
        <w:t xml:space="preserve"> </w:t>
      </w:r>
      <w:r>
        <w:rPr>
          <w:rFonts w:ascii="Arial" w:hAnsi="Arial"/>
          <w:sz w:val="22"/>
        </w:rPr>
        <w:t xml:space="preserve">à RAIS permitiriam investigar mobilidade e o teto de vidro em cargos de liderança</w:t>
      </w:r>
      <w:r>
        <w:rPr>
          <w:rFonts w:ascii="Arial" w:hAnsi="Arial"/>
          <w:sz w:val="22"/>
        </w:rPr>
        <w:t xml:space="preserve"> </w:t>
      </w:r>
      <w:r>
        <w:rPr>
          <w:rFonts w:ascii="Arial" w:hAnsi="Arial"/>
          <w:sz w:val="22"/>
        </w:rPr>
        <w:t xml:space="preserve">com identificação de firma. A análise de redes de co-residência, a tipologia</w:t>
      </w:r>
      <w:r>
        <w:rPr>
          <w:rFonts w:ascii="Arial" w:hAnsi="Arial"/>
          <w:sz w:val="22"/>
        </w:rPr>
        <w:t xml:space="preserve"> </w:t>
      </w:r>
      <w:r>
        <w:rPr>
          <w:rFonts w:ascii="Arial" w:hAnsi="Arial"/>
          <w:sz w:val="22"/>
        </w:rPr>
        <w:t xml:space="preserve">por agrupamento e a priorização de políticas por pesquisa operacional,</w:t>
      </w:r>
      <w:r>
        <w:rPr>
          <w:rFonts w:ascii="Arial" w:hAnsi="Arial"/>
          <w:sz w:val="22"/>
        </w:rPr>
        <w:t xml:space="preserve"> </w:t>
      </w:r>
      <w:r>
        <w:rPr>
          <w:rFonts w:ascii="Arial" w:hAnsi="Arial"/>
          <w:sz w:val="22"/>
        </w:rPr>
        <w:t xml:space="preserve">desenvolvidas em versão estendida deste trabalho, ficam como agenda. Também fica</w:t>
      </w:r>
      <w:r>
        <w:rPr>
          <w:rFonts w:ascii="Arial" w:hAnsi="Arial"/>
          <w:sz w:val="22"/>
        </w:rPr>
        <w:t xml:space="preserve"> </w:t>
      </w:r>
      <w:r>
        <w:rPr>
          <w:rFonts w:ascii="Arial" w:hAnsi="Arial"/>
          <w:sz w:val="22"/>
        </w:rPr>
        <w:t xml:space="preserve">como agenda o uso de texto livre: a PNAD divulga ocupação e atividade já codificadas</w:t>
      </w:r>
      <w:r>
        <w:rPr>
          <w:rFonts w:ascii="Arial" w:hAnsi="Arial"/>
          <w:sz w:val="22"/>
        </w:rPr>
        <w:t xml:space="preserve"> </w:t>
      </w:r>
      <w:r>
        <w:rPr>
          <w:rFonts w:ascii="Arial" w:hAnsi="Arial"/>
          <w:sz w:val="22"/>
        </w:rPr>
        <w:t xml:space="preserve">(CBO e CNAE Domiciliar), sem o relato aberto da entrevista, de modo que técnicas de</w:t>
      </w:r>
      <w:r>
        <w:rPr>
          <w:rFonts w:ascii="Arial" w:hAnsi="Arial"/>
          <w:sz w:val="22"/>
        </w:rPr>
        <w:t xml:space="preserve"> </w:t>
      </w:r>
      <w:r>
        <w:rPr>
          <w:rFonts w:ascii="Arial" w:hAnsi="Arial"/>
          <w:sz w:val="22"/>
        </w:rPr>
        <w:t xml:space="preserve">processamento de linguagem natural não têm aqui onde se aplicar. Bases que associam</w:t>
      </w:r>
      <w:r>
        <w:rPr>
          <w:rFonts w:ascii="Arial" w:hAnsi="Arial"/>
          <w:sz w:val="22"/>
        </w:rPr>
        <w:t xml:space="preserve"> </w:t>
      </w:r>
      <w:r>
        <w:rPr>
          <w:rFonts w:ascii="Arial" w:hAnsi="Arial"/>
          <w:sz w:val="22"/>
        </w:rPr>
        <w:t xml:space="preserve">texto a indivíduos — descrições de cargo em registros administrativos, anúncios de</w:t>
      </w:r>
      <w:r>
        <w:rPr>
          <w:rFonts w:ascii="Arial" w:hAnsi="Arial"/>
          <w:sz w:val="22"/>
        </w:rPr>
        <w:t xml:space="preserve"> </w:t>
      </w:r>
      <w:r>
        <w:rPr>
          <w:rFonts w:ascii="Arial" w:hAnsi="Arial"/>
          <w:sz w:val="22"/>
        </w:rPr>
        <w:t xml:space="preserve">vaga e currículos, como nos experimentos de auditoria</w:t>
      </w:r>
      <w:r>
        <w:rPr>
          <w:rFonts w:ascii="Arial" w:hAnsi="Arial"/>
          <w:sz w:val="22"/>
        </w:rPr>
        <w:t xml:space="preserve"> </w:t>
      </w:r>
      <w:r>
        <w:rPr>
          <w:rFonts w:ascii="Arial" w:hAnsi="Arial"/>
          <w:sz w:val="22"/>
        </w:rPr>
        <w:t xml:space="preserve">(Pager, 2007)</w:t>
      </w:r>
      <w:r>
        <w:rPr>
          <w:rFonts w:ascii="Arial" w:hAnsi="Arial"/>
          <w:sz w:val="22"/>
        </w:rPr>
        <w:t xml:space="preserve"> </w:t>
      </w:r>
      <w:r>
        <w:rPr>
          <w:rFonts w:ascii="Arial" w:hAnsi="Arial"/>
          <w:sz w:val="22"/>
        </w:rPr>
        <w:t xml:space="preserve">— permitiriam</w:t>
      </w:r>
      <w:r>
        <w:rPr>
          <w:rFonts w:ascii="Arial" w:hAnsi="Arial"/>
          <w:sz w:val="22"/>
        </w:rPr>
        <w:t xml:space="preserve"> </w:t>
      </w:r>
      <w:r>
        <w:rPr>
          <w:rFonts w:ascii="Arial" w:hAnsi="Arial"/>
          <w:sz w:val="22"/>
        </w:rPr>
        <w:t xml:space="preserve">medir o conteúdo das funções e a triagem na contratação, que os códigos ocupacionais</w:t>
      </w:r>
      <w:r>
        <w:rPr>
          <w:rFonts w:ascii="Arial" w:hAnsi="Arial"/>
          <w:sz w:val="22"/>
        </w:rPr>
        <w:t xml:space="preserve"> </w:t>
      </w:r>
      <w:r>
        <w:rPr>
          <w:rFonts w:ascii="Arial" w:hAnsi="Arial"/>
          <w:sz w:val="22"/>
        </w:rPr>
        <w:t xml:space="preserve">não captam. A descrição oficial dos códigos não supriria essa lacuna: seria a</w:t>
      </w:r>
      <w:r>
        <w:rPr>
          <w:rFonts w:ascii="Arial" w:hAnsi="Arial"/>
          <w:sz w:val="22"/>
        </w:rPr>
        <w:t xml:space="preserve"> </w:t>
      </w:r>
      <w:r>
        <w:rPr>
          <w:rFonts w:ascii="Arial" w:hAnsi="Arial"/>
          <w:sz w:val="22"/>
        </w:rPr>
        <w:t xml:space="preserve">ocupação de novo, um</w:t>
      </w:r>
      <w:r>
        <w:rPr>
          <w:rFonts w:ascii="Arial" w:hAnsi="Arial"/>
          <w:sz w:val="22"/>
        </w:rPr>
        <w:t xml:space="preserve"> </w:t>
      </w:r>
      <w:r>
        <w:rPr>
          <w:rFonts w:ascii="Arial" w:hAnsi="Arial"/>
          <w:sz w:val="22"/>
        </w:rPr>
        <w:t xml:space="preserve">bad control</w:t>
      </w:r>
      <w:r>
        <w:rPr>
          <w:rFonts w:ascii="Arial" w:hAnsi="Arial"/>
          <w:sz w:val="22"/>
        </w:rPr>
        <w:t xml:space="preserve"> </w:t>
      </w:r>
      <w:r>
        <w:rPr>
          <w:rFonts w:ascii="Arial" w:hAnsi="Arial"/>
          <w:sz w:val="22"/>
        </w:rPr>
        <w:t xml:space="preserve">no modelo de rendimento e o próprio desfecho</w:t>
      </w:r>
      <w:r>
        <w:rPr>
          <w:rFonts w:ascii="Arial" w:hAnsi="Arial"/>
          <w:sz w:val="22"/>
        </w:rPr>
        <w:t xml:space="preserve"> </w:t>
      </w:r>
      <w:r>
        <w:rPr>
          <w:rFonts w:ascii="Arial" w:hAnsi="Arial"/>
          <w:sz w:val="22"/>
        </w:rPr>
        <w:t xml:space="preserve">no de acesso. Fica ainda como agenda relacionar a penalidade estimada em cada estado</w:t>
      </w:r>
      <w:r>
        <w:rPr>
          <w:rFonts w:ascii="Arial" w:hAnsi="Arial"/>
          <w:sz w:val="22"/>
        </w:rPr>
        <w:t xml:space="preserve"> </w:t>
      </w:r>
      <w:r>
        <w:rPr>
          <w:rFonts w:ascii="Arial" w:hAnsi="Arial"/>
          <w:sz w:val="22"/>
        </w:rPr>
        <w:t xml:space="preserve">à presença de pretos e pardos nos cargos eletivos, que a Justiça Eleitoral registra</w:t>
      </w:r>
      <w:r>
        <w:rPr>
          <w:rFonts w:ascii="Arial" w:hAnsi="Arial"/>
          <w:sz w:val="22"/>
        </w:rPr>
        <w:t xml:space="preserve"> </w:t>
      </w:r>
      <w:r>
        <w:rPr>
          <w:rFonts w:ascii="Arial" w:hAnsi="Arial"/>
          <w:sz w:val="22"/>
        </w:rPr>
        <w:t xml:space="preserve">por cor ou raça desde 2014: a sub-representação negra no comando político seria a</w:t>
      </w:r>
      <w:r>
        <w:rPr>
          <w:rFonts w:ascii="Arial" w:hAnsi="Arial"/>
          <w:sz w:val="22"/>
        </w:rPr>
        <w:t xml:space="preserve"> </w:t>
      </w:r>
      <w:r>
        <w:rPr>
          <w:rFonts w:ascii="Arial" w:hAnsi="Arial"/>
          <w:sz w:val="22"/>
        </w:rPr>
        <w:t xml:space="preserve">face institucional do teto de vidro aqui medido</w:t>
      </w:r>
      <w:r>
        <w:rPr>
          <w:rFonts w:ascii="Arial" w:hAnsi="Arial"/>
          <w:sz w:val="22"/>
        </w:rPr>
        <w:t xml:space="preserve"> </w:t>
      </w:r>
      <w:r>
        <w:rPr>
          <w:rFonts w:ascii="Arial" w:hAnsi="Arial"/>
          <w:sz w:val="22"/>
        </w:rPr>
        <w:t xml:space="preserve">(Almeida, 2019)</w:t>
      </w:r>
      <w:r>
        <w:rPr>
          <w:rFonts w:ascii="Arial" w:hAnsi="Arial"/>
          <w:sz w:val="22"/>
        </w:rPr>
        <w:t xml:space="preserve">, mas, com uma</w:t>
      </w:r>
      <w:r>
        <w:rPr>
          <w:rFonts w:ascii="Arial" w:hAnsi="Arial"/>
          <w:sz w:val="22"/>
        </w:rPr>
        <w:t xml:space="preserve"> </w:t>
      </w:r>
      <w:r>
        <w:rPr>
          <w:rFonts w:ascii="Arial" w:hAnsi="Arial"/>
          <w:sz w:val="22"/>
        </w:rPr>
        <w:t xml:space="preserve">observação por estado, a comparação seria apenas ecológica.</w:t>
      </w:r>
    </w:p>
    <w:bookmarkEnd w:id="127"/>
    <w:bookmarkStart w:id="128" w:name="X6e5363a2ea64c40705be1be4ad3b57716cacb0d"/>
    <w:p>
      <w:pPr>
        <w:pStyle w:val="Ttulo2"/>
        <w:spacing w:line="360" w:lineRule="auto" w:before="280" w:after="280"/>
        <w:ind w:firstLine="709"/>
        <w:jc w:val="left"/>
      </w:pPr>
      <w:r>
        <w:rPr>
          <w:rFonts w:ascii="Arial" w:hAnsi="Arial"/>
          <w:b/>
          <w:sz w:val="22"/>
        </w:rPr>
        <w:t xml:space="preserve">Declaração de uso de inteligência artificial</w:t>
      </w:r>
    </w:p>
    <w:p>
      <w:pPr>
        <w:pStyle w:val="FirstParagraph"/>
        <w:spacing w:line="360" w:lineRule="auto" w:after="0"/>
        <w:ind w:firstLine="709"/>
        <w:jc w:val="both"/>
      </w:pPr>
      <w:r>
        <w:rPr>
          <w:rFonts w:ascii="Arial" w:hAnsi="Arial"/>
          <w:sz w:val="22"/>
        </w:rPr>
        <w:t xml:space="preserve">Na elaboração deste trabalho foram utilizadas ferramentas de inteligência</w:t>
      </w:r>
      <w:r>
        <w:rPr>
          <w:rFonts w:ascii="Arial" w:hAnsi="Arial"/>
          <w:sz w:val="22"/>
        </w:rPr>
        <w:t xml:space="preserve"> </w:t>
      </w:r>
      <w:r>
        <w:rPr>
          <w:rFonts w:ascii="Arial" w:hAnsi="Arial"/>
          <w:sz w:val="22"/>
        </w:rPr>
        <w:t xml:space="preserve">artificial (Claude Code, da Anthropic) como apoio à implementação e depuração de</w:t>
      </w:r>
      <w:r>
        <w:rPr>
          <w:rFonts w:ascii="Arial" w:hAnsi="Arial"/>
          <w:sz w:val="22"/>
        </w:rPr>
        <w:t xml:space="preserve"> </w:t>
      </w:r>
      <w:r>
        <w:rPr>
          <w:rFonts w:ascii="Arial" w:hAnsi="Arial"/>
          <w:sz w:val="22"/>
        </w:rPr>
        <w:t xml:space="preserve">código (Python e R), à geração de figuras e tabelas e à formatação dos documentos.</w:t>
      </w:r>
      <w:r>
        <w:rPr>
          <w:rFonts w:ascii="Arial" w:hAnsi="Arial"/>
          <w:sz w:val="22"/>
        </w:rPr>
        <w:t xml:space="preserve"> </w:t>
      </w:r>
      <w:r>
        <w:rPr>
          <w:rFonts w:ascii="Arial" w:hAnsi="Arial"/>
          <w:sz w:val="22"/>
        </w:rPr>
        <w:t xml:space="preserve">A concepção da pesquisa, a escolha das metodologias, a interpretação dos resultados</w:t>
      </w:r>
      <w:r>
        <w:rPr>
          <w:rFonts w:ascii="Arial" w:hAnsi="Arial"/>
          <w:sz w:val="22"/>
        </w:rPr>
        <w:t xml:space="preserve"> </w:t>
      </w:r>
      <w:r>
        <w:rPr>
          <w:rFonts w:ascii="Arial" w:hAnsi="Arial"/>
          <w:sz w:val="22"/>
        </w:rPr>
        <w:t xml:space="preserve">e a redação final são de responsabilidade do autor, que revisou, validou e responde</w:t>
      </w:r>
      <w:r>
        <w:rPr>
          <w:rFonts w:ascii="Arial" w:hAnsi="Arial"/>
          <w:sz w:val="22"/>
        </w:rPr>
        <w:t xml:space="preserve"> </w:t>
      </w:r>
      <w:r>
        <w:rPr>
          <w:rFonts w:ascii="Arial" w:hAnsi="Arial"/>
          <w:sz w:val="22"/>
        </w:rPr>
        <w:t xml:space="preserve">por todo o conteúdo.</w:t>
      </w:r>
    </w:p>
    <w:bookmarkEnd w:id="128"/>
    <w:bookmarkEnd w:id="129"/>
    <w:bookmarkStart w:id="130" w:name="conclusão"/>
    <w:p>
      <w:pPr>
        <w:pStyle w:val="Heading1"/>
        <w:spacing w:line="360" w:lineRule="auto" w:before="280" w:after="280"/>
        <w:ind w:firstLine="0" w:left="0"/>
        <w:jc w:val="left"/>
      </w:pPr>
      <w:r>
        <w:rPr>
          <w:rFonts w:ascii="Arial" w:hAnsi="Arial"/>
          <w:b/>
          <w:sz w:val="22"/>
        </w:rPr>
        <w:t xml:space="preserve">Conclusão</w:t>
      </w:r>
    </w:p>
    <w:p>
      <w:pPr>
        <w:pStyle w:val="FirstParagraph"/>
        <w:spacing w:line="360" w:lineRule="auto" w:after="0"/>
        <w:ind w:firstLine="709"/>
        <w:jc w:val="both"/>
      </w:pPr>
      <w:r>
        <w:rPr>
          <w:rFonts w:ascii="Arial" w:hAnsi="Arial"/>
          <w:sz w:val="22"/>
        </w:rPr>
        <w:t xml:space="preserve">A desigualdade racial no mercado de trabalho brasileiro apresentou as marcas do racismo estrutural. Persistiu: com a mesma escolaridade, idade, sexo e bairro, trabalhadores negros ganharam 6,1% a menos, e 5,6% dentro da mesma ocupação. Passou por estruturas: o bairro mediou 39,5% do diferencial agregado, e as chances de chegar a um cargo qualificado foram 19% menores. Acumulou-se rumo ao topo: a penalidade condicional subiu de 4,3% na base para 8,4% no nono decil. A mulher negra entrou pelas ocupações feminizadas, mas foi o grupo com menor chance de chegar ao comando. A penalidade foi maior para pretos (7,4%) que para pardos (5,8%) e cresceu com a idade. O diploma quase igualou o salário (1,1% na pós-graduação), mas não a porta: as chances de acesso seguiram 23% menores. As três hipóteses encontraram respaldo.</w:t>
      </w:r>
    </w:p>
    <w:p>
      <w:pPr>
        <w:pStyle w:val="BodyText"/>
        <w:spacing w:line="360" w:lineRule="auto" w:after="0"/>
        <w:ind w:firstLine="709"/>
        <w:jc w:val="both"/>
      </w:pPr>
      <w:r>
        <w:rPr>
          <w:rFonts w:ascii="Arial" w:hAnsi="Arial"/>
          <w:sz w:val="22"/>
        </w:rPr>
        <w:t xml:space="preserve">Esses resultados indicam limites da política de diversidade vigente. As cotas atuam no ingresso, mas a desvantagem cresce onde se decide a ascensão. No setor público, a porta do cargo qualificado foi tão desigual quanto no privado; o teto pesou menos. A educação reduz a penalidade salarial, mas não abre a porta. O território não entra nos critérios, embora carregue parte do diferencial. Metas separadas por raça e por gênero não alcançam a mulher negra no comando. As prioridades sugeridas são metas de representação em cargos de direção com recorte interseccional, igualdade salarial por raça como obrigação fiscalizada, ação territorial nos bairros de maior proporção de população negra e monitoramento anual destes indicadores. Os resultados são associações condicionais, não efeitos causais, e as propostas são agenda, não efeito estimado.</w:t>
      </w:r>
    </w:p>
    <w:bookmarkEnd w:id="130"/>
    <w:bookmarkStart w:id="177" w:name="referências"/>
    <w:p>
      <w:pPr>
        <w:pStyle w:val="Heading1"/>
        <w:spacing w:line="360" w:lineRule="auto" w:before="280" w:after="280"/>
        <w:ind w:firstLine="0" w:left="0"/>
        <w:jc w:val="left"/>
      </w:pPr>
      <w:r>
        <w:rPr>
          <w:rFonts w:ascii="Arial" w:hAnsi="Arial"/>
          <w:b/>
          <w:sz w:val="22"/>
        </w:rPr>
        <w:t xml:space="preserve">Referências</w:t>
      </w:r>
    </w:p>
    <w:bookmarkStart w:id="176" w:name="refs"/>
    <w:bookmarkStart w:id="131" w:name="ref-almeida2019"/>
    <w:p>
      <w:pPr>
        <w:pStyle w:val="Bibliography"/>
        <w:spacing w:line="240" w:lineRule="auto" w:before="0" w:after="120"/>
        <w:ind w:firstLine="0" w:left="0"/>
        <w:jc w:val="left"/>
      </w:pPr>
      <w:r>
        <w:rPr>
          <w:rFonts w:ascii="Arial" w:hAnsi="Arial"/>
          <w:sz w:val="22"/>
        </w:rPr>
        <w:t xml:space="preserve">ALMEIDA, Silvio Luiz de.</w:t>
      </w:r>
      <w:r>
        <w:rPr>
          <w:rFonts w:ascii="Arial" w:hAnsi="Arial"/>
          <w:sz w:val="22"/>
        </w:rPr>
        <w:t xml:space="preserve"> </w:t>
      </w:r>
      <w:r>
        <w:rPr>
          <w:rFonts w:ascii="Arial" w:hAnsi="Arial"/>
          <w:b/>
          <w:bCs/>
          <w:sz w:val="22"/>
        </w:rPr>
        <w:t xml:space="preserve">Racismo Estrutural</w:t>
      </w:r>
      <w:r>
        <w:rPr>
          <w:rFonts w:ascii="Arial" w:hAnsi="Arial"/>
          <w:sz w:val="22"/>
        </w:rPr>
        <w:t xml:space="preserve">. S</w:t>
      </w:r>
      <w:r>
        <w:rPr>
          <w:rFonts w:ascii="Arial" w:hAnsi="Arial"/>
          <w:sz w:val="22"/>
        </w:rPr>
        <w:t xml:space="preserve">ã</w:t>
      </w:r>
      <w:r>
        <w:rPr>
          <w:rFonts w:ascii="Arial" w:hAnsi="Arial"/>
          <w:sz w:val="22"/>
        </w:rPr>
        <w:t xml:space="preserve">o Paulo: Janda</w:t>
      </w:r>
      <w:r>
        <w:rPr>
          <w:rFonts w:ascii="Arial" w:hAnsi="Arial"/>
          <w:sz w:val="22"/>
        </w:rPr>
        <w:t xml:space="preserve">í</w:t>
      </w:r>
      <w:r>
        <w:rPr>
          <w:rFonts w:ascii="Arial" w:hAnsi="Arial"/>
          <w:sz w:val="22"/>
        </w:rPr>
        <w:t xml:space="preserve">ra, 2019.</w:t>
      </w:r>
    </w:p>
    <w:bookmarkEnd w:id="131"/>
    <w:bookmarkStart w:id="132" w:name="ref-angrist2009"/>
    <w:p>
      <w:pPr>
        <w:pStyle w:val="Bibliography"/>
        <w:spacing w:line="240" w:lineRule="auto" w:before="0" w:after="120"/>
        <w:ind w:firstLine="0" w:left="0"/>
        <w:jc w:val="left"/>
      </w:pPr>
      <w:r>
        <w:rPr>
          <w:rFonts w:ascii="Arial" w:hAnsi="Arial"/>
          <w:sz w:val="22"/>
        </w:rPr>
        <w:t xml:space="preserve">ANGRIST, Joshua D.; PISCHKE, Jörn-Steffen.</w:t>
      </w:r>
      <w:r>
        <w:rPr>
          <w:rFonts w:ascii="Arial" w:hAnsi="Arial"/>
          <w:sz w:val="22"/>
        </w:rPr>
        <w:t xml:space="preserve"> </w:t>
      </w:r>
      <w:r>
        <w:rPr>
          <w:rFonts w:ascii="Arial" w:hAnsi="Arial"/>
          <w:b/>
          <w:bCs/>
          <w:sz w:val="22"/>
        </w:rPr>
        <w:t xml:space="preserve">Mostly Harmless Econometrics: An Empiricist’s Companion</w:t>
      </w:r>
      <w:r>
        <w:rPr>
          <w:rFonts w:ascii="Arial" w:hAnsi="Arial"/>
          <w:sz w:val="22"/>
        </w:rPr>
        <w:t xml:space="preserve">. Princeton: Princeton University Press, 2009.</w:t>
      </w:r>
    </w:p>
    <w:bookmarkEnd w:id="132"/>
    <w:bookmarkStart w:id="133" w:name="ref-arrow1973"/>
    <w:p>
      <w:pPr>
        <w:pStyle w:val="Bibliography"/>
        <w:spacing w:line="240" w:lineRule="auto" w:before="0" w:after="120"/>
        <w:ind w:firstLine="0" w:left="0"/>
        <w:jc w:val="left"/>
      </w:pPr>
      <w:r>
        <w:rPr>
          <w:rFonts w:ascii="Arial" w:hAnsi="Arial"/>
          <w:sz w:val="22"/>
        </w:rPr>
        <w:t xml:space="preserve">ARROW, Kenneth J. The Theory of Discrimination.</w:t>
      </w:r>
      <w:r>
        <w:rPr>
          <w:rFonts w:ascii="Arial" w:hAnsi="Arial"/>
          <w:sz w:val="22"/>
        </w:rPr>
        <w:t xml:space="preserve"> </w:t>
      </w:r>
      <w:r>
        <w:rPr>
          <w:rFonts w:ascii="Arial" w:hAnsi="Arial"/>
          <w:i/>
          <w:iCs/>
          <w:sz w:val="22"/>
        </w:rPr>
        <w:t xml:space="preserve">In</w:t>
      </w:r>
      <w:r>
        <w:rPr>
          <w:rFonts w:ascii="Arial" w:hAnsi="Arial"/>
          <w:sz w:val="22"/>
        </w:rPr>
        <w:t xml:space="preserve">: ASHENFELTER, Orley; REES, Albert (Orgs.).</w:t>
      </w:r>
      <w:r>
        <w:rPr>
          <w:rFonts w:ascii="Arial" w:hAnsi="Arial"/>
          <w:sz w:val="22"/>
        </w:rPr>
        <w:t xml:space="preserve"> </w:t>
      </w:r>
      <w:r>
        <w:rPr>
          <w:rFonts w:ascii="Arial" w:hAnsi="Arial"/>
          <w:b/>
          <w:bCs/>
          <w:sz w:val="22"/>
        </w:rPr>
        <w:t xml:space="preserve">Discrimination in Labor Markets</w:t>
      </w:r>
      <w:r>
        <w:rPr>
          <w:rFonts w:ascii="Arial" w:hAnsi="Arial"/>
          <w:sz w:val="22"/>
        </w:rPr>
        <w:t xml:space="preserve">. Princeton, NJ: Princeton University Press, 1973. p. 3–33.</w:t>
      </w:r>
    </w:p>
    <w:bookmarkEnd w:id="133"/>
    <w:bookmarkStart w:id="134" w:name="ref-becker1957"/>
    <w:p>
      <w:pPr>
        <w:pStyle w:val="Bibliography"/>
        <w:spacing w:line="240" w:lineRule="auto" w:before="0" w:after="120"/>
        <w:ind w:firstLine="0" w:left="0"/>
        <w:jc w:val="left"/>
      </w:pPr>
      <w:r>
        <w:rPr>
          <w:rFonts w:ascii="Arial" w:hAnsi="Arial"/>
          <w:sz w:val="22"/>
        </w:rPr>
        <w:t xml:space="preserve">BECKER, Gary S.</w:t>
      </w:r>
      <w:r>
        <w:rPr>
          <w:rFonts w:ascii="Arial" w:hAnsi="Arial"/>
          <w:sz w:val="22"/>
        </w:rPr>
        <w:t xml:space="preserve"> </w:t>
      </w:r>
      <w:r>
        <w:rPr>
          <w:rFonts w:ascii="Arial" w:hAnsi="Arial"/>
          <w:b/>
          <w:bCs/>
          <w:sz w:val="22"/>
        </w:rPr>
        <w:t xml:space="preserve">The Economics of Discrimination</w:t>
      </w:r>
      <w:r>
        <w:rPr>
          <w:rFonts w:ascii="Arial" w:hAnsi="Arial"/>
          <w:sz w:val="22"/>
        </w:rPr>
        <w:t xml:space="preserve">. Chicago: University of Chicago Press, 1957.</w:t>
      </w:r>
    </w:p>
    <w:bookmarkEnd w:id="134"/>
    <w:bookmarkStart w:id="135" w:name="ref-bickel2008"/>
    <w:p>
      <w:pPr>
        <w:pStyle w:val="Bibliography"/>
        <w:spacing w:line="240" w:lineRule="auto" w:before="0" w:after="120"/>
        <w:ind w:firstLine="0" w:left="0"/>
        <w:jc w:val="left"/>
      </w:pPr>
      <w:r>
        <w:rPr>
          <w:rFonts w:ascii="Arial" w:hAnsi="Arial"/>
          <w:sz w:val="22"/>
        </w:rPr>
        <w:t xml:space="preserve">BICKEL, Peter J.; SAKOV, Anat. On the Choice of</w:t>
      </w:r>
      <w:r>
        <w:rPr>
          <w:rFonts w:ascii="Arial" w:hAnsi="Arial"/>
          <w:sz w:val="22"/>
        </w:rPr>
        <w:t xml:space="preserve"> </w:t>
      </w:r>
      <m:oMath>
        <m:r>
          <m:t>m</m:t>
        </m:r>
      </m:oMath>
      <w:r>
        <w:rPr>
          <w:rFonts w:ascii="Arial" w:hAnsi="Arial"/>
          <w:sz w:val="22"/>
        </w:rPr>
        <w:t xml:space="preserve"> </w:t>
      </w:r>
      <w:r>
        <w:rPr>
          <w:rFonts w:ascii="Arial" w:hAnsi="Arial"/>
          <w:sz w:val="22"/>
        </w:rPr>
        <w:t xml:space="preserve">in the</w:t>
      </w:r>
      <w:r>
        <w:rPr>
          <w:rFonts w:ascii="Arial" w:hAnsi="Arial"/>
          <w:sz w:val="22"/>
        </w:rPr>
        <w:t xml:space="preserve"> </w:t>
      </w:r>
      <m:oMath>
        <m:r>
          <m:t>m</m:t>
        </m:r>
      </m:oMath>
      <w:r>
        <w:rPr>
          <w:rFonts w:ascii="Arial" w:hAnsi="Arial"/>
          <w:sz w:val="22"/>
        </w:rPr>
        <w:t xml:space="preserve"> </w:t>
      </w:r>
      <w:r>
        <w:rPr>
          <w:rFonts w:ascii="Arial" w:hAnsi="Arial"/>
          <w:sz w:val="22"/>
        </w:rPr>
        <w:t xml:space="preserve">out of</w:t>
      </w:r>
      <w:r>
        <w:rPr>
          <w:rFonts w:ascii="Arial" w:hAnsi="Arial"/>
          <w:sz w:val="22"/>
        </w:rPr>
        <w:t xml:space="preserve"> </w:t>
      </w:r>
      <m:oMath>
        <m:r>
          <m:t>n</m:t>
        </m:r>
      </m:oMath>
      <w:r>
        <w:rPr>
          <w:rFonts w:ascii="Arial" w:hAnsi="Arial"/>
          <w:sz w:val="22"/>
        </w:rPr>
        <w:t xml:space="preserve"> </w:t>
      </w:r>
      <w:r>
        <w:rPr>
          <w:rFonts w:ascii="Arial" w:hAnsi="Arial"/>
          <w:sz w:val="22"/>
        </w:rPr>
        <w:t xml:space="preserve">Bootstrap and Confidence Bounds for Extrema.</w:t>
      </w:r>
      <w:r>
        <w:rPr>
          <w:rFonts w:ascii="Arial" w:hAnsi="Arial"/>
          <w:sz w:val="22"/>
        </w:rPr>
        <w:t xml:space="preserve"> </w:t>
      </w:r>
      <w:r>
        <w:rPr>
          <w:rFonts w:ascii="Arial" w:hAnsi="Arial"/>
          <w:b/>
          <w:bCs/>
          <w:sz w:val="22"/>
        </w:rPr>
        <w:t xml:space="preserve">Statistica Sinica</w:t>
      </w:r>
      <w:r>
        <w:rPr>
          <w:rFonts w:ascii="Arial" w:hAnsi="Arial"/>
          <w:sz w:val="22"/>
        </w:rPr>
        <w:t xml:space="preserve">, v. 18, n. 3, p. 967–985, 2008.</w:t>
      </w:r>
    </w:p>
    <w:bookmarkEnd w:id="135"/>
    <w:bookmarkStart w:id="136" w:name="ref-blinder1973"/>
    <w:p>
      <w:pPr>
        <w:pStyle w:val="Bibliography"/>
        <w:spacing w:line="240" w:lineRule="auto" w:before="0" w:after="120"/>
        <w:ind w:firstLine="0" w:left="0"/>
        <w:jc w:val="left"/>
      </w:pPr>
      <w:r>
        <w:rPr>
          <w:rFonts w:ascii="Arial" w:hAnsi="Arial"/>
          <w:sz w:val="22"/>
        </w:rPr>
        <w:t xml:space="preserve">BLINDER, Alan S. Wage Discrimination: Reduced Form and Structural Estimates.</w:t>
      </w:r>
      <w:r>
        <w:rPr>
          <w:rFonts w:ascii="Arial" w:hAnsi="Arial"/>
          <w:sz w:val="22"/>
        </w:rPr>
        <w:t xml:space="preserve"> </w:t>
      </w:r>
      <w:r>
        <w:rPr>
          <w:rFonts w:ascii="Arial" w:hAnsi="Arial"/>
          <w:b/>
          <w:bCs/>
          <w:sz w:val="22"/>
        </w:rPr>
        <w:t xml:space="preserve">Journal of Human Resources</w:t>
      </w:r>
      <w:r>
        <w:rPr>
          <w:rFonts w:ascii="Arial" w:hAnsi="Arial"/>
          <w:sz w:val="22"/>
        </w:rPr>
        <w:t xml:space="preserve">, v. 8, n. 4, p. 436–455, 1973.</w:t>
      </w:r>
    </w:p>
    <w:bookmarkEnd w:id="136"/>
    <w:bookmarkStart w:id="137" w:name="ref-brasil1995lei9029"/>
    <w:p>
      <w:pPr>
        <w:pStyle w:val="Bibliography"/>
        <w:spacing w:line="240" w:lineRule="auto" w:before="0" w:after="120"/>
        <w:ind w:firstLine="0" w:left="0"/>
        <w:jc w:val="left"/>
      </w:pPr>
      <w:r>
        <w:rPr>
          <w:rFonts w:ascii="Arial" w:hAnsi="Arial"/>
          <w:sz w:val="22"/>
        </w:rPr>
        <w:t xml:space="preserve">BRASIL.</w:t>
      </w:r>
      <w:r>
        <w:rPr>
          <w:rFonts w:ascii="Arial" w:hAnsi="Arial"/>
          <w:sz w:val="22"/>
        </w:rPr>
        <w:t xml:space="preserve"> </w:t>
      </w:r>
      <w:r>
        <w:rPr>
          <w:rFonts w:ascii="Arial" w:hAnsi="Arial"/>
          <w:b/>
          <w:bCs/>
          <w:sz w:val="22"/>
        </w:rPr>
        <w:t xml:space="preserve">Lei n. 9.029, de 13 de abril de 1995. Proíbe a exigência de atestados de gravidez e esterilização, e outras práticas discriminatórias, para efeitos admissionais ou de permanência da relação jurídica de trabalho</w:t>
      </w:r>
      <w:r>
        <w:rPr>
          <w:rFonts w:ascii="Arial" w:hAnsi="Arial"/>
          <w:sz w:val="22"/>
        </w:rPr>
        <w:t xml:space="preserve">. Diário Oficial da União, Brasília, DF, 1995.</w:t>
      </w:r>
    </w:p>
    <w:bookmarkEnd w:id="137"/>
    <w:bookmarkStart w:id="138" w:name="ref-brasil2010lei12288"/>
    <w:p>
      <w:pPr>
        <w:pStyle w:val="Bibliography"/>
        <w:spacing w:line="240" w:lineRule="auto" w:before="0" w:after="120"/>
        <w:ind w:firstLine="0" w:left="0"/>
        <w:jc w:val="left"/>
      </w:pPr>
      <w:r>
        <w:rPr>
          <w:rFonts w:ascii="Arial" w:hAnsi="Arial"/>
          <w:sz w:val="22"/>
        </w:rPr>
        <w:t xml:space="preserve">BRASIL.</w:t>
      </w:r>
      <w:r>
        <w:rPr>
          <w:rFonts w:ascii="Arial" w:hAnsi="Arial"/>
          <w:sz w:val="22"/>
        </w:rPr>
        <w:t xml:space="preserve"> </w:t>
      </w:r>
      <w:r>
        <w:rPr>
          <w:rFonts w:ascii="Arial" w:hAnsi="Arial"/>
          <w:b/>
          <w:bCs/>
          <w:sz w:val="22"/>
        </w:rPr>
        <w:t xml:space="preserve">Lei n. 12.288, de 20 de julho de 2010. Institui o Estatuto da Igualdade Racial</w:t>
      </w:r>
      <w:r>
        <w:rPr>
          <w:rFonts w:ascii="Arial" w:hAnsi="Arial"/>
          <w:sz w:val="22"/>
        </w:rPr>
        <w:t xml:space="preserve">. Diário Oficial da União, Brasília, DF, 2010.</w:t>
      </w:r>
    </w:p>
    <w:bookmarkEnd w:id="138"/>
    <w:bookmarkStart w:id="139" w:name="ref-brasil2012lei12711"/>
    <w:p>
      <w:pPr>
        <w:pStyle w:val="Bibliography"/>
        <w:spacing w:line="240" w:lineRule="auto" w:before="0" w:after="120"/>
        <w:ind w:firstLine="0" w:left="0"/>
        <w:jc w:val="left"/>
      </w:pPr>
      <w:r>
        <w:rPr>
          <w:rFonts w:ascii="Arial" w:hAnsi="Arial"/>
          <w:sz w:val="22"/>
        </w:rPr>
        <w:t xml:space="preserve">BRASIL.</w:t>
      </w:r>
      <w:r>
        <w:rPr>
          <w:rFonts w:ascii="Arial" w:hAnsi="Arial"/>
          <w:sz w:val="22"/>
        </w:rPr>
        <w:t xml:space="preserve"> </w:t>
      </w:r>
      <w:r>
        <w:rPr>
          <w:rFonts w:ascii="Arial" w:hAnsi="Arial"/>
          <w:b/>
          <w:bCs/>
          <w:sz w:val="22"/>
        </w:rPr>
        <w:t xml:space="preserve">Lei n. 12.711, de 29 de agosto de 2012. Dispõe sobre o ingresso nas universidades federais e nas instituições federais de ensino técnico de nível médio</w:t>
      </w:r>
      <w:r>
        <w:rPr>
          <w:rFonts w:ascii="Arial" w:hAnsi="Arial"/>
          <w:sz w:val="22"/>
        </w:rPr>
        <w:t xml:space="preserve">. Diário Oficial da União, Brasília, DF, 2012.</w:t>
      </w:r>
    </w:p>
    <w:bookmarkEnd w:id="139"/>
    <w:bookmarkStart w:id="140" w:name="ref-brasil2014lei12990"/>
    <w:p>
      <w:pPr>
        <w:pStyle w:val="Bibliography"/>
        <w:spacing w:line="240" w:lineRule="auto" w:before="0" w:after="120"/>
        <w:ind w:firstLine="0" w:left="0"/>
        <w:jc w:val="left"/>
      </w:pPr>
      <w:r>
        <w:rPr>
          <w:rFonts w:ascii="Arial" w:hAnsi="Arial"/>
          <w:sz w:val="22"/>
        </w:rPr>
        <w:t xml:space="preserve">BRASIL.</w:t>
      </w:r>
      <w:r>
        <w:rPr>
          <w:rFonts w:ascii="Arial" w:hAnsi="Arial"/>
          <w:sz w:val="22"/>
        </w:rPr>
        <w:t xml:space="preserve"> </w:t>
      </w:r>
      <w:r>
        <w:rPr>
          <w:rFonts w:ascii="Arial" w:hAnsi="Arial"/>
          <w:b/>
          <w:bCs/>
          <w:sz w:val="22"/>
        </w:rPr>
        <w:t xml:space="preserve">Lei n. 12.990, de 9 de junho de 2014. Reserva aos negros 20% das vagas oferecidas nos concursos públicos para provimento de cargos efetivos e empregos públicos no âmbito da administração pública federal, das autarquias, das fundações públicas, das empresas públicas e das sociedades de economia mista controladas pela União</w:t>
      </w:r>
      <w:r>
        <w:rPr>
          <w:rFonts w:ascii="Arial" w:hAnsi="Arial"/>
          <w:sz w:val="22"/>
        </w:rPr>
        <w:t xml:space="preserve">. Diário Oficial da União, Brasília, DF, 2014.</w:t>
      </w:r>
    </w:p>
    <w:bookmarkEnd w:id="140"/>
    <w:bookmarkStart w:id="141" w:name="ref-brasil2023decreto11443"/>
    <w:p>
      <w:pPr>
        <w:pStyle w:val="Bibliography"/>
        <w:spacing w:line="240" w:lineRule="auto" w:before="0" w:after="120"/>
        <w:ind w:firstLine="0" w:left="0"/>
        <w:jc w:val="left"/>
      </w:pPr>
      <w:r>
        <w:rPr>
          <w:rFonts w:ascii="Arial" w:hAnsi="Arial"/>
          <w:sz w:val="22"/>
        </w:rPr>
        <w:t xml:space="preserve">BRASIL.</w:t>
      </w:r>
      <w:r>
        <w:rPr>
          <w:rFonts w:ascii="Arial" w:hAnsi="Arial"/>
          <w:sz w:val="22"/>
        </w:rPr>
        <w:t xml:space="preserve"> </w:t>
      </w:r>
      <w:r>
        <w:rPr>
          <w:rFonts w:ascii="Arial" w:hAnsi="Arial"/>
          <w:b/>
          <w:bCs/>
          <w:sz w:val="22"/>
        </w:rPr>
        <w:t xml:space="preserve">Decreto n. 11.443, de 21 de março de 2023. Dispõe sobre o preenchimento por pessoas negras de percentual mínimo de cargos em comissão e funções de confiança no âmbito da administração pública federal</w:t>
      </w:r>
      <w:r>
        <w:rPr>
          <w:rFonts w:ascii="Arial" w:hAnsi="Arial"/>
          <w:sz w:val="22"/>
        </w:rPr>
        <w:t xml:space="preserve">. Diário Oficial da União, Brasília, DF, b2023.</w:t>
      </w:r>
    </w:p>
    <w:bookmarkEnd w:id="141"/>
    <w:bookmarkStart w:id="142" w:name="ref-brasil2023lei14611"/>
    <w:p>
      <w:pPr>
        <w:pStyle w:val="Bibliography"/>
        <w:spacing w:line="240" w:lineRule="auto" w:before="0" w:after="120"/>
        <w:ind w:firstLine="0" w:left="0"/>
        <w:jc w:val="left"/>
      </w:pPr>
      <w:r>
        <w:rPr>
          <w:rFonts w:ascii="Arial" w:hAnsi="Arial"/>
          <w:sz w:val="22"/>
        </w:rPr>
        <w:t xml:space="preserve">BRASIL.</w:t>
      </w:r>
      <w:r>
        <w:rPr>
          <w:rFonts w:ascii="Arial" w:hAnsi="Arial"/>
          <w:sz w:val="22"/>
        </w:rPr>
        <w:t xml:space="preserve"> </w:t>
      </w:r>
      <w:r>
        <w:rPr>
          <w:rFonts w:ascii="Arial" w:hAnsi="Arial"/>
          <w:b/>
          <w:bCs/>
          <w:sz w:val="22"/>
        </w:rPr>
        <w:t xml:space="preserve">Lei n. 14.611, de 3 de julho de 2023. Dispõe sobre a igualdade salarial e de critérios remuneratórios entre mulheres e homens</w:t>
      </w:r>
      <w:r>
        <w:rPr>
          <w:rFonts w:ascii="Arial" w:hAnsi="Arial"/>
          <w:sz w:val="22"/>
        </w:rPr>
        <w:t xml:space="preserve">. Diário Oficial da União, Brasília, DF, c2023.</w:t>
      </w:r>
    </w:p>
    <w:bookmarkEnd w:id="142"/>
    <w:bookmarkStart w:id="143" w:name="ref-brasil2023lei14723"/>
    <w:p>
      <w:pPr>
        <w:pStyle w:val="Bibliography"/>
        <w:spacing w:line="240" w:lineRule="auto" w:before="0" w:after="120"/>
        <w:ind w:firstLine="0" w:left="0"/>
        <w:jc w:val="left"/>
      </w:pPr>
      <w:r>
        <w:rPr>
          <w:rFonts w:ascii="Arial" w:hAnsi="Arial"/>
          <w:sz w:val="22"/>
        </w:rPr>
        <w:t xml:space="preserve">BRASIL.</w:t>
      </w:r>
      <w:r>
        <w:rPr>
          <w:rFonts w:ascii="Arial" w:hAnsi="Arial"/>
          <w:sz w:val="22"/>
        </w:rPr>
        <w:t xml:space="preserve"> </w:t>
      </w:r>
      <w:r>
        <w:rPr>
          <w:rFonts w:ascii="Arial" w:hAnsi="Arial"/>
          <w:b/>
          <w:bCs/>
          <w:sz w:val="22"/>
        </w:rPr>
        <w:t xml:space="preserve">Lei n. 14.723, de 13 de novembro de 2023. Altera a Lei n. 12.711, de 29 de agosto de 2012, para dispor sobre o programa especial para o acesso às instituições federais de educação superior e de ensino técnico de nível médio</w:t>
      </w:r>
      <w:r>
        <w:rPr>
          <w:rFonts w:ascii="Arial" w:hAnsi="Arial"/>
          <w:sz w:val="22"/>
        </w:rPr>
        <w:t xml:space="preserve">. Diário Oficial da União, Brasília, DF, a2023.</w:t>
      </w:r>
    </w:p>
    <w:bookmarkEnd w:id="143"/>
    <w:bookmarkStart w:id="144" w:name="ref-brasil2025lei15142"/>
    <w:p>
      <w:pPr>
        <w:pStyle w:val="Bibliography"/>
        <w:spacing w:line="240" w:lineRule="auto" w:before="0" w:after="120"/>
        <w:ind w:firstLine="0" w:left="0"/>
        <w:jc w:val="left"/>
      </w:pPr>
      <w:r>
        <w:rPr>
          <w:rFonts w:ascii="Arial" w:hAnsi="Arial"/>
          <w:sz w:val="22"/>
        </w:rPr>
        <w:t xml:space="preserve">BRASIL.</w:t>
      </w:r>
      <w:r>
        <w:rPr>
          <w:rFonts w:ascii="Arial" w:hAnsi="Arial"/>
          <w:sz w:val="22"/>
        </w:rPr>
        <w:t xml:space="preserve"> </w:t>
      </w:r>
      <w:r>
        <w:rPr>
          <w:rFonts w:ascii="Arial" w:hAnsi="Arial"/>
          <w:b/>
          <w:bCs/>
          <w:sz w:val="22"/>
        </w:rPr>
        <w:t xml:space="preserve">Lei n. 15.142, de 3 de junho de 2025. Dispõe sobre a reserva às pessoas pretas e pardas, indígenas e quilombolas de vagas oferecidas em concursos públicos e em processos seletivos simplificados no âmbito da administração pública federal</w:t>
      </w:r>
      <w:r>
        <w:rPr>
          <w:rFonts w:ascii="Arial" w:hAnsi="Arial"/>
          <w:sz w:val="22"/>
        </w:rPr>
        <w:t xml:space="preserve">. Diário Oficial da União, Brasília, DF, 2025.</w:t>
      </w:r>
    </w:p>
    <w:bookmarkEnd w:id="144"/>
    <w:bookmarkStart w:id="145" w:name="ref-breiman2001"/>
    <w:p>
      <w:pPr>
        <w:pStyle w:val="Bibliography"/>
        <w:spacing w:line="240" w:lineRule="auto" w:before="0" w:after="120"/>
        <w:ind w:firstLine="0" w:left="0"/>
        <w:jc w:val="left"/>
      </w:pPr>
      <w:r>
        <w:rPr>
          <w:rFonts w:ascii="Arial" w:hAnsi="Arial"/>
          <w:sz w:val="22"/>
        </w:rPr>
        <w:t xml:space="preserve">BREIMAN, Leo. Random Forests.</w:t>
      </w:r>
      <w:r>
        <w:rPr>
          <w:rFonts w:ascii="Arial" w:hAnsi="Arial"/>
          <w:sz w:val="22"/>
        </w:rPr>
        <w:t xml:space="preserve"> </w:t>
      </w:r>
      <w:r>
        <w:rPr>
          <w:rFonts w:ascii="Arial" w:hAnsi="Arial"/>
          <w:b/>
          <w:bCs/>
          <w:sz w:val="22"/>
        </w:rPr>
        <w:t xml:space="preserve">Machine Learning</w:t>
      </w:r>
      <w:r>
        <w:rPr>
          <w:rFonts w:ascii="Arial" w:hAnsi="Arial"/>
          <w:sz w:val="22"/>
        </w:rPr>
        <w:t xml:space="preserve">, v. 45, n. 1, p. 5–32, 2001.</w:t>
      </w:r>
    </w:p>
    <w:bookmarkEnd w:id="145"/>
    <w:bookmarkStart w:id="146" w:name="ref-cameron2008"/>
    <w:p>
      <w:pPr>
        <w:pStyle w:val="Bibliography"/>
        <w:spacing w:line="240" w:lineRule="auto" w:before="0" w:after="120"/>
        <w:ind w:firstLine="0" w:left="0"/>
        <w:jc w:val="left"/>
      </w:pPr>
      <w:r>
        <w:rPr>
          <w:rFonts w:ascii="Arial" w:hAnsi="Arial"/>
          <w:sz w:val="22"/>
        </w:rPr>
        <w:t xml:space="preserve">CAMERON, A. Colin; GELBACH, Jonah B.; MILLER, Douglas L. Bootstrap-Based Improvements for Inference with Clustered Errors.</w:t>
      </w:r>
      <w:r>
        <w:rPr>
          <w:rFonts w:ascii="Arial" w:hAnsi="Arial"/>
          <w:sz w:val="22"/>
        </w:rPr>
        <w:t xml:space="preserve"> </w:t>
      </w:r>
      <w:r>
        <w:rPr>
          <w:rFonts w:ascii="Arial" w:hAnsi="Arial"/>
          <w:b/>
          <w:bCs/>
          <w:sz w:val="22"/>
        </w:rPr>
        <w:t xml:space="preserve">The Review of Economics and Statistics</w:t>
      </w:r>
      <w:r>
        <w:rPr>
          <w:rFonts w:ascii="Arial" w:hAnsi="Arial"/>
          <w:sz w:val="22"/>
        </w:rPr>
        <w:t xml:space="preserve">, v. 90, n. 3, p. 414–427, 2008.</w:t>
      </w:r>
    </w:p>
    <w:bookmarkEnd w:id="146"/>
    <w:bookmarkStart w:id="148" w:name="ref-chen2016"/>
    <w:p>
      <w:pPr>
        <w:pStyle w:val="Bibliography"/>
        <w:spacing w:line="240" w:lineRule="auto" w:before="0" w:after="120"/>
        <w:ind w:firstLine="0" w:left="0"/>
        <w:jc w:val="left"/>
      </w:pPr>
      <w:r>
        <w:rPr>
          <w:rFonts w:ascii="Arial" w:hAnsi="Arial"/>
          <w:sz w:val="22"/>
        </w:rPr>
        <w:t xml:space="preserve">CHEN, Tianqi; GUESTRIN, Carlos.</w:t>
      </w:r>
      <w:r>
        <w:rPr>
          <w:rFonts w:ascii="Arial" w:hAnsi="Arial"/>
          <w:sz w:val="22"/>
        </w:rPr>
        <w:t xml:space="preserve"> </w:t>
      </w:r>
      <w:hyperlink r:id="rId147">
        <w:r>
          <w:rPr>
            <w:rStyle w:val="Hyperlink"/>
          </w:rPr>
          <w:t xml:space="preserve">XGBoost</w:t>
        </w:r>
        <w:r>
          <w:rPr>
            <w:rStyle w:val="Hyperlink"/>
          </w:rPr>
          <w:t xml:space="preserve">: A Scalable Tree Boosting System</w:t>
        </w:r>
      </w:hyperlink>
      <w:r>
        <w:rPr>
          <w:rFonts w:ascii="Arial" w:hAnsi="Arial"/>
          <w:sz w:val="22"/>
        </w:rPr>
        <w:t xml:space="preserve">.</w:t>
      </w:r>
      <w:r>
        <w:rPr>
          <w:rFonts w:ascii="Arial" w:hAnsi="Arial"/>
          <w:sz w:val="22"/>
        </w:rPr>
        <w:t xml:space="preserve"> </w:t>
      </w:r>
      <w:r>
        <w:rPr>
          <w:rFonts w:ascii="Arial" w:hAnsi="Arial"/>
          <w:i/>
          <w:iCs/>
          <w:sz w:val="22"/>
        </w:rPr>
        <w:t xml:space="preserve">In</w:t>
      </w:r>
      <w:r>
        <w:rPr>
          <w:rFonts w:ascii="Arial" w:hAnsi="Arial"/>
          <w:sz w:val="22"/>
        </w:rPr>
        <w:t xml:space="preserve">:</w:t>
      </w:r>
      <w:r>
        <w:rPr>
          <w:rFonts w:ascii="Arial" w:hAnsi="Arial"/>
          <w:sz w:val="22"/>
        </w:rPr>
        <w:t xml:space="preserve"> </w:t>
      </w:r>
      <w:r>
        <w:rPr>
          <w:rFonts w:ascii="Arial" w:hAnsi="Arial"/>
          <w:b/>
          <w:bCs/>
          <w:sz w:val="22"/>
        </w:rPr>
        <w:t xml:space="preserve">Proceedings of the 22nd ACM SIGKDD International Conference on Knowledge Discovery and Data Mining</w:t>
      </w:r>
      <w:r>
        <w:rPr>
          <w:rFonts w:ascii="Arial" w:hAnsi="Arial"/>
          <w:sz w:val="22"/>
        </w:rPr>
        <w:t xml:space="preserve">. San Francisco: ACM, 2016. p. 785–794.</w:t>
      </w:r>
    </w:p>
    <w:bookmarkEnd w:id="148"/>
    <w:bookmarkStart w:id="149" w:name="ref-crenshaw1989"/>
    <w:p>
      <w:pPr>
        <w:pStyle w:val="Bibliography"/>
        <w:spacing w:line="240" w:lineRule="auto" w:before="0" w:after="120"/>
        <w:ind w:firstLine="0" w:left="0"/>
        <w:jc w:val="left"/>
      </w:pPr>
      <w:r>
        <w:rPr>
          <w:rFonts w:ascii="Arial" w:hAnsi="Arial"/>
          <w:sz w:val="22"/>
        </w:rPr>
        <w:t xml:space="preserve">CRENSHAW, Kimberlé. Demarginalizing the Intersection of Race and Sex: A Black Feminist Critique of Antidiscrimination Doctrine.</w:t>
      </w:r>
      <w:r>
        <w:rPr>
          <w:rFonts w:ascii="Arial" w:hAnsi="Arial"/>
          <w:sz w:val="22"/>
        </w:rPr>
        <w:t xml:space="preserve"> </w:t>
      </w:r>
      <w:r>
        <w:rPr>
          <w:rFonts w:ascii="Arial" w:hAnsi="Arial"/>
          <w:b/>
          <w:bCs/>
          <w:sz w:val="22"/>
        </w:rPr>
        <w:t xml:space="preserve">University of Chicago Legal Forum</w:t>
      </w:r>
      <w:r>
        <w:rPr>
          <w:rFonts w:ascii="Arial" w:hAnsi="Arial"/>
          <w:sz w:val="22"/>
        </w:rPr>
        <w:t xml:space="preserve">, v. 1989, n. 1, p. 139–167, 1989.</w:t>
      </w:r>
    </w:p>
    <w:bookmarkEnd w:id="149"/>
    <w:bookmarkStart w:id="150" w:name="ref-duan1983"/>
    <w:p>
      <w:pPr>
        <w:pStyle w:val="Bibliography"/>
        <w:spacing w:line="240" w:lineRule="auto" w:before="0" w:after="120"/>
        <w:ind w:firstLine="0" w:left="0"/>
        <w:jc w:val="left"/>
      </w:pPr>
      <w:r>
        <w:rPr>
          <w:rFonts w:ascii="Arial" w:hAnsi="Arial"/>
          <w:sz w:val="22"/>
        </w:rPr>
        <w:t xml:space="preserve">DUAN, Naihua. Smearing Estimate: A Nonparametric Retransformation Method.</w:t>
      </w:r>
      <w:r>
        <w:rPr>
          <w:rFonts w:ascii="Arial" w:hAnsi="Arial"/>
          <w:sz w:val="22"/>
        </w:rPr>
        <w:t xml:space="preserve"> </w:t>
      </w:r>
      <w:r>
        <w:rPr>
          <w:rFonts w:ascii="Arial" w:hAnsi="Arial"/>
          <w:b/>
          <w:bCs/>
          <w:sz w:val="22"/>
        </w:rPr>
        <w:t xml:space="preserve">Journal of the American Statistical Association</w:t>
      </w:r>
      <w:r>
        <w:rPr>
          <w:rFonts w:ascii="Arial" w:hAnsi="Arial"/>
          <w:sz w:val="22"/>
        </w:rPr>
        <w:t xml:space="preserve">, v. 78, n. 383, p. 605–610, 1983.</w:t>
      </w:r>
    </w:p>
    <w:bookmarkEnd w:id="150"/>
    <w:bookmarkStart w:id="151" w:name="ref-favero2024"/>
    <w:p>
      <w:pPr>
        <w:pStyle w:val="Bibliography"/>
        <w:spacing w:line="240" w:lineRule="auto" w:before="0" w:after="120"/>
        <w:ind w:firstLine="0" w:left="0"/>
        <w:jc w:val="left"/>
      </w:pPr>
      <w:r>
        <w:rPr>
          <w:rFonts w:ascii="Arial" w:hAnsi="Arial"/>
          <w:sz w:val="22"/>
        </w:rPr>
        <w:t xml:space="preserve">FÁVERO, Luiz Paulo; BELFIORE, Patrícia.</w:t>
      </w:r>
      <w:r>
        <w:rPr>
          <w:rFonts w:ascii="Arial" w:hAnsi="Arial"/>
          <w:sz w:val="22"/>
        </w:rPr>
        <w:t xml:space="preserve"> </w:t>
      </w:r>
      <w:r>
        <w:rPr>
          <w:rFonts w:ascii="Arial" w:hAnsi="Arial"/>
          <w:b/>
          <w:bCs/>
          <w:sz w:val="22"/>
        </w:rPr>
        <w:t xml:space="preserve">Manual de Análise de Dados: estatística e machine learning com Excel, SPSS, Stata, R e Python</w:t>
      </w:r>
      <w:r>
        <w:rPr>
          <w:rFonts w:ascii="Arial" w:hAnsi="Arial"/>
          <w:sz w:val="22"/>
        </w:rPr>
        <w:t xml:space="preserve">. 2. ed. Rio de Janeiro: GEN LTC, 2024.</w:t>
      </w:r>
    </w:p>
    <w:bookmarkEnd w:id="151"/>
    <w:bookmarkStart w:id="152" w:name="ref-firpo2018"/>
    <w:p>
      <w:pPr>
        <w:pStyle w:val="Bibliography"/>
        <w:spacing w:line="240" w:lineRule="auto" w:before="0" w:after="120"/>
        <w:ind w:firstLine="0" w:left="0"/>
        <w:jc w:val="left"/>
      </w:pPr>
      <w:r>
        <w:rPr>
          <w:rFonts w:ascii="Arial" w:hAnsi="Arial"/>
          <w:sz w:val="22"/>
        </w:rPr>
        <w:t xml:space="preserve">FIRPO, Sergio P.; FORTIN, Nicole M.; LEMIEUX, Thomas. Decomposing Wage Distributions Using Recentered Influence Function Regressions.</w:t>
      </w:r>
      <w:r>
        <w:rPr>
          <w:rFonts w:ascii="Arial" w:hAnsi="Arial"/>
          <w:sz w:val="22"/>
        </w:rPr>
        <w:t xml:space="preserve"> </w:t>
      </w:r>
      <w:r>
        <w:rPr>
          <w:rFonts w:ascii="Arial" w:hAnsi="Arial"/>
          <w:b/>
          <w:bCs/>
          <w:sz w:val="22"/>
        </w:rPr>
        <w:t xml:space="preserve">Econometrics</w:t>
      </w:r>
      <w:r>
        <w:rPr>
          <w:rFonts w:ascii="Arial" w:hAnsi="Arial"/>
          <w:sz w:val="22"/>
        </w:rPr>
        <w:t xml:space="preserve">, v. 6, n. 2, p. 28, 2018.</w:t>
      </w:r>
    </w:p>
    <w:bookmarkEnd w:id="152"/>
    <w:bookmarkStart w:id="153" w:name="ref-frank2013"/>
    <w:p>
      <w:pPr>
        <w:pStyle w:val="Bibliography"/>
        <w:spacing w:line="240" w:lineRule="auto" w:before="0" w:after="120"/>
        <w:ind w:firstLine="0" w:left="0"/>
        <w:jc w:val="left"/>
      </w:pPr>
      <w:r>
        <w:rPr>
          <w:rFonts w:ascii="Arial" w:hAnsi="Arial"/>
          <w:sz w:val="22"/>
        </w:rPr>
        <w:t xml:space="preserve">FRANK, Kenneth A.</w:t>
      </w:r>
      <w:r>
        <w:rPr>
          <w:rFonts w:ascii="Arial" w:hAnsi="Arial"/>
          <w:sz w:val="22"/>
        </w:rPr>
        <w:t xml:space="preserve"> </w:t>
      </w:r>
      <w:r>
        <w:rPr>
          <w:rFonts w:ascii="Arial" w:hAnsi="Arial"/>
          <w:i/>
          <w:iCs/>
          <w:sz w:val="22"/>
        </w:rPr>
        <w:t xml:space="preserve">et al.</w:t>
      </w:r>
      <w:r>
        <w:rPr>
          <w:rFonts w:ascii="Arial" w:hAnsi="Arial"/>
          <w:sz w:val="22"/>
        </w:rPr>
        <w:t xml:space="preserve"> What Would It Take to Change an Inference? Using Rubin’s Causal Model to Interpret the Robustness of Causal Inferences.</w:t>
      </w:r>
      <w:r>
        <w:rPr>
          <w:rFonts w:ascii="Arial" w:hAnsi="Arial"/>
          <w:sz w:val="22"/>
        </w:rPr>
        <w:t xml:space="preserve"> </w:t>
      </w:r>
      <w:r>
        <w:rPr>
          <w:rFonts w:ascii="Arial" w:hAnsi="Arial"/>
          <w:b/>
          <w:bCs/>
          <w:sz w:val="22"/>
        </w:rPr>
        <w:t xml:space="preserve">Educational Evaluation and Policy Analysis</w:t>
      </w:r>
      <w:r>
        <w:rPr>
          <w:rFonts w:ascii="Arial" w:hAnsi="Arial"/>
          <w:sz w:val="22"/>
        </w:rPr>
        <w:t xml:space="preserve">, v. 35, n. 4, p. 437–460, 2013.</w:t>
      </w:r>
    </w:p>
    <w:bookmarkEnd w:id="153"/>
    <w:bookmarkStart w:id="154" w:name="ref-geron2021"/>
    <w:p>
      <w:pPr>
        <w:pStyle w:val="Bibliography"/>
        <w:spacing w:line="240" w:lineRule="auto" w:before="0" w:after="120"/>
        <w:ind w:firstLine="0" w:left="0"/>
        <w:jc w:val="left"/>
      </w:pPr>
      <w:r>
        <w:rPr>
          <w:rFonts w:ascii="Arial" w:hAnsi="Arial"/>
          <w:sz w:val="22"/>
        </w:rPr>
        <w:t xml:space="preserve">GÉRON, Aurélien.</w:t>
      </w:r>
      <w:r>
        <w:rPr>
          <w:rFonts w:ascii="Arial" w:hAnsi="Arial"/>
          <w:sz w:val="22"/>
        </w:rPr>
        <w:t xml:space="preserve"> </w:t>
      </w:r>
      <w:r>
        <w:rPr>
          <w:rFonts w:ascii="Arial" w:hAnsi="Arial"/>
          <w:b/>
          <w:bCs/>
          <w:sz w:val="22"/>
        </w:rPr>
        <w:t xml:space="preserve">Mãos à obra: aprendizado de máquina com Scikit-Learn, Keras &amp; TensorFlow: conceitos, ferramentas e técnicas para a construção de sistemas inteligentes</w:t>
      </w:r>
      <w:r>
        <w:rPr>
          <w:rFonts w:ascii="Arial" w:hAnsi="Arial"/>
          <w:sz w:val="22"/>
        </w:rPr>
        <w:t xml:space="preserve">. Tradução: Cibelle Ravaglia. 2. ed. Rio de Janeiro: Alta Books, 2021.</w:t>
      </w:r>
    </w:p>
    <w:bookmarkEnd w:id="154"/>
    <w:bookmarkStart w:id="155" w:name="ref-granovetter1973"/>
    <w:p>
      <w:pPr>
        <w:pStyle w:val="Bibliography"/>
        <w:spacing w:line="240" w:lineRule="auto" w:before="0" w:after="120"/>
        <w:ind w:firstLine="0" w:left="0"/>
        <w:jc w:val="left"/>
      </w:pPr>
      <w:r>
        <w:rPr>
          <w:rFonts w:ascii="Arial" w:hAnsi="Arial"/>
          <w:sz w:val="22"/>
        </w:rPr>
        <w:t xml:space="preserve">GRANOVETTER, Mark S. The Strength of Weak Ties.</w:t>
      </w:r>
      <w:r>
        <w:rPr>
          <w:rFonts w:ascii="Arial" w:hAnsi="Arial"/>
          <w:sz w:val="22"/>
        </w:rPr>
        <w:t xml:space="preserve"> </w:t>
      </w:r>
      <w:r>
        <w:rPr>
          <w:rFonts w:ascii="Arial" w:hAnsi="Arial"/>
          <w:b/>
          <w:bCs/>
          <w:sz w:val="22"/>
        </w:rPr>
        <w:t xml:space="preserve">American Journal of Sociology</w:t>
      </w:r>
      <w:r>
        <w:rPr>
          <w:rFonts w:ascii="Arial" w:hAnsi="Arial"/>
          <w:sz w:val="22"/>
        </w:rPr>
        <w:t xml:space="preserve">, v. 78, n. 6, p. 1360–1380, 1973.</w:t>
      </w:r>
    </w:p>
    <w:bookmarkEnd w:id="155"/>
    <w:bookmarkStart w:id="156" w:name="ref-hasenbalg1979"/>
    <w:p>
      <w:pPr>
        <w:pStyle w:val="Bibliography"/>
        <w:spacing w:line="240" w:lineRule="auto" w:before="0" w:after="120"/>
        <w:ind w:firstLine="0" w:left="0"/>
        <w:jc w:val="left"/>
      </w:pPr>
      <w:r>
        <w:rPr>
          <w:rFonts w:ascii="Arial" w:hAnsi="Arial"/>
          <w:sz w:val="22"/>
        </w:rPr>
        <w:t xml:space="preserve">HASENBALG, Carlos.</w:t>
      </w:r>
      <w:r>
        <w:rPr>
          <w:rFonts w:ascii="Arial" w:hAnsi="Arial"/>
          <w:sz w:val="22"/>
        </w:rPr>
        <w:t xml:space="preserve"> </w:t>
      </w:r>
      <w:r>
        <w:rPr>
          <w:rFonts w:ascii="Arial" w:hAnsi="Arial"/>
          <w:b/>
          <w:bCs/>
          <w:sz w:val="22"/>
        </w:rPr>
        <w:t xml:space="preserve">Discriminação e Desigualdades Raciais no Brasil</w:t>
      </w:r>
      <w:r>
        <w:rPr>
          <w:rFonts w:ascii="Arial" w:hAnsi="Arial"/>
          <w:sz w:val="22"/>
        </w:rPr>
        <w:t xml:space="preserve">. Rio de Janeiro: Graal, 1979.</w:t>
      </w:r>
    </w:p>
    <w:bookmarkEnd w:id="156"/>
    <w:bookmarkStart w:id="157" w:name="ref-henriques2001"/>
    <w:p>
      <w:pPr>
        <w:pStyle w:val="Bibliography"/>
        <w:spacing w:line="240" w:lineRule="auto" w:before="0" w:after="120"/>
        <w:ind w:firstLine="0" w:left="0"/>
        <w:jc w:val="left"/>
      </w:pPr>
      <w:r>
        <w:rPr>
          <w:rFonts w:ascii="Arial" w:hAnsi="Arial"/>
          <w:sz w:val="22"/>
        </w:rPr>
        <w:t xml:space="preserve">HENRIQUES, Ricardo. Desigualdade Racial no Brasil: Evolução das Condições de Vida na Década de 90.</w:t>
      </w:r>
      <w:r>
        <w:rPr>
          <w:rFonts w:ascii="Arial" w:hAnsi="Arial"/>
          <w:sz w:val="22"/>
        </w:rPr>
        <w:t xml:space="preserve"> </w:t>
      </w:r>
      <w:r>
        <w:rPr>
          <w:rFonts w:ascii="Arial" w:hAnsi="Arial"/>
          <w:b/>
          <w:bCs/>
          <w:sz w:val="22"/>
        </w:rPr>
        <w:t xml:space="preserve">Texto para Discussão IPEA</w:t>
      </w:r>
      <w:r>
        <w:rPr>
          <w:rFonts w:ascii="Arial" w:hAnsi="Arial"/>
          <w:sz w:val="22"/>
        </w:rPr>
        <w:t xml:space="preserve">, n. 807, 2001.</w:t>
      </w:r>
    </w:p>
    <w:bookmarkEnd w:id="157"/>
    <w:bookmarkStart w:id="158" w:name="ref-ibge_pof_2019"/>
    <w:p>
      <w:pPr>
        <w:pStyle w:val="Bibliography"/>
        <w:spacing w:line="240" w:lineRule="auto" w:before="0" w:after="120"/>
        <w:ind w:firstLine="0" w:left="0"/>
        <w:jc w:val="left"/>
      </w:pPr>
      <w:r>
        <w:rPr>
          <w:rFonts w:ascii="Arial" w:hAnsi="Arial"/>
          <w:sz w:val="22"/>
        </w:rPr>
        <w:t xml:space="preserve">IBGE.</w:t>
      </w:r>
      <w:r>
        <w:rPr>
          <w:rFonts w:ascii="Arial" w:hAnsi="Arial"/>
          <w:sz w:val="22"/>
        </w:rPr>
        <w:t xml:space="preserve"> </w:t>
      </w:r>
      <w:r>
        <w:rPr>
          <w:rFonts w:ascii="Arial" w:hAnsi="Arial"/>
          <w:b/>
          <w:bCs/>
          <w:sz w:val="22"/>
        </w:rPr>
        <w:t xml:space="preserve">Pesquisa de Orçamentos Familiares 2017–2018: análise da qualidade de vida (Índice de Perda de Qualidade de Vida)</w:t>
      </w:r>
      <w:r>
        <w:rPr>
          <w:rFonts w:ascii="Arial" w:hAnsi="Arial"/>
          <w:sz w:val="22"/>
        </w:rPr>
        <w:t xml:space="preserve">. Rio de Janeiro: Instituto Brasileiro de Geografia e Estatística, 2019.</w:t>
      </w:r>
    </w:p>
    <w:bookmarkEnd w:id="158"/>
    <w:bookmarkStart w:id="159" w:name="ref-ibge_pnad_2023"/>
    <w:p>
      <w:pPr>
        <w:pStyle w:val="Bibliography"/>
        <w:spacing w:line="240" w:lineRule="auto" w:before="0" w:after="120"/>
        <w:ind w:firstLine="0" w:left="0"/>
        <w:jc w:val="left"/>
      </w:pPr>
      <w:r>
        <w:rPr>
          <w:rFonts w:ascii="Arial" w:hAnsi="Arial"/>
          <w:sz w:val="22"/>
        </w:rPr>
        <w:t xml:space="preserve">IBGE.</w:t>
      </w:r>
      <w:r>
        <w:rPr>
          <w:rFonts w:ascii="Arial" w:hAnsi="Arial"/>
          <w:sz w:val="22"/>
        </w:rPr>
        <w:t xml:space="preserve"> </w:t>
      </w:r>
      <w:r>
        <w:rPr>
          <w:rFonts w:ascii="Arial" w:hAnsi="Arial"/>
          <w:b/>
          <w:bCs/>
          <w:sz w:val="22"/>
        </w:rPr>
        <w:t xml:space="preserve">Pesquisa Nacional por Amostra de Domicílios Contínua: Notas Metodológicas</w:t>
      </w:r>
      <w:r>
        <w:rPr>
          <w:rFonts w:ascii="Arial" w:hAnsi="Arial"/>
          <w:sz w:val="22"/>
        </w:rPr>
        <w:t xml:space="preserve">. Rio de Janeiro: Instituto Brasileiro de Geografia e Estatística, 2023.</w:t>
      </w:r>
    </w:p>
    <w:bookmarkEnd w:id="159"/>
    <w:bookmarkStart w:id="160" w:name="ref-ibge_rendimentos_2025"/>
    <w:p>
      <w:pPr>
        <w:pStyle w:val="Bibliography"/>
        <w:spacing w:line="240" w:lineRule="auto" w:before="0" w:after="120"/>
        <w:ind w:firstLine="0" w:left="0"/>
        <w:jc w:val="left"/>
      </w:pPr>
      <w:r>
        <w:rPr>
          <w:rFonts w:ascii="Arial" w:hAnsi="Arial"/>
          <w:sz w:val="22"/>
        </w:rPr>
        <w:t xml:space="preserve">IBGE.</w:t>
      </w:r>
      <w:r>
        <w:rPr>
          <w:rFonts w:ascii="Arial" w:hAnsi="Arial"/>
          <w:sz w:val="22"/>
        </w:rPr>
        <w:t xml:space="preserve"> </w:t>
      </w:r>
      <w:r>
        <w:rPr>
          <w:rFonts w:ascii="Arial" w:hAnsi="Arial"/>
          <w:b/>
          <w:bCs/>
          <w:sz w:val="22"/>
        </w:rPr>
        <w:t xml:space="preserve">Pesquisa Nacional por Amostra de Domicílios Contínua: Rendimento de Todas as Fontes 2025</w:t>
      </w:r>
      <w:r>
        <w:rPr>
          <w:rFonts w:ascii="Arial" w:hAnsi="Arial"/>
          <w:sz w:val="22"/>
        </w:rPr>
        <w:t xml:space="preserve">. Rio de Janeiro: Instituto Brasileiro de Geografia e Estatística, 2025.</w:t>
      </w:r>
    </w:p>
    <w:bookmarkEnd w:id="160"/>
    <w:bookmarkStart w:id="161" w:name="ref-koenker1978"/>
    <w:p>
      <w:pPr>
        <w:pStyle w:val="Bibliography"/>
        <w:spacing w:line="240" w:lineRule="auto" w:before="0" w:after="120"/>
        <w:ind w:firstLine="0" w:left="0"/>
        <w:jc w:val="left"/>
      </w:pPr>
      <w:r>
        <w:rPr>
          <w:rFonts w:ascii="Arial" w:hAnsi="Arial"/>
          <w:sz w:val="22"/>
        </w:rPr>
        <w:t xml:space="preserve">KOENKER, Roger; BASSETT, Gilbert. Regression Quantiles.</w:t>
      </w:r>
      <w:r>
        <w:rPr>
          <w:rFonts w:ascii="Arial" w:hAnsi="Arial"/>
          <w:sz w:val="22"/>
        </w:rPr>
        <w:t xml:space="preserve"> </w:t>
      </w:r>
      <w:r>
        <w:rPr>
          <w:rFonts w:ascii="Arial" w:hAnsi="Arial"/>
          <w:b/>
          <w:bCs/>
          <w:sz w:val="22"/>
        </w:rPr>
        <w:t xml:space="preserve">Econometrica</w:t>
      </w:r>
      <w:r>
        <w:rPr>
          <w:rFonts w:ascii="Arial" w:hAnsi="Arial"/>
          <w:sz w:val="22"/>
        </w:rPr>
        <w:t xml:space="preserve">, v. 46, n. 1, p. 33–50, 1978.</w:t>
      </w:r>
    </w:p>
    <w:bookmarkEnd w:id="161"/>
    <w:bookmarkStart w:id="162" w:name="ref-lundberg2017"/>
    <w:p>
      <w:pPr>
        <w:pStyle w:val="Bibliography"/>
        <w:spacing w:line="240" w:lineRule="auto" w:before="0" w:after="120"/>
        <w:ind w:firstLine="0" w:left="0"/>
        <w:jc w:val="left"/>
      </w:pPr>
      <w:r>
        <w:rPr>
          <w:rFonts w:ascii="Arial" w:hAnsi="Arial"/>
          <w:sz w:val="22"/>
        </w:rPr>
        <w:t xml:space="preserve">LUNDBERG, Scott M.; LEE, Su-In. A Unified Approach to Interpreting Model Predictions.</w:t>
      </w:r>
      <w:r>
        <w:rPr>
          <w:rFonts w:ascii="Arial" w:hAnsi="Arial"/>
          <w:sz w:val="22"/>
        </w:rPr>
        <w:t xml:space="preserve"> </w:t>
      </w:r>
      <w:r>
        <w:rPr>
          <w:rFonts w:ascii="Arial" w:hAnsi="Arial"/>
          <w:b/>
          <w:bCs/>
          <w:sz w:val="22"/>
        </w:rPr>
        <w:t xml:space="preserve">Advances in Neural Information Processing Systems</w:t>
      </w:r>
      <w:r>
        <w:rPr>
          <w:rFonts w:ascii="Arial" w:hAnsi="Arial"/>
          <w:sz w:val="22"/>
        </w:rPr>
        <w:t xml:space="preserve">, v. 30, 2017.</w:t>
      </w:r>
    </w:p>
    <w:bookmarkEnd w:id="162"/>
    <w:bookmarkStart w:id="163" w:name="ref-manski1993"/>
    <w:p>
      <w:pPr>
        <w:pStyle w:val="Bibliography"/>
        <w:spacing w:line="240" w:lineRule="auto" w:before="0" w:after="120"/>
        <w:ind w:firstLine="0" w:left="0"/>
        <w:jc w:val="left"/>
      </w:pPr>
      <w:r>
        <w:rPr>
          <w:rFonts w:ascii="Arial" w:hAnsi="Arial"/>
          <w:sz w:val="22"/>
        </w:rPr>
        <w:t xml:space="preserve">MANSKI, Charles F. Identification of Endogenous Social Effects: The Reflection Problem.</w:t>
      </w:r>
      <w:r>
        <w:rPr>
          <w:rFonts w:ascii="Arial" w:hAnsi="Arial"/>
          <w:sz w:val="22"/>
        </w:rPr>
        <w:t xml:space="preserve"> </w:t>
      </w:r>
      <w:r>
        <w:rPr>
          <w:rFonts w:ascii="Arial" w:hAnsi="Arial"/>
          <w:b/>
          <w:bCs/>
          <w:sz w:val="22"/>
        </w:rPr>
        <w:t xml:space="preserve">Review of Economic Studies</w:t>
      </w:r>
      <w:r>
        <w:rPr>
          <w:rFonts w:ascii="Arial" w:hAnsi="Arial"/>
          <w:sz w:val="22"/>
        </w:rPr>
        <w:t xml:space="preserve">, v. 60, n. 3, p. 531–542, 1993.</w:t>
      </w:r>
    </w:p>
    <w:bookmarkEnd w:id="163"/>
    <w:bookmarkStart w:id="164" w:name="ref-marques2010"/>
    <w:p>
      <w:pPr>
        <w:pStyle w:val="Bibliography"/>
        <w:spacing w:line="240" w:lineRule="auto" w:before="0" w:after="120"/>
        <w:ind w:firstLine="0" w:left="0"/>
        <w:jc w:val="left"/>
      </w:pPr>
      <w:r>
        <w:rPr>
          <w:rFonts w:ascii="Arial" w:hAnsi="Arial"/>
          <w:sz w:val="22"/>
        </w:rPr>
        <w:t xml:space="preserve">MARQUES, Eduardo. Redes Sociais, Segregação e Pobreza em São Paulo.</w:t>
      </w:r>
      <w:r>
        <w:rPr>
          <w:rFonts w:ascii="Arial" w:hAnsi="Arial"/>
          <w:sz w:val="22"/>
        </w:rPr>
        <w:t xml:space="preserve"> </w:t>
      </w:r>
      <w:r>
        <w:rPr>
          <w:rFonts w:ascii="Arial" w:hAnsi="Arial"/>
          <w:b/>
          <w:bCs/>
          <w:sz w:val="22"/>
        </w:rPr>
        <w:t xml:space="preserve">Dados: Revista de Ciências Sociais</w:t>
      </w:r>
      <w:r>
        <w:rPr>
          <w:rFonts w:ascii="Arial" w:hAnsi="Arial"/>
          <w:sz w:val="22"/>
        </w:rPr>
        <w:t xml:space="preserve">, v. 53, n. 1, p. 5–50, 2010.</w:t>
      </w:r>
    </w:p>
    <w:bookmarkEnd w:id="164"/>
    <w:bookmarkStart w:id="165" w:name="ref-oaxaca1973"/>
    <w:p>
      <w:pPr>
        <w:pStyle w:val="Bibliography"/>
        <w:spacing w:line="240" w:lineRule="auto" w:before="0" w:after="120"/>
        <w:ind w:firstLine="0" w:left="0"/>
        <w:jc w:val="left"/>
      </w:pPr>
      <w:r>
        <w:rPr>
          <w:rFonts w:ascii="Arial" w:hAnsi="Arial"/>
          <w:sz w:val="22"/>
        </w:rPr>
        <w:t xml:space="preserve">OAXACA, Ronald. Male-Female Wage Differentials in Urban Labor Markets.</w:t>
      </w:r>
      <w:r>
        <w:rPr>
          <w:rFonts w:ascii="Arial" w:hAnsi="Arial"/>
          <w:sz w:val="22"/>
        </w:rPr>
        <w:t xml:space="preserve"> </w:t>
      </w:r>
      <w:r>
        <w:rPr>
          <w:rFonts w:ascii="Arial" w:hAnsi="Arial"/>
          <w:b/>
          <w:bCs/>
          <w:sz w:val="22"/>
        </w:rPr>
        <w:t xml:space="preserve">International Economic Review</w:t>
      </w:r>
      <w:r>
        <w:rPr>
          <w:rFonts w:ascii="Arial" w:hAnsi="Arial"/>
          <w:sz w:val="22"/>
        </w:rPr>
        <w:t xml:space="preserve">, v. 14, n. 3, p. 693–709, 1973.</w:t>
      </w:r>
    </w:p>
    <w:bookmarkEnd w:id="165"/>
    <w:bookmarkStart w:id="166" w:name="ref-oaxaca_ransom1999"/>
    <w:p>
      <w:pPr>
        <w:pStyle w:val="Bibliography"/>
        <w:spacing w:line="240" w:lineRule="auto" w:before="0" w:after="120"/>
        <w:ind w:firstLine="0" w:left="0"/>
        <w:jc w:val="left"/>
      </w:pPr>
      <w:r>
        <w:rPr>
          <w:rFonts w:ascii="Arial" w:hAnsi="Arial"/>
          <w:sz w:val="22"/>
        </w:rPr>
        <w:t xml:space="preserve">OAXACA, Ronald L.; RANSOM, Michael R. Identification in Detailed Wage Decompositions.</w:t>
      </w:r>
      <w:r>
        <w:rPr>
          <w:rFonts w:ascii="Arial" w:hAnsi="Arial"/>
          <w:sz w:val="22"/>
        </w:rPr>
        <w:t xml:space="preserve"> </w:t>
      </w:r>
      <w:r>
        <w:rPr>
          <w:rFonts w:ascii="Arial" w:hAnsi="Arial"/>
          <w:b/>
          <w:bCs/>
          <w:sz w:val="22"/>
        </w:rPr>
        <w:t xml:space="preserve">Review of Economics and Statistics</w:t>
      </w:r>
      <w:r>
        <w:rPr>
          <w:rFonts w:ascii="Arial" w:hAnsi="Arial"/>
          <w:sz w:val="22"/>
        </w:rPr>
        <w:t xml:space="preserve">, v. 81, n. 1, p. 154–157, 1999.</w:t>
      </w:r>
    </w:p>
    <w:bookmarkEnd w:id="166"/>
    <w:bookmarkStart w:id="167" w:name="ref-pager2007"/>
    <w:p>
      <w:pPr>
        <w:pStyle w:val="Bibliography"/>
        <w:spacing w:line="240" w:lineRule="auto" w:before="0" w:after="120"/>
        <w:ind w:firstLine="0" w:left="0"/>
        <w:jc w:val="left"/>
      </w:pPr>
      <w:r>
        <w:rPr>
          <w:rFonts w:ascii="Arial" w:hAnsi="Arial"/>
          <w:sz w:val="22"/>
        </w:rPr>
        <w:t xml:space="preserve">PAGER, Devah.</w:t>
      </w:r>
      <w:r>
        <w:rPr>
          <w:rFonts w:ascii="Arial" w:hAnsi="Arial"/>
          <w:sz w:val="22"/>
        </w:rPr>
        <w:t xml:space="preserve"> </w:t>
      </w:r>
      <w:r>
        <w:rPr>
          <w:rFonts w:ascii="Arial" w:hAnsi="Arial"/>
          <w:b/>
          <w:bCs/>
          <w:sz w:val="22"/>
        </w:rPr>
        <w:t xml:space="preserve">Marked: Race, Crime, and Finding Work in an Era of Mass Incarceration</w:t>
      </w:r>
      <w:r>
        <w:rPr>
          <w:rFonts w:ascii="Arial" w:hAnsi="Arial"/>
          <w:sz w:val="22"/>
        </w:rPr>
        <w:t xml:space="preserve">. Chicago: University of Chicago Press, 2007.</w:t>
      </w:r>
    </w:p>
    <w:bookmarkEnd w:id="167"/>
    <w:bookmarkStart w:id="168" w:name="ref-raudenbush2002"/>
    <w:p>
      <w:pPr>
        <w:pStyle w:val="Bibliography"/>
        <w:spacing w:line="240" w:lineRule="auto" w:before="0" w:after="120"/>
        <w:ind w:firstLine="0" w:left="0"/>
        <w:jc w:val="left"/>
      </w:pPr>
      <w:r>
        <w:rPr>
          <w:rFonts w:ascii="Arial" w:hAnsi="Arial"/>
          <w:sz w:val="22"/>
        </w:rPr>
        <w:t xml:space="preserve">RAUDENBUSH, Stephen W.; BRYK, Anthony S.</w:t>
      </w:r>
      <w:r>
        <w:rPr>
          <w:rFonts w:ascii="Arial" w:hAnsi="Arial"/>
          <w:sz w:val="22"/>
        </w:rPr>
        <w:t xml:space="preserve"> </w:t>
      </w:r>
      <w:r>
        <w:rPr>
          <w:rFonts w:ascii="Arial" w:hAnsi="Arial"/>
          <w:b/>
          <w:bCs/>
          <w:sz w:val="22"/>
        </w:rPr>
        <w:t xml:space="preserve">Hierarchical Linear Models: Applications and Data Analysis Methods</w:t>
      </w:r>
      <w:r>
        <w:rPr>
          <w:rFonts w:ascii="Arial" w:hAnsi="Arial"/>
          <w:sz w:val="22"/>
        </w:rPr>
        <w:t xml:space="preserve">. 2. ed. Thousand Oaks, CA: Sage, 2002.</w:t>
      </w:r>
    </w:p>
    <w:bookmarkEnd w:id="168"/>
    <w:bookmarkStart w:id="169" w:name="ref-sampson1997"/>
    <w:p>
      <w:pPr>
        <w:pStyle w:val="Bibliography"/>
        <w:spacing w:line="240" w:lineRule="auto" w:before="0" w:after="120"/>
        <w:ind w:firstLine="0" w:left="0"/>
        <w:jc w:val="left"/>
      </w:pPr>
      <w:r>
        <w:rPr>
          <w:rFonts w:ascii="Arial" w:hAnsi="Arial"/>
          <w:sz w:val="22"/>
        </w:rPr>
        <w:t xml:space="preserve">SAMPSON, Robert J.; RAUDENBUSH, Stephen W.; EARLS, Felton. Neighborhoods and Violent Crime: A Multilevel Study of Collective Efficacy.</w:t>
      </w:r>
      <w:r>
        <w:rPr>
          <w:rFonts w:ascii="Arial" w:hAnsi="Arial"/>
          <w:sz w:val="22"/>
        </w:rPr>
        <w:t xml:space="preserve"> </w:t>
      </w:r>
      <w:r>
        <w:rPr>
          <w:rFonts w:ascii="Arial" w:hAnsi="Arial"/>
          <w:b/>
          <w:bCs/>
          <w:sz w:val="22"/>
        </w:rPr>
        <w:t xml:space="preserve">Science</w:t>
      </w:r>
      <w:r>
        <w:rPr>
          <w:rFonts w:ascii="Arial" w:hAnsi="Arial"/>
          <w:sz w:val="22"/>
        </w:rPr>
        <w:t xml:space="preserve">, v. 277, p. 918–924, 1997.</w:t>
      </w:r>
    </w:p>
    <w:bookmarkEnd w:id="169"/>
    <w:bookmarkStart w:id="170" w:name="ref-soares2009"/>
    <w:p>
      <w:pPr>
        <w:pStyle w:val="Bibliography"/>
        <w:spacing w:line="240" w:lineRule="auto" w:before="0" w:after="120"/>
        <w:ind w:firstLine="0" w:left="0"/>
        <w:jc w:val="left"/>
      </w:pPr>
      <w:r>
        <w:rPr>
          <w:rFonts w:ascii="Arial" w:hAnsi="Arial"/>
          <w:sz w:val="22"/>
        </w:rPr>
        <w:t xml:space="preserve">SOARES, Sergei. Desigualdade Racial de Renda no Brasil: 1976–2006.</w:t>
      </w:r>
      <w:r>
        <w:rPr>
          <w:rFonts w:ascii="Arial" w:hAnsi="Arial"/>
          <w:sz w:val="22"/>
        </w:rPr>
        <w:t xml:space="preserve"> </w:t>
      </w:r>
      <w:r>
        <w:rPr>
          <w:rFonts w:ascii="Arial" w:hAnsi="Arial"/>
          <w:b/>
          <w:bCs/>
          <w:sz w:val="22"/>
        </w:rPr>
        <w:t xml:space="preserve">Estudos Econômicos</w:t>
      </w:r>
      <w:r>
        <w:rPr>
          <w:rFonts w:ascii="Arial" w:hAnsi="Arial"/>
          <w:sz w:val="22"/>
        </w:rPr>
        <w:t xml:space="preserve">, v. 39, n. 4, p. 803–825, 2009.</w:t>
      </w:r>
    </w:p>
    <w:bookmarkEnd w:id="170"/>
    <w:bookmarkStart w:id="171" w:name="ref-telles2004"/>
    <w:p>
      <w:pPr>
        <w:pStyle w:val="Bibliography"/>
        <w:spacing w:line="240" w:lineRule="auto" w:before="0" w:after="120"/>
        <w:ind w:firstLine="0" w:left="0"/>
        <w:jc w:val="left"/>
      </w:pPr>
      <w:r>
        <w:rPr>
          <w:rFonts w:ascii="Arial" w:hAnsi="Arial"/>
          <w:sz w:val="22"/>
        </w:rPr>
        <w:t xml:space="preserve">TELLES, Edward E.</w:t>
      </w:r>
      <w:r>
        <w:rPr>
          <w:rFonts w:ascii="Arial" w:hAnsi="Arial"/>
          <w:sz w:val="22"/>
        </w:rPr>
        <w:t xml:space="preserve"> </w:t>
      </w:r>
      <w:r>
        <w:rPr>
          <w:rFonts w:ascii="Arial" w:hAnsi="Arial"/>
          <w:b/>
          <w:bCs/>
          <w:sz w:val="22"/>
        </w:rPr>
        <w:t xml:space="preserve">Race in Another America: The Significance of Skin Color in Brazil</w:t>
      </w:r>
      <w:r>
        <w:rPr>
          <w:rFonts w:ascii="Arial" w:hAnsi="Arial"/>
          <w:sz w:val="22"/>
        </w:rPr>
        <w:t xml:space="preserve">. Princeton: Princeton University Press, 2004.</w:t>
      </w:r>
    </w:p>
    <w:bookmarkEnd w:id="171"/>
    <w:bookmarkStart w:id="172" w:name="ref-vanderweele2017"/>
    <w:p>
      <w:pPr>
        <w:pStyle w:val="Bibliography"/>
        <w:spacing w:line="240" w:lineRule="auto" w:before="0" w:after="120"/>
        <w:ind w:firstLine="0" w:left="0"/>
        <w:jc w:val="left"/>
      </w:pPr>
      <w:r>
        <w:rPr>
          <w:rFonts w:ascii="Arial" w:hAnsi="Arial"/>
          <w:sz w:val="22"/>
        </w:rPr>
        <w:t xml:space="preserve">VANDERWEELE, Tyler J.; DING, Peng. Sensitivity Analysis in Observational Research: Introducing the E-Value.</w:t>
      </w:r>
      <w:r>
        <w:rPr>
          <w:rFonts w:ascii="Arial" w:hAnsi="Arial"/>
          <w:sz w:val="22"/>
        </w:rPr>
        <w:t xml:space="preserve"> </w:t>
      </w:r>
      <w:r>
        <w:rPr>
          <w:rFonts w:ascii="Arial" w:hAnsi="Arial"/>
          <w:b/>
          <w:bCs/>
          <w:sz w:val="22"/>
        </w:rPr>
        <w:t xml:space="preserve">Annals of Internal Medicine</w:t>
      </w:r>
      <w:r>
        <w:rPr>
          <w:rFonts w:ascii="Arial" w:hAnsi="Arial"/>
          <w:sz w:val="22"/>
        </w:rPr>
        <w:t xml:space="preserve">, v. 167, n. 4, p. 268–274, 2017.</w:t>
      </w:r>
    </w:p>
    <w:bookmarkEnd w:id="172"/>
    <w:bookmarkStart w:id="174" w:name="ref-wilm2026"/>
    <w:p>
      <w:pPr>
        <w:pStyle w:val="Bibliography"/>
        <w:spacing w:line="240" w:lineRule="auto" w:before="0" w:after="120"/>
        <w:ind w:firstLine="0" w:left="0"/>
        <w:jc w:val="left"/>
      </w:pPr>
      <w:r>
        <w:rPr>
          <w:rFonts w:ascii="Arial" w:hAnsi="Arial"/>
          <w:sz w:val="22"/>
        </w:rPr>
        <w:t xml:space="preserve">WILM, Melissa</w:t>
      </w:r>
      <w:r>
        <w:rPr>
          <w:rFonts w:ascii="Arial" w:hAnsi="Arial"/>
          <w:sz w:val="22"/>
        </w:rPr>
        <w:t xml:space="preserve"> </w:t>
      </w:r>
      <w:r>
        <w:rPr>
          <w:rFonts w:ascii="Arial" w:hAnsi="Arial"/>
          <w:i/>
          <w:iCs/>
          <w:sz w:val="22"/>
        </w:rPr>
        <w:t xml:space="preserve">et al.</w:t>
      </w:r>
      <w:r>
        <w:rPr>
          <w:rFonts w:ascii="Arial" w:hAnsi="Arial"/>
          <w:sz w:val="22"/>
        </w:rPr>
        <w:t xml:space="preserve"> </w:t>
      </w:r>
      <w:r>
        <w:rPr>
          <w:rFonts w:ascii="Arial" w:hAnsi="Arial"/>
          <w:b/>
          <w:bCs/>
          <w:sz w:val="22"/>
        </w:rPr>
        <w:t xml:space="preserve">Índice de Progresso Social Brasil 2026: resumo executivo</w:t>
      </w:r>
      <w:r>
        <w:rPr>
          <w:rFonts w:ascii="Arial" w:hAnsi="Arial"/>
          <w:sz w:val="22"/>
        </w:rPr>
        <w:t xml:space="preserve">. Belém: Imazon, 2026. Disponível em: &lt;</w:t>
      </w:r>
      <w:hyperlink r:id="rId173">
        <w:r>
          <w:rPr>
            <w:rStyle w:val="Hyperlink"/>
          </w:rPr>
          <w:t xml:space="preserve">https://imazon.org.br/relatorios/indice-de-progresso-social-brasil-2026</w:t>
        </w:r>
      </w:hyperlink>
      <w:r>
        <w:rPr>
          <w:rFonts w:ascii="Arial" w:hAnsi="Arial"/>
          <w:sz w:val="22"/>
        </w:rPr>
        <w:t xml:space="preserve">&gt;.</w:t>
      </w:r>
    </w:p>
    <w:bookmarkEnd w:id="174"/>
    <w:bookmarkStart w:id="175" w:name="ref-wilson1987"/>
    <w:p>
      <w:pPr>
        <w:pStyle w:val="Bibliography"/>
        <w:spacing w:line="240" w:lineRule="auto" w:before="0" w:after="120"/>
        <w:ind w:firstLine="0" w:left="0"/>
        <w:jc w:val="left"/>
      </w:pPr>
      <w:r>
        <w:rPr>
          <w:rFonts w:ascii="Arial" w:hAnsi="Arial"/>
          <w:sz w:val="22"/>
        </w:rPr>
        <w:t xml:space="preserve">WILSON, William J.</w:t>
      </w:r>
      <w:r>
        <w:rPr>
          <w:rFonts w:ascii="Arial" w:hAnsi="Arial"/>
          <w:sz w:val="22"/>
        </w:rPr>
        <w:t xml:space="preserve"> </w:t>
      </w:r>
      <w:r>
        <w:rPr>
          <w:rFonts w:ascii="Arial" w:hAnsi="Arial"/>
          <w:b/>
          <w:bCs/>
          <w:sz w:val="22"/>
        </w:rPr>
        <w:t xml:space="preserve">The Truly Disadvantaged: The Inner City, the Underclass, and Public Policy</w:t>
      </w:r>
      <w:r>
        <w:rPr>
          <w:rFonts w:ascii="Arial" w:hAnsi="Arial"/>
          <w:sz w:val="22"/>
        </w:rPr>
        <w:t xml:space="preserve">. Chicago: University of Chicago Press, 1987.</w:t>
      </w:r>
    </w:p>
    <w:bookmarkEnd w:id="175"/>
    <w:bookmarkEnd w:id="176"/>
    <w:bookmarkEnd w:id="177"/>
    <w:sectPr w:rsidR="00FE14AF" w:rsidRPr="000B508B" w:rsidSect="00346452">
      <w:headerReference r:id="rId11" w:type="default"/>
      <w:footerReference r:id="rId12" w:type="default"/>
      <w:footerReference r:id="rId13" w:type="first"/>
      <w:headerReference w:type="first" r:id="rId1"/>
      <w:headerReference w:type="even" r:id="rId2"/>
      <w:pgSz w:code="9" w:h="16838" w:w="11906"/>
      <w:pgMar w:bottom="1417" w:footer="709" w:gutter="0" w:header="709" w:left="1417" w:right="1417" w:top="1417"/>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vertAlign w:val="superscript"/>
        </w:rPr>
        <w:footnoteRef/>
      </w:r>
      <w:r>
        <w:t xml:space="preserve"> </w:t>
      </w:r>
      <m:oMath>
        <m:sSubSup>
          <m:e>
            <m:acc>
              <m:accPr>
                <m:chr m:val="̂"/>
              </m:accPr>
              <m:e>
                <m:r>
                  <m:t>τ</m:t>
                </m:r>
              </m:e>
            </m:acc>
          </m:e>
          <m:sub>
            <m:r>
              <m:rPr>
                <m:nor/>
                <m:sty m:val="p"/>
              </m:rPr>
              <m:t>UPA</m:t>
            </m:r>
          </m:sub>
          <m:sup>
            <m:r>
              <m:t>2</m:t>
            </m:r>
          </m:sup>
        </m:sSubSup>
        <m:r>
          <m:rPr>
            <m:sty m:val="p"/>
          </m:rPr>
          <m:t>=</m:t>
        </m:r>
        <m:r>
          <m:t>0</m:t>
        </m:r>
        <m:r>
          <m:rPr>
            <m:sty m:val="p"/>
          </m:rPr>
          <m:t>,</m:t>
        </m:r>
        <m:r>
          <m:t>3018</m:t>
        </m:r>
      </m:oMath>
      <w:r>
        <w:t xml:space="preserve"> </w:t>
      </w:r>
      <w:r>
        <w:t xml:space="preserve">(variância entre</w:t>
      </w:r>
      <w:r>
        <w:t xml:space="preserve"> </w:t>
      </w:r>
      <w:r>
        <w:t xml:space="preserve">bairros) e</w:t>
      </w:r>
      <w:r>
        <w:t xml:space="preserve"> </w:t>
      </w:r>
      <m:oMath>
        <m:sSup>
          <m:e>
            <m:acc>
              <m:accPr>
                <m:chr m:val="̂"/>
              </m:accPr>
              <m:e>
                <m:r>
                  <m:t>σ</m:t>
                </m:r>
              </m:e>
            </m:acc>
          </m:e>
          <m:sup>
            <m:r>
              <m:t>2</m:t>
            </m:r>
          </m:sup>
        </m:sSup>
        <m:r>
          <m:rPr>
            <m:sty m:val="p"/>
          </m:rPr>
          <m:t>=</m:t>
        </m:r>
        <m:r>
          <m:t>0</m:t>
        </m:r>
        <m:r>
          <m:rPr>
            <m:sty m:val="p"/>
          </m:rPr>
          <m:t>,</m:t>
        </m:r>
        <m:r>
          <m:t>5524</m:t>
        </m:r>
      </m:oMath>
      <w:r>
        <w:t xml:space="preserve"> </w:t>
      </w:r>
      <w:r>
        <w:t xml:space="preserve">(variância entre pessoas do mesmo bairro), com</w:t>
      </w:r>
      <w:r>
        <w:t xml:space="preserve"> </w:t>
      </w:r>
      <w:r>
        <w:t xml:space="preserve">ICC</w:t>
      </w:r>
      <w:r>
        <w:t xml:space="preserve"> </w:t>
      </w:r>
      <m:oMath>
        <m:r>
          <m:rPr>
            <m:sty m:val="p"/>
          </m:rPr>
          <m:t>=</m:t>
        </m:r>
        <m:sSup>
          <m:e>
            <m:acc>
              <m:accPr>
                <m:chr m:val="̂"/>
              </m:accPr>
              <m:e>
                <m:r>
                  <m:t>τ</m:t>
                </m:r>
              </m:e>
            </m:acc>
          </m:e>
          <m:sup>
            <m:r>
              <m:t>2</m:t>
            </m:r>
          </m:sup>
        </m:sSup>
        <m:r>
          <m:rPr>
            <m:sty m:val="p"/>
          </m:rPr>
          <m:t>/</m:t>
        </m:r>
        <m:r>
          <m:rPr>
            <m:sty m:val="p"/>
          </m:rPr>
          <m:t>(</m:t>
        </m:r>
        <m:sSup>
          <m:e>
            <m:acc>
              <m:accPr>
                <m:chr m:val="̂"/>
              </m:accPr>
              <m:e>
                <m:r>
                  <m:t>τ</m:t>
                </m:r>
              </m:e>
            </m:acc>
          </m:e>
          <m:sup>
            <m:r>
              <m:t>2</m:t>
            </m:r>
          </m:sup>
        </m:sSup>
        <m:r>
          <m:rPr>
            <m:sty m:val="p"/>
          </m:rPr>
          <m:t>+</m:t>
        </m:r>
        <m:sSup>
          <m:e>
            <m:acc>
              <m:accPr>
                <m:chr m:val="̂"/>
              </m:accPr>
              <m:e>
                <m:r>
                  <m:t>σ</m:t>
                </m:r>
              </m:e>
            </m:acc>
          </m:e>
          <m:sup>
            <m:r>
              <m:t>2</m:t>
            </m:r>
          </m:sup>
        </m:sSup>
        <m:r>
          <m:rPr>
            <m:sty m:val="p"/>
          </m:rPr>
          <m:t>)</m:t>
        </m:r>
      </m:oMath>
      <w:r>
        <w:t xml:space="preserve">.</w:t>
      </w:r>
    </w:p>
  </w:footnote>
  <w:footnote w:id="36">
    <w:p>
      <w:pPr>
        <w:pStyle w:val="FootnoteText"/>
      </w:pPr>
      <w:r>
        <w:rPr>
          <w:rStyle w:val="FootnoteReference"/>
          <w:vertAlign w:val="superscript"/>
        </w:rPr>
        <w:footnoteRef/>
      </w:r>
      <w:r>
        <w:t xml:space="preserve"> </w:t>
      </w:r>
      <w:r>
        <w:t xml:space="preserve">Os modelos têm o logaritmo do rendimento como variável dependente, de modo que o coeficiente está em log-pontos. A variação percentual correspondente é</w:t>
      </w:r>
      <w:r>
        <w:t xml:space="preserve"> </w:t>
      </w:r>
      <m:oMath>
        <m:r>
          <m:rPr>
            <m:sty m:val="p"/>
          </m:rPr>
          <m:t>(</m:t>
        </m:r>
        <m:sSup>
          <m:e>
            <m:r>
              <m:t>e</m:t>
            </m:r>
          </m:e>
          <m:sup>
            <m:acc>
              <m:accPr>
                <m:chr m:val="̂"/>
              </m:accPr>
              <m:e>
                <m:r>
                  <m:t>β</m:t>
                </m:r>
              </m:e>
            </m:acc>
          </m:sup>
        </m:sSup>
        <m:r>
          <m:rPr>
            <m:sty m:val="p"/>
          </m:rPr>
          <m:t>−</m:t>
        </m:r>
        <m:r>
          <m:t>1</m:t>
        </m:r>
        <m:r>
          <m:rPr>
            <m:sty m:val="p"/>
          </m:rPr>
          <m:t>)</m:t>
        </m:r>
        <m:r>
          <m:rPr>
            <m:sty m:val="p"/>
          </m:rPr>
          <m:t>×</m:t>
        </m:r>
        <m:r>
          <m:t>100</m:t>
        </m:r>
      </m:oMath>
      <w:r>
        <w:t xml:space="preserve">, e não</w:t>
      </w:r>
      <w:r>
        <w:t xml:space="preserve"> </w:t>
      </w:r>
      <m:oMath>
        <m:acc>
          <m:accPr>
            <m:chr m:val="̂"/>
          </m:accPr>
          <m:e>
            <m:r>
              <m:t>β</m:t>
            </m:r>
          </m:e>
        </m:acc>
        <m:r>
          <m:rPr>
            <m:sty m:val="p"/>
          </m:rPr>
          <m:t>×</m:t>
        </m:r>
        <m:r>
          <m:t>100</m:t>
        </m:r>
      </m:oMath>
      <w:r>
        <w:t xml:space="preserve">: para</w:t>
      </w:r>
      <w:r>
        <w:t xml:space="preserve"> </w:t>
      </w:r>
      <m:oMath>
        <m:acc>
          <m:accPr>
            <m:chr m:val="̂"/>
          </m:accPr>
          <m:e>
            <m:r>
              <m:t>β</m:t>
            </m:r>
          </m:e>
        </m:acc>
        <m:r>
          <m:rPr>
            <m:sty m:val="p"/>
          </m:rPr>
          <m:t>=</m:t>
        </m:r>
        <m:r>
          <m:rPr>
            <m:sty m:val="p"/>
          </m:rPr>
          <m:t>−</m:t>
        </m:r>
        <m:r>
          <m:t>0</m:t>
        </m:r>
        <m:r>
          <m:rPr>
            <m:sty m:val="p"/>
          </m:rPr>
          <m:t>,</m:t>
        </m:r>
        <m:r>
          <m:t>1104</m:t>
        </m:r>
      </m:oMath>
      <w:r>
        <w:t xml:space="preserve">, por exemplo, tem-se</w:t>
      </w:r>
      <w:r>
        <w:t xml:space="preserve"> </w:t>
      </w:r>
      <m:oMath>
        <m:r>
          <m:rPr>
            <m:sty m:val="p"/>
          </m:rPr>
          <m:t>−</m:t>
        </m:r>
        <m:r>
          <m:t>10</m:t>
        </m:r>
        <m:r>
          <m:rPr>
            <m:sty m:val="p"/>
          </m:rPr>
          <m:t>,</m:t>
        </m:r>
        <m:r>
          <m:t>5</m:t>
        </m:r>
        <m:r>
          <m:rPr>
            <m:sty m:val="p"/>
          </m:rPr>
          <m:t>%</m:t>
        </m:r>
      </m:oMath>
      <w:r>
        <w:t xml:space="preserve">, e não</w:t>
      </w:r>
      <w:r>
        <w:t xml:space="preserve"> </w:t>
      </w:r>
      <m:oMath>
        <m:r>
          <m:rPr>
            <m:sty m:val="p"/>
          </m:rPr>
          <m:t>−</m:t>
        </m:r>
        <m:r>
          <m:t>11</m:t>
        </m:r>
        <m:r>
          <m:rPr>
            <m:sty m:val="p"/>
          </m:rPr>
          <m:t>,</m:t>
        </m:r>
        <m:r>
          <m:t>0</m:t>
        </m:r>
        <m:r>
          <m:rPr>
            <m:sty m:val="p"/>
          </m:rPr>
          <m:t>%</m:t>
        </m:r>
      </m:oMath>
      <w:r>
        <w:t xml:space="preserve">. As duas leituras se aproximam quando o coeficiente é pequeno e divergem à medida que ele cresce em módulo; todos os percentuais de gap deste trabalho usam a primeira forma.</w:t>
      </w:r>
    </w:p>
  </w:footnote>
  <w:footnote w:id="37">
    <w:p>
      <w:pPr>
        <w:pStyle w:val="FootnoteText"/>
      </w:pPr>
      <w:r>
        <w:rPr>
          <w:rStyle w:val="FootnoteReference"/>
          <w:vertAlign w:val="superscript"/>
        </w:rPr>
        <w:footnoteRef/>
      </w:r>
      <w:r>
        <w:t xml:space="preserve"> </w:t>
      </w:r>
      <m:oMath>
        <m:sSubSup>
          <m:e>
            <m:acc>
              <m:accPr>
                <m:chr m:val="̂"/>
              </m:accPr>
              <m:e>
                <m:r>
                  <m:t>β</m:t>
                </m:r>
              </m:e>
            </m:acc>
          </m:e>
          <m:sub>
            <m:r>
              <m:rPr>
                <m:nor/>
                <m:sty m:val="p"/>
              </m:rPr>
              <m:t>negro</m:t>
            </m:r>
          </m:sub>
          <m:sup>
            <m:r>
              <m:t>M</m:t>
            </m:r>
            <m:r>
              <m:t>1</m:t>
            </m:r>
          </m:sup>
        </m:sSubSup>
        <m:r>
          <m:rPr>
            <m:sty m:val="p"/>
          </m:rPr>
          <m:t>=</m:t>
        </m:r>
        <m:r>
          <m:rPr>
            <m:sty m:val="p"/>
          </m:rPr>
          <m:t>−</m:t>
        </m:r>
        <m:r>
          <m:t>0</m:t>
        </m:r>
        <m:r>
          <m:rPr>
            <m:sty m:val="p"/>
          </m:rPr>
          <m:t>,</m:t>
        </m:r>
        <m:r>
          <m:t>0669</m:t>
        </m:r>
      </m:oMath>
      <w:r>
        <w:t xml:space="preserve">, IC 95%: [−0,0679; −0,0658].</w:t>
      </w:r>
    </w:p>
  </w:footnote>
  <w:footnote w:id="38">
    <w:p>
      <w:pPr>
        <w:pStyle w:val="FootnoteText"/>
      </w:pPr>
      <w:r>
        <w:rPr>
          <w:rStyle w:val="FootnoteReference"/>
          <w:vertAlign w:val="superscript"/>
        </w:rPr>
        <w:footnoteRef/>
      </w:r>
      <w:r>
        <w:t xml:space="preserve"> </w:t>
      </w:r>
      <m:oMath>
        <m:sSup>
          <m:e>
            <m:acc>
              <m:accPr>
                <m:chr m:val="̂"/>
              </m:accPr>
              <m:e>
                <m:r>
                  <m:t>τ</m:t>
                </m:r>
              </m:e>
            </m:acc>
          </m:e>
          <m:sup>
            <m:r>
              <m:t>2</m:t>
            </m:r>
          </m:sup>
        </m:sSup>
      </m:oMath>
      <w:r>
        <w:t xml:space="preserve"> </w:t>
      </w:r>
      <w:r>
        <w:t xml:space="preserve">cai de 0,1012 para</w:t>
      </w:r>
      <w:r>
        <w:t xml:space="preserve"> </w:t>
      </w:r>
      <w:r>
        <w:t xml:space="preserve">0,0454; LR</w:t>
      </w:r>
      <w:r>
        <w:t xml:space="preserve"> </w:t>
      </w:r>
      <m:oMath>
        <m:r>
          <m:rPr>
            <m:sty m:val="p"/>
          </m:rPr>
          <m:t>=</m:t>
        </m:r>
      </m:oMath>
      <w:r>
        <w:t xml:space="preserve"> </w:t>
      </w:r>
      <w:r>
        <w:t xml:space="preserve">29.811, 3 g.l.,</w:t>
      </w:r>
      <w:r>
        <w:t xml:space="preserve"> </w:t>
      </w:r>
      <m:oMath>
        <m:r>
          <m:t>p</m:t>
        </m:r>
        <m:r>
          <m:rPr>
            <m:sty m:val="p"/>
          </m:rPr>
          <m:t>&lt;</m:t>
        </m:r>
        <m:r>
          <m:t>0</m:t>
        </m:r>
        <m:r>
          <m:rPr>
            <m:sty m:val="p"/>
          </m:rPr>
          <m:t>,</m:t>
        </m:r>
        <m:r>
          <m:t>001</m:t>
        </m:r>
      </m:oMath>
      <w:r>
        <w:t xml:space="preserve">.</w:t>
      </w:r>
    </w:p>
  </w:footnote>
  <w:footnote w:id="39">
    <w:p>
      <w:pPr>
        <w:pStyle w:val="FootnoteText"/>
      </w:pPr>
      <w:r>
        <w:rPr>
          <w:rStyle w:val="FootnoteReference"/>
          <w:vertAlign w:val="superscript"/>
        </w:rPr>
        <w:footnoteRef/>
      </w:r>
      <w:r>
        <w:t xml:space="preserve"> </w:t>
      </w:r>
      <w:r>
        <w:t xml:space="preserve">IC 95% de</w:t>
      </w:r>
      <w:r>
        <w:t xml:space="preserve"> </w:t>
      </w:r>
      <m:oMath>
        <m:sSubSup>
          <m:e>
            <m:acc>
              <m:accPr>
                <m:chr m:val="̂"/>
              </m:accPr>
              <m:e>
                <m:r>
                  <m:t>β</m:t>
                </m:r>
              </m:e>
            </m:acc>
          </m:e>
          <m:sub>
            <m:r>
              <m:rPr>
                <m:nor/>
                <m:sty m:val="p"/>
              </m:rPr>
              <m:t>negro</m:t>
            </m:r>
          </m:sub>
          <m:sup>
            <m:r>
              <m:t>M</m:t>
            </m:r>
            <m:r>
              <m:t>3</m:t>
            </m:r>
          </m:sup>
        </m:sSubSup>
      </m:oMath>
      <w:r>
        <w:t xml:space="preserve">: [−0,0639; −0,0619]. O ICC cai para 0,076 e os controles acumulados explicam</w:t>
      </w:r>
      <w:r>
        <w:t xml:space="preserve"> </w:t>
      </w:r>
      <w:r>
        <w:t xml:space="preserve">90,1% da variância entre bairros do M0; a escada completa está nas linhas</w:t>
      </w:r>
      <w:r>
        <w:t xml:space="preserve"> </w:t>
      </w:r>
      <w:r>
        <w:t xml:space="preserve">inferiores da Tabela 4.</w:t>
      </w:r>
    </w:p>
  </w:footnote>
  <w:footnote w:id="40">
    <w:p>
      <w:pPr>
        <w:pStyle w:val="FootnoteText"/>
      </w:pPr>
      <w:r>
        <w:rPr>
          <w:rStyle w:val="FootnoteReference"/>
          <w:vertAlign w:val="superscript"/>
        </w:rPr>
        <w:footnoteRef/>
      </w:r>
      <w:r>
        <w:t xml:space="preserve"> </w:t>
      </w:r>
      <w:r>
        <w:t xml:space="preserve">Estimado com</w:t>
      </w:r>
      <w:r>
        <w:t xml:space="preserve"> </w:t>
      </w:r>
      <w:r>
        <w:rPr>
          <w:rStyle w:val="VerbatimChar"/>
        </w:rPr>
        <w:t xml:space="preserve">lme4</w:t>
      </w:r>
      <w:r>
        <w:t xml:space="preserve"> </w:t>
      </w:r>
      <w:r>
        <w:t xml:space="preserve">sobre a mesma população. A especificação do trabalho continua sendo a de dois níveis: 27 estados são poucos para estimar uma variância com precisão, e o efeito fixo absorve o contexto estadual sem hipótese distribucional. O ponto desta checagem é outro: o coeficiente racial não depende dessa escolha — vale −0,0629 com a UF como efeito fixo e −0,0629 com a UF como nível aleatório.</w:t>
      </w:r>
    </w:p>
  </w:footnote>
  <w:footnote w:id="42">
    <w:p>
      <w:pPr>
        <w:pStyle w:val="FootnoteText"/>
      </w:pPr>
      <w:r>
        <w:rPr>
          <w:rStyle w:val="FootnoteReference"/>
          <w:vertAlign w:val="superscript"/>
        </w:rPr>
        <w:footnoteRef/>
      </w:r>
      <w:r>
        <w:t xml:space="preserve"> </w:t>
      </w:r>
      <m:oMath>
        <m:sSubSup>
          <m:e>
            <m:acc>
              <m:accPr>
                <m:chr m:val="̂"/>
              </m:accPr>
              <m:e>
                <m:r>
                  <m:t>τ</m:t>
                </m:r>
              </m:e>
            </m:acc>
          </m:e>
          <m:sub>
            <m:r>
              <m:t>1</m:t>
            </m:r>
          </m:sub>
          <m:sup>
            <m:r>
              <m:t>2</m:t>
            </m:r>
          </m:sup>
        </m:sSubSup>
        <m:r>
          <m:rPr>
            <m:sty m:val="p"/>
          </m:rPr>
          <m:t>=</m:t>
        </m:r>
        <m:r>
          <m:t>0</m:t>
        </m:r>
        <m:r>
          <m:rPr>
            <m:sty m:val="p"/>
          </m:rPr>
          <m:t>,</m:t>
        </m:r>
        <m:r>
          <m:t>0210</m:t>
        </m:r>
      </m:oMath>
      <w:r>
        <w:t xml:space="preserve">, componente de variância da inclinação</w:t>
      </w:r>
      <w:r>
        <w:t xml:space="preserve"> </w:t>
      </w:r>
      <w:r>
        <w:t xml:space="preserve">aleatória de</w:t>
      </w:r>
      <w:r>
        <w:t xml:space="preserve"> </w:t>
      </w:r>
      <w:r>
        <w:rPr>
          <w:rStyle w:val="VerbatimChar"/>
        </w:rPr>
        <w:t xml:space="preserve">negro</w:t>
      </w:r>
      <w:r>
        <w:t xml:space="preserve"> </w:t>
      </w:r>
      <w:r>
        <w:t xml:space="preserve">por UPA.</w:t>
      </w:r>
    </w:p>
  </w:footnote>
  <w:footnote w:id="70">
    <w:p>
      <w:pPr>
        <w:pStyle w:val="FootnoteText"/>
      </w:pPr>
      <w:r>
        <w:rPr>
          <w:rStyle w:val="FootnoteReference"/>
          <w:vertAlign w:val="superscript"/>
        </w:rPr>
        <w:footnoteRef/>
      </w:r>
      <w:r>
        <w:t xml:space="preserve"> </w:t>
      </w:r>
      <w:r>
        <w:rPr>
          <w:rStyle w:val="VerbatimChar"/>
        </w:rPr>
        <w:t xml:space="preserve">lme4::glmer</w:t>
      </w:r>
      <w:r>
        <w:t xml:space="preserve"> </w:t>
      </w:r>
      <w:r>
        <w:t xml:space="preserve">com</w:t>
      </w:r>
      <w:r>
        <w:t xml:space="preserve"> </w:t>
      </w:r>
      <w:r>
        <w:rPr>
          <w:rStyle w:val="VerbatimChar"/>
        </w:rPr>
        <w:t xml:space="preserve">nAGQ = 0</w:t>
      </w:r>
      <w:r>
        <w:t xml:space="preserve"> </w:t>
      </w:r>
      <w:r>
        <w:t xml:space="preserve">— os efeitos fixos são estimados</w:t>
      </w:r>
      <w:r>
        <w:t xml:space="preserve"> </w:t>
      </w:r>
      <w:r>
        <w:t xml:space="preserve">junto com os modos condicionais, aproximação mais rápida que a de Laplace e adequada a</w:t>
      </w:r>
      <w:r>
        <w:t xml:space="preserve"> </w:t>
      </w:r>
      <m:oMath>
        <m:r>
          <m:t>N</m:t>
        </m:r>
      </m:oMath>
      <w:r>
        <w:t xml:space="preserve"> </w:t>
      </w:r>
      <w:r>
        <w:t xml:space="preserve">de milhões —, sobre a população completa.</w:t>
      </w:r>
      <w:r>
        <w:t xml:space="preserve"> </w:t>
      </w:r>
      <w:r>
        <w:t xml:space="preserve">Os degraus são: A1 individual; A2</w:t>
      </w:r>
      <w:r>
        <w:t xml:space="preserve"> </w:t>
      </w:r>
      <m:oMath>
        <m:r>
          <m:rPr>
            <m:sty m:val="p"/>
          </m:rPr>
          <m:t>+</m:t>
        </m:r>
      </m:oMath>
      <w:r>
        <w:t xml:space="preserve"> </w:t>
      </w:r>
      <w:r>
        <w:t xml:space="preserve">contexto do bairro; A3</w:t>
      </w:r>
      <w:r>
        <w:t xml:space="preserve"> </w:t>
      </w:r>
      <m:oMath>
        <m:r>
          <m:rPr>
            <m:sty m:val="p"/>
          </m:rPr>
          <m:t>+</m:t>
        </m:r>
      </m:oMath>
      <w:r>
        <w:t xml:space="preserve"> </w:t>
      </w:r>
      <w:r>
        <w:t xml:space="preserve">vínculo (formalidade,</w:t>
      </w:r>
      <w:r>
        <w:t xml:space="preserve"> </w:t>
      </w:r>
      <w:r>
        <w:t xml:space="preserve">setor público, conta própria, doméstico), que é desfecho da própria discriminação e por</w:t>
      </w:r>
      <w:r>
        <w:t xml:space="preserve"> </w:t>
      </w:r>
      <w:r>
        <w:t xml:space="preserve">isso faz do A3 um limite inferior; A4</w:t>
      </w:r>
      <w:r>
        <w:t xml:space="preserve"> </w:t>
      </w:r>
      <m:oMath>
        <m:r>
          <m:rPr>
            <m:sty m:val="p"/>
          </m:rPr>
          <m:t>+</m:t>
        </m:r>
      </m:oMath>
      <w:r>
        <w:t xml:space="preserve"> </w:t>
      </w:r>
      <w:r>
        <w:t xml:space="preserve">interação</w:t>
      </w:r>
      <w:r>
        <w:t xml:space="preserve"> </w:t>
      </w:r>
      <w:r>
        <w:rPr>
          <w:rStyle w:val="VerbatimChar"/>
        </w:rPr>
        <w:t xml:space="preserve">negro</w:t>
      </w:r>
      <m:oMath>
        <m:r>
          <m:rPr>
            <m:sty m:val="p"/>
          </m:rPr>
          <m:t>×</m:t>
        </m:r>
      </m:oMath>
      <w:r>
        <w:t xml:space="preserve">credencial. A</w:t>
      </w:r>
      <w:r>
        <w:t xml:space="preserve"> </w:t>
      </w:r>
      <w:r>
        <w:t xml:space="preserve">Tabela 7 traz</w:t>
      </w:r>
      <w:r>
        <w:t xml:space="preserve"> </w:t>
      </w:r>
      <w:r>
        <w:t xml:space="preserve">odds ratios</w:t>
      </w:r>
      <w:r>
        <w:t xml:space="preserve">, efeitos marginais, ICC e</w:t>
      </w:r>
      <w:r>
        <w:t xml:space="preserve"> </w:t>
      </w:r>
      <w:r>
        <w:t xml:space="preserve">E-values; a Tabela 8, o ajuste e a classificação.</w:t>
      </w:r>
    </w:p>
  </w:footnote>
  <w:footnote w:id="71">
    <w:p>
      <w:pPr>
        <w:pStyle w:val="FootnoteText"/>
      </w:pPr>
      <w:r>
        <w:rPr>
          <w:rStyle w:val="FootnoteReference"/>
          <w:vertAlign w:val="superscript"/>
        </w:rPr>
        <w:footnoteRef/>
      </w:r>
      <w:r>
        <w:t xml:space="preserve"> </w:t>
      </w:r>
      <w:r>
        <w:t xml:space="preserve">Correlação intraclasse latente do M1:</w:t>
      </w:r>
      <w:r>
        <w:t xml:space="preserve"> </w:t>
      </w:r>
      <w:r>
        <w:t xml:space="preserve">0,087 para o cargo qualificado e 0,221 para o top 10%, com</w:t>
      </w:r>
      <w:r>
        <w:t xml:space="preserve"> </w:t>
      </w:r>
      <w:r>
        <w:t xml:space="preserve">ICC</w:t>
      </w:r>
      <w:r>
        <w:t xml:space="preserve"> </w:t>
      </w:r>
      <m:oMath>
        <m:r>
          <m:rPr>
            <m:sty m:val="p"/>
          </m:rPr>
          <m:t>=</m:t>
        </m:r>
        <m:sSup>
          <m:e>
            <m:r>
              <m:t>τ</m:t>
            </m:r>
          </m:e>
          <m:sup>
            <m:r>
              <m:t>2</m:t>
            </m:r>
          </m:sup>
        </m:sSup>
        <m:r>
          <m:rPr>
            <m:sty m:val="p"/>
          </m:rPr>
          <m:t>/</m:t>
        </m:r>
        <m:r>
          <m:rPr>
            <m:sty m:val="p"/>
          </m:rPr>
          <m:t>(</m:t>
        </m:r>
        <m:sSup>
          <m:e>
            <m:r>
              <m:t>τ</m:t>
            </m:r>
          </m:e>
          <m:sup>
            <m:r>
              <m:t>2</m:t>
            </m:r>
          </m:sup>
        </m:sSup>
        <m:r>
          <m:rPr>
            <m:sty m:val="p"/>
          </m:rPr>
          <m:t>+</m:t>
        </m:r>
        <m:sSup>
          <m:e>
            <m:r>
              <m:t>π</m:t>
            </m:r>
          </m:e>
          <m:sup>
            <m:r>
              <m:t>2</m:t>
            </m:r>
          </m:sup>
        </m:sSup>
        <m:r>
          <m:rPr>
            <m:sty m:val="p"/>
          </m:rPr>
          <m:t>/</m:t>
        </m:r>
        <m:r>
          <m:t>3</m:t>
        </m:r>
        <m:r>
          <m:rPr>
            <m:sty m:val="p"/>
          </m:rPr>
          <m:t>)</m:t>
        </m:r>
      </m:oMath>
      <w:r>
        <w:t xml:space="preserve">. O teste de razão de verossimilhança contra o logit sem</w:t>
      </w:r>
      <w:r>
        <w:t xml:space="preserve"> </w:t>
      </w:r>
      <w:r>
        <w:t xml:space="preserve">efeito aleatório dá LR</w:t>
      </w:r>
      <w:r>
        <w:t xml:space="preserve"> </w:t>
      </w:r>
      <m:oMath>
        <m:r>
          <m:rPr>
            <m:sty m:val="p"/>
          </m:rPr>
          <m:t>=</m:t>
        </m:r>
      </m:oMath>
      <w:r>
        <w:t xml:space="preserve"> </w:t>
      </w:r>
      <w:r>
        <w:t xml:space="preserve">77.940 para o cargo e 80.791 para o top 10%</w:t>
      </w:r>
      <w:r>
        <w:t xml:space="preserve"> </w:t>
      </w:r>
      <w:r>
        <w:t xml:space="preserve">(1 g.l.,</w:t>
      </w:r>
      <w:r>
        <w:t xml:space="preserve"> </w:t>
      </w:r>
      <m:oMath>
        <m:r>
          <m:t>p</m:t>
        </m:r>
        <m:r>
          <m:rPr>
            <m:sty m:val="p"/>
          </m:rPr>
          <m:t>&lt;</m:t>
        </m:r>
        <m:r>
          <m:t>0</m:t>
        </m:r>
        <m:r>
          <m:rPr>
            <m:sty m:val="p"/>
          </m:rPr>
          <m:t>,</m:t>
        </m:r>
        <m:r>
          <m:t>001</m:t>
        </m:r>
      </m:oMath>
      <w:r>
        <w:t xml:space="preserve">).</w:t>
      </w:r>
    </w:p>
  </w:footnote>
  <w:footnote w:id="72">
    <w:p>
      <w:pPr>
        <w:pStyle w:val="FootnoteText"/>
      </w:pPr>
      <w:r>
        <w:rPr>
          <w:rStyle w:val="FootnoteReference"/>
          <w:vertAlign w:val="superscript"/>
        </w:rPr>
        <w:footnoteRef/>
      </w:r>
      <w:r>
        <w:t xml:space="preserve"> </w:t>
      </w:r>
      <w:r>
        <w:t xml:space="preserve">IC 95% 0,810–0,818.</w:t>
      </w:r>
      <w:r>
        <w:t xml:space="preserve"> </w:t>
      </w:r>
      <w:r>
        <w:t xml:space="preserve">Odds ratio</w:t>
      </w:r>
      <w:r>
        <w:t xml:space="preserve"> </w:t>
      </w:r>
      <w:r>
        <w:t xml:space="preserve">abaixo de 1 é</w:t>
      </w:r>
      <w:r>
        <w:t xml:space="preserve"> </w:t>
      </w:r>
      <w:r>
        <w:t xml:space="preserve">desvantagem; acima de 1, vantagem.</w:t>
      </w:r>
    </w:p>
  </w:footnote>
  <w:footnote w:id="73">
    <w:p>
      <w:pPr>
        <w:pStyle w:val="FootnoteText"/>
      </w:pPr>
      <w:r>
        <w:rPr>
          <w:rStyle w:val="FootnoteReference"/>
          <w:vertAlign w:val="superscript"/>
        </w:rPr>
        <w:footnoteRef/>
      </w:r>
      <w:r>
        <w:t xml:space="preserve"> </w:t>
      </w:r>
      <w:r>
        <w:t xml:space="preserve">AUC de 0,878 com</w:t>
      </w:r>
      <w:r>
        <w:t xml:space="preserve"> </w:t>
      </w:r>
      <w:r>
        <w:t xml:space="preserve">efeitos aleatórios e 0,870 só com efeitos fixos, para o cargo qualificado;</w:t>
      </w:r>
      <w:r>
        <w:t xml:space="preserve"> </w:t>
      </w:r>
      <w:r>
        <w:t xml:space="preserve">no</w:t>
      </w:r>
      <w:r>
        <w:t xml:space="preserve"> </w:t>
      </w:r>
      <w:r>
        <w:t xml:space="preserve">cutoff</w:t>
      </w:r>
      <w:r>
        <w:t xml:space="preserve"> </w:t>
      </w:r>
      <w:r>
        <w:t xml:space="preserve">de Youden (0,30), sensibilidade 0,79 e</w:t>
      </w:r>
      <w:r>
        <w:t xml:space="preserve"> </w:t>
      </w:r>
      <w:r>
        <w:t xml:space="preserve">especificidade 0,79. O teste de Hosmer–Lemeshow rejeita a calibração</w:t>
      </w:r>
      <w:r>
        <w:t xml:space="preserve"> </w:t>
      </w:r>
      <w:r>
        <w:t xml:space="preserve">perfeita em todos os degraus — inevitável com</w:t>
      </w:r>
      <w:r>
        <w:t xml:space="preserve"> </w:t>
      </w:r>
      <m:oMath>
        <m:r>
          <m:t>N</m:t>
        </m:r>
      </m:oMath>
      <w:r>
        <w:t xml:space="preserve"> </w:t>
      </w:r>
      <w:r>
        <w:t xml:space="preserve">de milhões</w:t>
      </w:r>
      <w:r>
        <w:t xml:space="preserve"> </w:t>
      </w:r>
      <w:r>
        <w:t xml:space="preserve">(Angrist; Pischke, 2009)</w:t>
      </w:r>
      <w:r>
        <w:t xml:space="preserve"> </w:t>
      </w:r>
      <w:r>
        <w:t xml:space="preserve">—,</w:t>
      </w:r>
      <w:r>
        <w:t xml:space="preserve"> </w:t>
      </w:r>
      <w:r>
        <w:t xml:space="preserve">mas a estatística cai 69% no top 20% e 54% no top 10%, embora suba no cargo qualificado ao se acrescentar o vínculo (A3).</w:t>
      </w:r>
    </w:p>
  </w:footnote>
  <w:footnote w:id="90">
    <w:p>
      <w:pPr>
        <w:pStyle w:val="FootnoteText"/>
      </w:pPr>
      <w:r>
        <w:rPr>
          <w:rStyle w:val="FootnoteReference"/>
          <w:vertAlign w:val="superscript"/>
        </w:rPr>
        <w:footnoteRef/>
      </w:r>
      <w:r>
        <w:t xml:space="preserve"> </w:t>
      </w:r>
      <w:r>
        <w:t xml:space="preserve">GLMM de acesso reespecificado com</w:t>
      </w:r>
      <w:r>
        <w:t xml:space="preserve"> </w:t>
      </w:r>
      <w:r>
        <w:rPr>
          <w:rStyle w:val="VerbatimChar"/>
        </w:rPr>
        <w:t xml:space="preserve">grupo_rg</w:t>
      </w:r>
      <w:r>
        <w:t xml:space="preserve"> </w:t>
      </w:r>
      <w:r>
        <w:t xml:space="preserve">(homem branco como</w:t>
      </w:r>
      <w:r>
        <w:t xml:space="preserve"> </w:t>
      </w:r>
      <w:r>
        <w:t xml:space="preserve">referência, mulher branca, homem negro, mulher negra) e a interação</w:t>
      </w:r>
      <w:r>
        <w:t xml:space="preserve"> </w:t>
      </w:r>
      <w:r>
        <w:rPr>
          <w:rStyle w:val="VerbatimChar"/>
        </w:rPr>
        <w:t xml:space="preserve">negro</w:t>
      </w:r>
      <m:oMath>
        <m:r>
          <m:rPr>
            <m:sty m:val="p"/>
          </m:rPr>
          <m:t>×</m:t>
        </m:r>
      </m:oMath>
      <w:r>
        <w:rPr>
          <w:rStyle w:val="VerbatimChar"/>
        </w:rPr>
        <w:t xml:space="preserve">sexo_fem</w:t>
      </w:r>
      <w:r>
        <w:t xml:space="preserve">, em três desfechos: ocupação qualificada (CBO 1–4),</w:t>
      </w:r>
      <w:r>
        <w:t xml:space="preserve"> </w:t>
      </w:r>
      <w:r>
        <w:t xml:space="preserve">renda no top 20% e no top 10%.</w:t>
      </w:r>
    </w:p>
  </w:footnote>
  <w:footnote w:id="96">
    <w:p>
      <w:pPr>
        <w:pStyle w:val="FootnoteText"/>
      </w:pPr>
      <w:r>
        <w:rPr>
          <w:rStyle w:val="FootnoteReference"/>
          <w:vertAlign w:val="superscript"/>
        </w:rPr>
        <w:footnoteRef/>
      </w:r>
      <w:r>
        <w:t xml:space="preserve"> </w:t>
      </w:r>
      <w:r>
        <w:t xml:space="preserve">A interação</w:t>
      </w:r>
      <w:r>
        <w:t xml:space="preserve"> </w:t>
      </w:r>
      <w:r>
        <w:rPr>
          <w:rStyle w:val="VerbatimChar"/>
        </w:rPr>
        <w:t xml:space="preserve">negro</w:t>
      </w:r>
      <m:oMath>
        <m:r>
          <m:rPr>
            <m:sty m:val="p"/>
          </m:rPr>
          <m:t>×</m:t>
        </m:r>
      </m:oMath>
      <w:r>
        <w:rPr>
          <w:rStyle w:val="VerbatimChar"/>
        </w:rPr>
        <w:t xml:space="preserve">sexo_fem</w:t>
      </w:r>
      <w:r>
        <w:t xml:space="preserve"> </w:t>
      </w:r>
      <w:r>
        <w:t xml:space="preserve">é</w:t>
      </w:r>
      <w:r>
        <w:t xml:space="preserve"> </w:t>
      </w:r>
      <w:r>
        <w:t xml:space="preserve">sub-aditiva</w:t>
      </w:r>
      <w:r>
        <w:t xml:space="preserve"> </w:t>
      </w:r>
      <w:r>
        <w:t xml:space="preserve">em todos os desfechos (OR </w:t>
      </w:r>
      <m:oMath>
        <m:r>
          <m:rPr>
            <m:sty m:val="p"/>
          </m:rPr>
          <m:t>=</m:t>
        </m:r>
        <m:r>
          <m:t>1</m:t>
        </m:r>
        <m:r>
          <m:rPr>
            <m:sty m:val="p"/>
          </m:rPr>
          <m:t>,</m:t>
        </m:r>
        <m:r>
          <m:t>10</m:t>
        </m:r>
      </m:oMath>
      <w:r>
        <w:t xml:space="preserve"> </w:t>
      </w:r>
      <w:r>
        <w:t xml:space="preserve">no acesso;</w:t>
      </w:r>
      <w:r>
        <w:t xml:space="preserve"> </w:t>
      </w:r>
      <m:oMath>
        <m:r>
          <m:rPr>
            <m:sty m:val="p"/>
          </m:rPr>
          <m:t>=</m:t>
        </m:r>
        <m:r>
          <m:t>1</m:t>
        </m:r>
        <m:r>
          <m:rPr>
            <m:sty m:val="p"/>
          </m:rPr>
          <m:t>,</m:t>
        </m:r>
        <m:r>
          <m:t>04</m:t>
        </m:r>
      </m:oMath>
      <w:r>
        <w:t xml:space="preserve"> </w:t>
      </w:r>
      <w:r>
        <w:t xml:space="preserve">no top 10%): a penalidade racial é um pouco menor entre</w:t>
      </w:r>
      <w:r>
        <w:t xml:space="preserve"> </w:t>
      </w:r>
      <w:r>
        <w:t xml:space="preserve">mulheres do que entre homens, o que atenua a soma sem desfazê-la.</w:t>
      </w:r>
    </w:p>
  </w:footnote>
  <w:footnote w:id="102">
    <w:p>
      <w:pPr>
        <w:pStyle w:val="FootnoteText"/>
      </w:pPr>
      <w:r>
        <w:rPr>
          <w:rStyle w:val="FootnoteReference"/>
          <w:vertAlign w:val="superscript"/>
        </w:rPr>
        <w:footnoteRef/>
      </w:r>
      <w:r>
        <w:t xml:space="preserve"> </w:t>
      </w:r>
      <w:r>
        <w:t xml:space="preserve">Profundidade 10, com</w:t>
      </w:r>
      <w:r>
        <w:t xml:space="preserve"> </w:t>
      </w:r>
      <m:oMath>
        <m:sSup>
          <m:e>
            <m:r>
              <m:t>R</m:t>
            </m:r>
          </m:e>
          <m:sup>
            <m:r>
              <m:t>2</m:t>
            </m:r>
          </m:sup>
        </m:sSup>
        <m:r>
          <m:rPr>
            <m:sty m:val="p"/>
          </m:rPr>
          <m:t>=</m:t>
        </m:r>
        <m:r>
          <m:t>0</m:t>
        </m:r>
        <m:r>
          <m:rPr>
            <m:sty m:val="p"/>
          </m:rPr>
          <m:t>,</m:t>
        </m:r>
        <m:r>
          <m:t>6435</m:t>
        </m:r>
        <m:r>
          <m:rPr>
            <m:sty m:val="p"/>
          </m:rPr>
          <m:t>±</m:t>
        </m:r>
        <m:r>
          <m:t>0</m:t>
        </m:r>
        <m:r>
          <m:rPr>
            <m:sty m:val="p"/>
          </m:rPr>
          <m:t>,</m:t>
        </m:r>
        <m:r>
          <m:t>0006</m:t>
        </m:r>
      </m:oMath>
      <w:r>
        <w:t xml:space="preserve"> </w:t>
      </w:r>
      <w:r>
        <w:t xml:space="preserve">entre os</w:t>
      </w:r>
      <w:r>
        <w:t xml:space="preserve"> </w:t>
      </w:r>
      <w:r>
        <w:t xml:space="preserve">folds</w:t>
      </w:r>
      <w:r>
        <w:t xml:space="preserve">, contra</w:t>
      </w:r>
      <w:r>
        <w:t xml:space="preserve"> </w:t>
      </w:r>
      <w:r>
        <w:t xml:space="preserve">0,6294</w:t>
      </w:r>
      <w:r>
        <w:t xml:space="preserve"> </w:t>
      </w:r>
      <m:oMath>
        <m:r>
          <m:rPr>
            <m:sty m:val="p"/>
          </m:rPr>
          <m:t>±</m:t>
        </m:r>
      </m:oMath>
      <w:r>
        <w:t xml:space="preserve"> </w:t>
      </w:r>
      <w:r>
        <w:t xml:space="preserve">0,0006 da profundidade 6 de referência, sobre</w:t>
      </w:r>
      <w:r>
        <w:t xml:space="preserve"> </w:t>
      </w:r>
      <w:r>
        <w:t xml:space="preserve">6.159.418 observações de treino.</w:t>
      </w:r>
    </w:p>
  </w:footnote>
  <w:footnote w:id="104">
    <w:p>
      <w:pPr>
        <w:pStyle w:val="FootnoteText"/>
      </w:pPr>
      <w:r>
        <w:rPr>
          <w:rStyle w:val="FootnoteReference"/>
          <w:vertAlign w:val="superscript"/>
        </w:rPr>
        <w:footnoteRef/>
      </w:r>
      <w:r>
        <w:t xml:space="preserve"> </w:t>
      </w:r>
      <w:r>
        <w:t xml:space="preserve">População completa,</w:t>
      </w:r>
      <w:r>
        <w:t xml:space="preserve"> </w:t>
      </w:r>
      <m:oMath>
        <m:r>
          <m:t>N</m:t>
        </m:r>
        <m:r>
          <m:rPr>
            <m:sty m:val="p"/>
          </m:rPr>
          <m:t>=</m:t>
        </m:r>
        <m:r>
          <m:t>7.699</m:t>
        </m:r>
        <m:r>
          <m:t>.273</m:t>
        </m:r>
      </m:oMath>
      <w:r>
        <w:t xml:space="preserve">, com 80% para</w:t>
      </w:r>
      <w:r>
        <w:t xml:space="preserve"> </w:t>
      </w:r>
      <w:r>
        <w:t xml:space="preserve">treino e 20% para teste; o mesmo</w:t>
      </w:r>
      <w:r>
        <w:t xml:space="preserve"> </w:t>
      </w:r>
      <w:r>
        <w:t xml:space="preserve">gap</w:t>
      </w:r>
      <w:r>
        <w:t xml:space="preserve"> </w:t>
      </w:r>
      <w:r>
        <w:t xml:space="preserve">aparece no Random Forest.</w:t>
      </w:r>
    </w:p>
  </w:footnote>
  <w:footnote w:id="110">
    <w:p>
      <w:pPr>
        <w:pStyle w:val="FootnoteText"/>
      </w:pPr>
      <w:r>
        <w:rPr>
          <w:rStyle w:val="FootnoteReference"/>
          <w:vertAlign w:val="superscript"/>
        </w:rPr>
        <w:footnoteRef/>
      </w:r>
      <w:r>
        <w:t xml:space="preserve"> </w:t>
      </w:r>
      <w:r>
        <w:t xml:space="preserve">15</w:t>
      </w:r>
      <w:r>
        <w:rPr>
          <w:vertAlign w:val="superscript"/>
        </w:rPr>
        <w:t xml:space="preserve">a</w:t>
      </w:r>
      <w:r>
        <w:t xml:space="preserve"> </w:t>
      </w:r>
      <w:r>
        <w:t xml:space="preserve">de 27 variáveis no modelo sem renda de vizinhança, contra</w:t>
      </w:r>
      <w:r>
        <w:t xml:space="preserve"> </w:t>
      </w:r>
      <w:r>
        <w:t xml:space="preserve">14</w:t>
      </w:r>
      <w:r>
        <w:rPr>
          <w:vertAlign w:val="superscript"/>
        </w:rPr>
        <w:t xml:space="preserve">a</w:t>
      </w:r>
      <w:r>
        <w:t xml:space="preserve"> </w:t>
      </w:r>
      <w:r>
        <w:t xml:space="preserve">de 28 no modelo completo.</w:t>
      </w:r>
    </w:p>
  </w:footnote>
  <w:footnote w:id="111">
    <w:p>
      <w:pPr>
        <w:pStyle w:val="FootnoteText"/>
      </w:pPr>
      <w:r>
        <w:rPr>
          <w:rStyle w:val="FootnoteReference"/>
          <w:vertAlign w:val="superscript"/>
        </w:rPr>
        <w:footnoteRef/>
      </w:r>
      <w:r>
        <w:t xml:space="preserve"> </w:t>
      </w:r>
      <w:r>
        <w:t xml:space="preserve">Contribuição média da variável racial à previsão, com sinal:</w:t>
      </w:r>
      <w:r>
        <w:t xml:space="preserve"> </w:t>
      </w:r>
      <m:oMath>
        <m:r>
          <m:rPr>
            <m:sty m:val="p"/>
          </m:rPr>
          <m:t>−</m:t>
        </m:r>
        <m:r>
          <m:t>0</m:t>
        </m:r>
        <m:r>
          <m:rPr>
            <m:sty m:val="p"/>
          </m:rPr>
          <m:t>,</m:t>
        </m:r>
        <m:r>
          <m:t>0241</m:t>
        </m:r>
      </m:oMath>
      <w:r>
        <w:t xml:space="preserve"> </w:t>
      </w:r>
      <w:r>
        <w:t xml:space="preserve">log-pontos entre os negros e</w:t>
      </w:r>
      <w:r>
        <w:t xml:space="preserve"> </w:t>
      </w:r>
      <m:oMath>
        <m:r>
          <m:rPr>
            <m:sty m:val="p"/>
          </m:rPr>
          <m:t>+</m:t>
        </m:r>
        <m:r>
          <m:t>0</m:t>
        </m:r>
        <m:r>
          <m:rPr>
            <m:sty m:val="p"/>
          </m:rPr>
          <m:t>,</m:t>
        </m:r>
        <m:r>
          <m:t>0299</m:t>
        </m:r>
      </m:oMath>
      <w:r>
        <w:t xml:space="preserve"> </w:t>
      </w:r>
      <w:r>
        <w:t xml:space="preserve">entre os brancos (XGBoost,</w:t>
      </w:r>
      <w:r>
        <w:t xml:space="preserve"> </w:t>
      </w:r>
      <m:oMath>
        <m:sSub>
          <m:e>
            <m:r>
              <m:t>N</m:t>
            </m:r>
          </m:e>
          <m:sub>
            <m:r>
              <m:rPr>
                <m:nor/>
                <m:sty m:val="p"/>
              </m:rPr>
              <m:t>SHAP</m:t>
            </m:r>
          </m:sub>
        </m:sSub>
        <m:r>
          <m:rPr>
            <m:sty m:val="p"/>
          </m:rPr>
          <m:t>=</m:t>
        </m:r>
        <m:r>
          <m:t>50.000</m:t>
        </m:r>
      </m:oMath>
      <w:r>
        <w:t xml:space="preserve">;</w:t>
      </w:r>
      <w:r>
        <w:t xml:space="preserve"> </w:t>
      </w:r>
      <w:r>
        <w:rPr>
          <w:rStyle w:val="VerbatimChar"/>
        </w:rPr>
        <w:t xml:space="preserve">shap_negro_por_grupo.csv</w:t>
      </w:r>
      <w:r>
        <w:t xml:space="preserve">). A média de um</w:t>
      </w:r>
      <w:r>
        <w:t xml:space="preserve"> </w:t>
      </w:r>
      <w:r>
        <w:t xml:space="preserve">grupo mede o desvio em relação à previsão média da base, que mistura os dois; o</w:t>
      </w:r>
      <w:r>
        <w:t xml:space="preserve"> </w:t>
      </w:r>
      <w:r>
        <w:t xml:space="preserve">que corresponde ao coeficiente racial das regressões é o contraste entre elas.</w:t>
      </w:r>
    </w:p>
  </w:footnote>
  <w:footnote w:id="121">
    <w:p>
      <w:pPr>
        <w:pStyle w:val="FootnoteText"/>
      </w:pPr>
      <w:r>
        <w:rPr>
          <w:rStyle w:val="FootnoteReference"/>
          <w:vertAlign w:val="superscript"/>
        </w:rPr>
        <w:footnoteRef/>
      </w:r>
      <w:r>
        <w:t xml:space="preserve"> </w:t>
      </w:r>
      <w:r>
        <w:t xml:space="preserve">Calculado sobre a população completa da PEA com renda positiva. Dos</w:t>
      </w:r>
      <w:r>
        <w:t xml:space="preserve"> </w:t>
      </w:r>
      <m:oMath>
        <m:r>
          <m:t>23</m:t>
        </m:r>
      </m:oMath>
      <w:r>
        <w:t xml:space="preserve"> </w:t>
      </w:r>
      <w:r>
        <w:t xml:space="preserve">preditores analisados, VIF máximo </w:t>
      </w:r>
      <m:oMath>
        <m:r>
          <m:rPr>
            <m:sty m:val="p"/>
          </m:rPr>
          <m:t>=</m:t>
        </m:r>
        <m:r>
          <m:t>2</m:t>
        </m:r>
        <m:r>
          <m:rPr>
            <m:sty m:val="p"/>
          </m:rPr>
          <m:t>,</m:t>
        </m:r>
        <m:r>
          <m:t>66</m:t>
        </m:r>
      </m:oMath>
      <w:r>
        <w:t xml:space="preserve"> </w:t>
      </w:r>
      <w:r>
        <w:t xml:space="preserve">(CBO: Profissionais); 0 variáveis críticas</w:t>
      </w:r>
      <w:r>
        <w:t xml:space="preserve"> </w:t>
      </w:r>
      <w:r>
        <w:t xml:space="preserve">(VIF </w:t>
      </w:r>
      <m:oMath>
        <m:r>
          <m:rPr>
            <m:sty m:val="p"/>
          </m:rPr>
          <m:t>&gt;</m:t>
        </m:r>
        <m:r>
          <m:t>10</m:t>
        </m:r>
      </m:oMath>
      <w:r>
        <w:t xml:space="preserve">); 0 variáveis altas (</w:t>
      </w:r>
      <m:oMath>
        <m:r>
          <m:t>5</m:t>
        </m:r>
      </m:oMath>
      <w:r>
        <w:t xml:space="preserve">–</w:t>
      </w:r>
      <m:oMath>
        <m:r>
          <m:t>10</m:t>
        </m:r>
      </m:oMath>
      <w:r>
        <w:t xml:space="preserve">);</w:t>
      </w:r>
      <w:r>
        <w:t xml:space="preserve"> </w:t>
      </w:r>
      <w:r>
        <w:t xml:space="preserve">6 variáveis moderadas (</w:t>
      </w:r>
      <m:oMath>
        <m:r>
          <m:t>2</m:t>
        </m:r>
      </m:oMath>
      <w:r>
        <w:t xml:space="preserve">–</w:t>
      </w:r>
      <m:oMath>
        <m:r>
          <m:t>5</m:t>
        </m:r>
      </m:oMath>
      <w:r>
        <w:t xml:space="preserve">);</w:t>
      </w:r>
      <w:r>
        <w:t xml:space="preserve"> </w:t>
      </w:r>
      <w:r>
        <w:t xml:space="preserve">17 variáveis baixas (</w:t>
      </w:r>
      <m:oMath>
        <m:r>
          <m:rPr>
            <m:sty m:val="p"/>
          </m:rPr>
          <m:t>&lt;</m:t>
        </m:r>
        <m:r>
          <m:t>2</m:t>
        </m:r>
      </m:oMath>
      <w:r>
        <w:t xml:space="preserve">).</w:t>
      </w:r>
    </w:p>
  </w:footnote>
  <w:footnote w:id="123">
    <w:p>
      <w:pPr>
        <w:pStyle w:val="FootnoteText"/>
      </w:pPr>
      <w:r>
        <w:rPr>
          <w:rStyle w:val="FootnoteReference"/>
          <w:vertAlign w:val="superscript"/>
        </w:rPr>
        <w:footnoteRef/>
      </w:r>
      <w:r>
        <w:t xml:space="preserve"> </w:t>
      </w:r>
      <w:r>
        <w:t xml:space="preserve">Índice de Perda de Qualidade de Vida (IPQV; quanto maior, pior) de 0</w:t>
      </w:r>
      <w:r>
        <w:t xml:space="preserve">,</w:t>
      </w:r>
      <w:r>
        <w:t xml:space="preserve">183 para chefes pretos ou pardos, contra 0</w:t>
      </w:r>
      <w:r>
        <w:t xml:space="preserve">,</w:t>
      </w:r>
      <w:r>
        <w:t xml:space="preserve">122 para brancos; Gini do rendimento domiciliar</w:t>
      </w:r>
      <w:r>
        <w:t xml:space="preserve"> </w:t>
      </w:r>
      <w:r>
        <w:t xml:space="preserve">per capita</w:t>
      </w:r>
      <w:r>
        <w:t xml:space="preserve"> </w:t>
      </w:r>
      <w:r>
        <w:t xml:space="preserve">de 0</w:t>
      </w:r>
      <w:r>
        <w:t xml:space="preserve">,</w:t>
      </w:r>
      <w:r>
        <w:t xml:space="preserve">491 em 2025</w:t>
      </w:r>
      <w:r>
        <w:t xml:space="preserve"> </w:t>
      </w:r>
      <w:r>
        <w:t xml:space="preserve">(IBGE, 2019, 2025)</w:t>
      </w:r>
      <w:r>
        <w:t xml:space="preserve">.</w:t>
      </w:r>
    </w:p>
  </w:footnote>
  <w:footnote w:id="124">
    <w:p>
      <w:pPr>
        <w:pStyle w:val="FootnoteText"/>
      </w:pPr>
      <w:r>
        <w:rPr>
          <w:rStyle w:val="FootnoteReference"/>
          <w:vertAlign w:val="superscript"/>
        </w:rPr>
        <w:footnoteRef/>
      </w:r>
      <w:r>
        <w:t xml:space="preserve"> </w:t>
      </w:r>
      <w:r>
        <w:t xml:space="preserve">O Gini estimado neste trabalho refere-se ao rendimento do trabalho entre ocupados (em torno de 0</w:t>
      </w:r>
      <w:r>
        <w:t xml:space="preserve">,</w:t>
      </w:r>
      <w:r>
        <w:t xml:space="preserve">47), ao passo que o do IBGE é domiciliar</w:t>
      </w:r>
      <w:r>
        <w:t xml:space="preserve"> </w:t>
      </w:r>
      <w:r>
        <w:t xml:space="preserve">per capita</w:t>
      </w:r>
      <w:r>
        <w:t xml:space="preserve"> </w:t>
      </w:r>
      <w:r>
        <w:t xml:space="preserve">e de todas as fontes. Os níveis são próximos, mas as medidas podem divergir em tendência: a alta de 2025 é puxada por renda não-trabalho do topo, que não transita pelo rendimento dos ocupados.</w:t>
      </w:r>
    </w:p>
  </w:footnote>
  <w:footnote w:id="125">
    <w:p>
      <w:pPr>
        <w:pStyle w:val="FootnoteText"/>
      </w:pPr>
      <w:r>
        <w:rPr>
          <w:rStyle w:val="FootnoteReference"/>
          <w:vertAlign w:val="superscript"/>
        </w:rPr>
        <w:footnoteRef/>
      </w:r>
      <w:r>
        <w:t xml:space="preserve"> </w:t>
      </w:r>
      <m:oMath>
        <m:r>
          <m:t>δ</m:t>
        </m:r>
        <m:r>
          <m:rPr>
            <m:sty m:val="p"/>
          </m:rPr>
          <m:t>=</m:t>
        </m:r>
        <m:r>
          <m:t>0</m:t>
        </m:r>
        <m:r>
          <m:rPr>
            <m:sty m:val="p"/>
          </m:rPr>
          <m:t>,</m:t>
        </m:r>
        <m:r>
          <m:t>000928</m:t>
        </m:r>
      </m:oMath>
      <w:r>
        <w:t xml:space="preserve"> </w:t>
      </w:r>
      <w:r>
        <w:t xml:space="preserve">log-ponto por ano, IC 95%</w:t>
      </w:r>
      <w:r>
        <w:t xml:space="preserve"> </w:t>
      </w:r>
      <m:oMath>
        <m:r>
          <m:rPr>
            <m:sty m:val="p"/>
          </m:rPr>
          <m:t>[</m:t>
        </m:r>
        <m:r>
          <m:t>0</m:t>
        </m:r>
        <m:r>
          <m:rPr>
            <m:sty m:val="p"/>
          </m:rPr>
          <m:t>,</m:t>
        </m:r>
        <m:r>
          <m:t>000133</m:t>
        </m:r>
        <m:r>
          <m:rPr>
            <m:sty m:val="p"/>
          </m:rPr>
          <m:t>;</m:t>
        </m:r>
        <m:r>
          <m:t> </m:t>
        </m:r>
        <m:r>
          <m:t>0</m:t>
        </m:r>
        <m:r>
          <m:rPr>
            <m:sty m:val="p"/>
          </m:rPr>
          <m:t>,</m:t>
        </m:r>
        <m:r>
          <m:t>001723</m:t>
        </m:r>
        <m:r>
          <m:rPr>
            <m:sty m:val="p"/>
          </m:rPr>
          <m:t>]</m:t>
        </m:r>
      </m:oMath>
      <w:r>
        <w:t xml:space="preserve">,</w:t>
      </w:r>
      <w:r>
        <w:t xml:space="preserve"> </w:t>
      </w:r>
      <m:oMath>
        <m:r>
          <m:t>p</m:t>
        </m:r>
        <m:r>
          <m:rPr>
            <m:sty m:val="p"/>
          </m:rPr>
          <m:t>=</m:t>
        </m:r>
        <m:r>
          <m:t>0</m:t>
        </m:r>
        <m:r>
          <m:rPr>
            <m:sty m:val="p"/>
          </m:rPr>
          <m:t>,</m:t>
        </m:r>
        <m:r>
          <m:t>027</m:t>
        </m:r>
      </m:oMath>
      <w:r>
        <w:t xml:space="preserve">, por mínimos quadrados ponderados sobre o</w:t>
      </w:r>
      <w:r>
        <w:t xml:space="preserve"> </w:t>
      </w:r>
      <m:oMath>
        <m:sSub>
          <m:e>
            <m:acc>
              <m:accPr>
                <m:chr m:val="̂"/>
              </m:accPr>
              <m:e>
                <m:r>
                  <m:t>β</m:t>
                </m:r>
              </m:e>
            </m:acc>
          </m:e>
          <m:sub>
            <m:r>
              <m:rPr>
                <m:nor/>
                <m:sty m:val="p"/>
              </m:rPr>
              <m:t>negro</m:t>
            </m:r>
          </m:sub>
        </m:sSub>
      </m:oMath>
      <w:r>
        <w:t xml:space="preserve"> </w:t>
      </w:r>
      <w:r>
        <w:t xml:space="preserve">do M3 estimado ano a ano, 2016–2025.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Data Science e Analytics – 2026</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A5B1A"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85B6087"/>
    <w:multiLevelType w:val="hybridMultilevel"/>
    <w:tmpl w:val="9D705362"/>
    <w:lvl w:ilvl="0" w:tplc="01989CAA">
      <w:start w:val="1"/>
      <w:numFmt w:val="decimal"/>
      <w:lvlText w:val="%1."/>
      <w:lvlJc w:val="left"/>
      <w:pPr>
        <w:ind w:hanging="360" w:left="720"/>
      </w:pPr>
      <w:rPr>
        <w:rFonts w:hint="default"/>
        <w:b/>
      </w:rPr>
    </w:lvl>
    <w:lvl w:ilvl="1" w:tentative="1" w:tplc="04160019">
      <w:start w:val="1"/>
      <w:numFmt w:val="lowerLetter"/>
      <w:lvlText w:val="%2."/>
      <w:lvlJc w:val="left"/>
      <w:pPr>
        <w:ind w:hanging="360" w:left="1440"/>
      </w:pPr>
    </w:lvl>
    <w:lvl w:ilvl="2" w:tentative="1" w:tplc="0416001B">
      <w:start w:val="1"/>
      <w:numFmt w:val="lowerRoman"/>
      <w:lvlText w:val="%3."/>
      <w:lvlJc w:val="right"/>
      <w:pPr>
        <w:ind w:hanging="180" w:left="2160"/>
      </w:pPr>
    </w:lvl>
    <w:lvl w:ilvl="3" w:tentative="1" w:tplc="0416000F">
      <w:start w:val="1"/>
      <w:numFmt w:val="decimal"/>
      <w:lvlText w:val="%4."/>
      <w:lvlJc w:val="left"/>
      <w:pPr>
        <w:ind w:hanging="360" w:left="2880"/>
      </w:pPr>
    </w:lvl>
    <w:lvl w:ilvl="4" w:tentative="1" w:tplc="04160019">
      <w:start w:val="1"/>
      <w:numFmt w:val="lowerLetter"/>
      <w:lvlText w:val="%5."/>
      <w:lvlJc w:val="left"/>
      <w:pPr>
        <w:ind w:hanging="360" w:left="3600"/>
      </w:pPr>
    </w:lvl>
    <w:lvl w:ilvl="5" w:tentative="1" w:tplc="0416001B">
      <w:start w:val="1"/>
      <w:numFmt w:val="lowerRoman"/>
      <w:lvlText w:val="%6."/>
      <w:lvlJc w:val="right"/>
      <w:pPr>
        <w:ind w:hanging="180" w:left="4320"/>
      </w:pPr>
    </w:lvl>
    <w:lvl w:ilvl="6" w:tentative="1" w:tplc="0416000F">
      <w:start w:val="1"/>
      <w:numFmt w:val="decimal"/>
      <w:lvlText w:val="%7."/>
      <w:lvlJc w:val="left"/>
      <w:pPr>
        <w:ind w:hanging="360" w:left="5040"/>
      </w:pPr>
    </w:lvl>
    <w:lvl w:ilvl="7" w:tentative="1" w:tplc="04160019">
      <w:start w:val="1"/>
      <w:numFmt w:val="lowerLetter"/>
      <w:lvlText w:val="%8."/>
      <w:lvlJc w:val="left"/>
      <w:pPr>
        <w:ind w:hanging="360" w:left="5760"/>
      </w:pPr>
    </w:lvl>
    <w:lvl w:ilvl="8" w:tentative="1" w:tplc="0416001B">
      <w:start w:val="1"/>
      <w:numFmt w:val="lowerRoman"/>
      <w:lvlText w:val="%9."/>
      <w:lvlJc w:val="right"/>
      <w:pPr>
        <w:ind w:hanging="180" w:left="6480"/>
      </w:pPr>
    </w:lvl>
  </w:abstractNum>
  <w:abstractNum w15:restartNumberingAfterBreak="0" w:abstractNumId="1">
    <w:nsid w:val="77147F67"/>
    <w:multiLevelType w:val="multilevel"/>
    <w:tmpl w:val="0409001F"/>
    <w:lvl w:ilvl="0">
      <w:start w:val="1"/>
      <w:numFmt w:val="decimal"/>
      <w:lvlText w:val="%1."/>
      <w:lvlJc w:val="left"/>
      <w:pPr>
        <w:ind w:hanging="360" w:left="360"/>
      </w:pPr>
    </w:lvl>
    <w:lvl w:ilvl="1">
      <w:start w:val="1"/>
      <w:numFmt w:val="decimal"/>
      <w:lvlText w:val="%1.%2."/>
      <w:lvlJc w:val="left"/>
      <w:pPr>
        <w:ind w:hanging="432" w:left="574"/>
      </w:pPr>
    </w:lvl>
    <w:lvl w:ilvl="2">
      <w:start w:val="1"/>
      <w:numFmt w:val="decimal"/>
      <w:lvlText w:val="%1.%2.%3."/>
      <w:lvlJc w:val="left"/>
      <w:pPr>
        <w:ind w:hanging="504" w:left="646"/>
      </w:pPr>
    </w:lvl>
    <w:lvl w:ilvl="3">
      <w:start w:val="1"/>
      <w:numFmt w:val="decimal"/>
      <w:lvlText w:val="%1.%2.%3.%4."/>
      <w:lvlJc w:val="left"/>
      <w:pPr>
        <w:ind w:hanging="648" w:left="932"/>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71783379" w:numId="1">
    <w:abstractNumId w:val="1"/>
  </w:num>
  <w:num w16cid:durableId="1546257329" w:numId="2">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110"/>
  <w:drawingGridVerticalSpacing w:val="360"/>
  <w:displayHorizontalDrawingGridEvery w:val="2"/>
  <w:displayVerticalDrawingGridEvery w:val="2"/>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79B9"/>
    <w:rsid w:val="000414DF"/>
    <w:rsid w:val="00042541"/>
    <w:rsid w:val="000558A6"/>
    <w:rsid w:val="000569A1"/>
    <w:rsid w:val="0006184C"/>
    <w:rsid w:val="000639C7"/>
    <w:rsid w:val="0006582A"/>
    <w:rsid w:val="00080BC8"/>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264C"/>
    <w:rsid w:val="00103C8C"/>
    <w:rsid w:val="0010566C"/>
    <w:rsid w:val="00106E6C"/>
    <w:rsid w:val="00111217"/>
    <w:rsid w:val="001179F3"/>
    <w:rsid w:val="00123A50"/>
    <w:rsid w:val="001349B7"/>
    <w:rsid w:val="00135FFB"/>
    <w:rsid w:val="0014260C"/>
    <w:rsid w:val="0014711C"/>
    <w:rsid w:val="0015596D"/>
    <w:rsid w:val="00155FEB"/>
    <w:rsid w:val="001650D8"/>
    <w:rsid w:val="00173435"/>
    <w:rsid w:val="0017695E"/>
    <w:rsid w:val="0018079B"/>
    <w:rsid w:val="00183B05"/>
    <w:rsid w:val="00187D7A"/>
    <w:rsid w:val="0019516C"/>
    <w:rsid w:val="00196DB1"/>
    <w:rsid w:val="001A2B26"/>
    <w:rsid w:val="001A3AE9"/>
    <w:rsid w:val="001B0BBE"/>
    <w:rsid w:val="001B29CD"/>
    <w:rsid w:val="001B7001"/>
    <w:rsid w:val="001B7C5F"/>
    <w:rsid w:val="001D44F5"/>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47EAC"/>
    <w:rsid w:val="00250606"/>
    <w:rsid w:val="0025090A"/>
    <w:rsid w:val="00254CD6"/>
    <w:rsid w:val="0026130F"/>
    <w:rsid w:val="00262449"/>
    <w:rsid w:val="0026400A"/>
    <w:rsid w:val="00266914"/>
    <w:rsid w:val="00273955"/>
    <w:rsid w:val="00281B98"/>
    <w:rsid w:val="00282166"/>
    <w:rsid w:val="00286FB4"/>
    <w:rsid w:val="002875D3"/>
    <w:rsid w:val="00295E7E"/>
    <w:rsid w:val="00296614"/>
    <w:rsid w:val="002B5BAD"/>
    <w:rsid w:val="002B7B5A"/>
    <w:rsid w:val="002D0A4C"/>
    <w:rsid w:val="002D35E9"/>
    <w:rsid w:val="002D3B35"/>
    <w:rsid w:val="002D6078"/>
    <w:rsid w:val="002D6AF2"/>
    <w:rsid w:val="002D778A"/>
    <w:rsid w:val="002E3D0D"/>
    <w:rsid w:val="002F1330"/>
    <w:rsid w:val="002F2245"/>
    <w:rsid w:val="002F3830"/>
    <w:rsid w:val="00302BCD"/>
    <w:rsid w:val="003073AE"/>
    <w:rsid w:val="00311C33"/>
    <w:rsid w:val="0031459B"/>
    <w:rsid w:val="00320448"/>
    <w:rsid w:val="00323A4C"/>
    <w:rsid w:val="00325B43"/>
    <w:rsid w:val="00326CAE"/>
    <w:rsid w:val="00330DB8"/>
    <w:rsid w:val="00331021"/>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279B"/>
    <w:rsid w:val="00382BEB"/>
    <w:rsid w:val="00383658"/>
    <w:rsid w:val="003923FF"/>
    <w:rsid w:val="003A2BF8"/>
    <w:rsid w:val="003A50AD"/>
    <w:rsid w:val="003A6B04"/>
    <w:rsid w:val="003B3E2D"/>
    <w:rsid w:val="003C0770"/>
    <w:rsid w:val="003C0DDD"/>
    <w:rsid w:val="003C1B38"/>
    <w:rsid w:val="003C65F6"/>
    <w:rsid w:val="003C7E8D"/>
    <w:rsid w:val="003E150B"/>
    <w:rsid w:val="003E36CE"/>
    <w:rsid w:val="003E5D40"/>
    <w:rsid w:val="003E64D0"/>
    <w:rsid w:val="003F02C0"/>
    <w:rsid w:val="003F1EED"/>
    <w:rsid w:val="003F72AE"/>
    <w:rsid w:val="003F77A8"/>
    <w:rsid w:val="00402E00"/>
    <w:rsid w:val="0040349A"/>
    <w:rsid w:val="00406344"/>
    <w:rsid w:val="004139D1"/>
    <w:rsid w:val="00414EA7"/>
    <w:rsid w:val="00421D0A"/>
    <w:rsid w:val="004242F4"/>
    <w:rsid w:val="00424D37"/>
    <w:rsid w:val="00433D1E"/>
    <w:rsid w:val="00433E63"/>
    <w:rsid w:val="004344B3"/>
    <w:rsid w:val="004349A6"/>
    <w:rsid w:val="00435976"/>
    <w:rsid w:val="0044240B"/>
    <w:rsid w:val="004453D9"/>
    <w:rsid w:val="00445A1F"/>
    <w:rsid w:val="0045201D"/>
    <w:rsid w:val="00455C3D"/>
    <w:rsid w:val="004638D2"/>
    <w:rsid w:val="00466F81"/>
    <w:rsid w:val="00467C3B"/>
    <w:rsid w:val="0047191C"/>
    <w:rsid w:val="00471D21"/>
    <w:rsid w:val="00473CFE"/>
    <w:rsid w:val="00474ACC"/>
    <w:rsid w:val="004829D7"/>
    <w:rsid w:val="004A6188"/>
    <w:rsid w:val="004B0852"/>
    <w:rsid w:val="004B3DF1"/>
    <w:rsid w:val="004B570C"/>
    <w:rsid w:val="004B6697"/>
    <w:rsid w:val="004B73BD"/>
    <w:rsid w:val="004C12D2"/>
    <w:rsid w:val="004D48C1"/>
    <w:rsid w:val="004E0540"/>
    <w:rsid w:val="004E1ADB"/>
    <w:rsid w:val="004E2E96"/>
    <w:rsid w:val="005041D4"/>
    <w:rsid w:val="005154B6"/>
    <w:rsid w:val="00516C5E"/>
    <w:rsid w:val="00521FEE"/>
    <w:rsid w:val="00522FDE"/>
    <w:rsid w:val="00527BBF"/>
    <w:rsid w:val="00530C1C"/>
    <w:rsid w:val="005325A6"/>
    <w:rsid w:val="00532A60"/>
    <w:rsid w:val="0053780E"/>
    <w:rsid w:val="005407AB"/>
    <w:rsid w:val="005502EC"/>
    <w:rsid w:val="00551EA4"/>
    <w:rsid w:val="00556C81"/>
    <w:rsid w:val="00580198"/>
    <w:rsid w:val="0058362C"/>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6B9B"/>
    <w:rsid w:val="005E318E"/>
    <w:rsid w:val="005F29F8"/>
    <w:rsid w:val="005F4EB3"/>
    <w:rsid w:val="005F5FEB"/>
    <w:rsid w:val="005F72E8"/>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720C"/>
    <w:rsid w:val="006D2995"/>
    <w:rsid w:val="006D7365"/>
    <w:rsid w:val="006D7A7F"/>
    <w:rsid w:val="006D7B11"/>
    <w:rsid w:val="006E1A8E"/>
    <w:rsid w:val="006E5D44"/>
    <w:rsid w:val="006E64EF"/>
    <w:rsid w:val="006F0623"/>
    <w:rsid w:val="006F2620"/>
    <w:rsid w:val="006F566A"/>
    <w:rsid w:val="006F78BE"/>
    <w:rsid w:val="006F7EBA"/>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979B1"/>
    <w:rsid w:val="007A2A3C"/>
    <w:rsid w:val="007A658E"/>
    <w:rsid w:val="007B0806"/>
    <w:rsid w:val="007B0FB7"/>
    <w:rsid w:val="007C6844"/>
    <w:rsid w:val="007E290A"/>
    <w:rsid w:val="007F4591"/>
    <w:rsid w:val="007F54A6"/>
    <w:rsid w:val="007F57A4"/>
    <w:rsid w:val="00800FF0"/>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1677"/>
    <w:rsid w:val="008A3CF6"/>
    <w:rsid w:val="008B0031"/>
    <w:rsid w:val="008B038A"/>
    <w:rsid w:val="008B0687"/>
    <w:rsid w:val="008B4775"/>
    <w:rsid w:val="008B5BBC"/>
    <w:rsid w:val="008C5578"/>
    <w:rsid w:val="008C7AB1"/>
    <w:rsid w:val="008D2C4F"/>
    <w:rsid w:val="008D3984"/>
    <w:rsid w:val="008D541D"/>
    <w:rsid w:val="008E02ED"/>
    <w:rsid w:val="008E34A4"/>
    <w:rsid w:val="008E45B7"/>
    <w:rsid w:val="008E4B54"/>
    <w:rsid w:val="008F2AC4"/>
    <w:rsid w:val="008F4149"/>
    <w:rsid w:val="008F707D"/>
    <w:rsid w:val="00904079"/>
    <w:rsid w:val="00904BC2"/>
    <w:rsid w:val="00906BFA"/>
    <w:rsid w:val="00916A5A"/>
    <w:rsid w:val="00917196"/>
    <w:rsid w:val="00921558"/>
    <w:rsid w:val="009248B0"/>
    <w:rsid w:val="00926F3A"/>
    <w:rsid w:val="009319BD"/>
    <w:rsid w:val="00931D71"/>
    <w:rsid w:val="00932E28"/>
    <w:rsid w:val="0093332B"/>
    <w:rsid w:val="0094025E"/>
    <w:rsid w:val="0094383B"/>
    <w:rsid w:val="009629EB"/>
    <w:rsid w:val="00964DE5"/>
    <w:rsid w:val="00973982"/>
    <w:rsid w:val="00981503"/>
    <w:rsid w:val="009908C5"/>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45BD"/>
    <w:rsid w:val="00A06683"/>
    <w:rsid w:val="00A143E9"/>
    <w:rsid w:val="00A3138A"/>
    <w:rsid w:val="00A32965"/>
    <w:rsid w:val="00A4125E"/>
    <w:rsid w:val="00A44F29"/>
    <w:rsid w:val="00A46080"/>
    <w:rsid w:val="00A464FF"/>
    <w:rsid w:val="00A472A0"/>
    <w:rsid w:val="00A47C29"/>
    <w:rsid w:val="00A47DAE"/>
    <w:rsid w:val="00A52C33"/>
    <w:rsid w:val="00A52F5E"/>
    <w:rsid w:val="00A53AF4"/>
    <w:rsid w:val="00A65683"/>
    <w:rsid w:val="00A67C44"/>
    <w:rsid w:val="00A74221"/>
    <w:rsid w:val="00A74EC3"/>
    <w:rsid w:val="00A7611A"/>
    <w:rsid w:val="00A7743E"/>
    <w:rsid w:val="00A77E1E"/>
    <w:rsid w:val="00A77E89"/>
    <w:rsid w:val="00A82D84"/>
    <w:rsid w:val="00A8576D"/>
    <w:rsid w:val="00AA1EDC"/>
    <w:rsid w:val="00AA6708"/>
    <w:rsid w:val="00AB3AFC"/>
    <w:rsid w:val="00AB5872"/>
    <w:rsid w:val="00AC5332"/>
    <w:rsid w:val="00AE2179"/>
    <w:rsid w:val="00AF384D"/>
    <w:rsid w:val="00AF625F"/>
    <w:rsid w:val="00AF7A61"/>
    <w:rsid w:val="00B0103A"/>
    <w:rsid w:val="00B0110A"/>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5F29"/>
    <w:rsid w:val="00BB71DF"/>
    <w:rsid w:val="00BC166E"/>
    <w:rsid w:val="00BD1169"/>
    <w:rsid w:val="00BD34AF"/>
    <w:rsid w:val="00BD553F"/>
    <w:rsid w:val="00BD7975"/>
    <w:rsid w:val="00BE29D8"/>
    <w:rsid w:val="00BE3924"/>
    <w:rsid w:val="00BE69F5"/>
    <w:rsid w:val="00BF2F82"/>
    <w:rsid w:val="00BF7046"/>
    <w:rsid w:val="00C03610"/>
    <w:rsid w:val="00C0430F"/>
    <w:rsid w:val="00C078A5"/>
    <w:rsid w:val="00C232C9"/>
    <w:rsid w:val="00C24BEA"/>
    <w:rsid w:val="00C25E55"/>
    <w:rsid w:val="00C26E78"/>
    <w:rsid w:val="00C278FE"/>
    <w:rsid w:val="00C32785"/>
    <w:rsid w:val="00C32EE4"/>
    <w:rsid w:val="00C32F20"/>
    <w:rsid w:val="00C55413"/>
    <w:rsid w:val="00C55528"/>
    <w:rsid w:val="00C56AA8"/>
    <w:rsid w:val="00C6199B"/>
    <w:rsid w:val="00C64E7D"/>
    <w:rsid w:val="00C651A5"/>
    <w:rsid w:val="00C7177A"/>
    <w:rsid w:val="00C73EAF"/>
    <w:rsid w:val="00C75301"/>
    <w:rsid w:val="00C77BD3"/>
    <w:rsid w:val="00C8729A"/>
    <w:rsid w:val="00C91095"/>
    <w:rsid w:val="00C94381"/>
    <w:rsid w:val="00CA3CF8"/>
    <w:rsid w:val="00CA4788"/>
    <w:rsid w:val="00CA75CC"/>
    <w:rsid w:val="00CA75F3"/>
    <w:rsid w:val="00CB3A48"/>
    <w:rsid w:val="00CB4C42"/>
    <w:rsid w:val="00CC0E3E"/>
    <w:rsid w:val="00CC2AF5"/>
    <w:rsid w:val="00CC3CB5"/>
    <w:rsid w:val="00CC6166"/>
    <w:rsid w:val="00CD54BE"/>
    <w:rsid w:val="00CD612F"/>
    <w:rsid w:val="00CD61E0"/>
    <w:rsid w:val="00CD7E25"/>
    <w:rsid w:val="00CE3E82"/>
    <w:rsid w:val="00CE3EB4"/>
    <w:rsid w:val="00CE617C"/>
    <w:rsid w:val="00CF4624"/>
    <w:rsid w:val="00CF5BE5"/>
    <w:rsid w:val="00D0473F"/>
    <w:rsid w:val="00D172FA"/>
    <w:rsid w:val="00D20B96"/>
    <w:rsid w:val="00D2204B"/>
    <w:rsid w:val="00D23C50"/>
    <w:rsid w:val="00D31253"/>
    <w:rsid w:val="00D35847"/>
    <w:rsid w:val="00D40DDD"/>
    <w:rsid w:val="00D430F6"/>
    <w:rsid w:val="00D43D03"/>
    <w:rsid w:val="00D448AF"/>
    <w:rsid w:val="00D45EA7"/>
    <w:rsid w:val="00D475D2"/>
    <w:rsid w:val="00D50856"/>
    <w:rsid w:val="00D52F94"/>
    <w:rsid w:val="00D56FB6"/>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3BF8"/>
    <w:rsid w:val="00DD423D"/>
    <w:rsid w:val="00DD6CA9"/>
    <w:rsid w:val="00DE4D59"/>
    <w:rsid w:val="00DF03DC"/>
    <w:rsid w:val="00DF0D6E"/>
    <w:rsid w:val="00DF23DE"/>
    <w:rsid w:val="00DF74F8"/>
    <w:rsid w:val="00E0030F"/>
    <w:rsid w:val="00E0114C"/>
    <w:rsid w:val="00E039FF"/>
    <w:rsid w:val="00E05E3E"/>
    <w:rsid w:val="00E12124"/>
    <w:rsid w:val="00E12A3E"/>
    <w:rsid w:val="00E14849"/>
    <w:rsid w:val="00E16313"/>
    <w:rsid w:val="00E1740E"/>
    <w:rsid w:val="00E25839"/>
    <w:rsid w:val="00E3132F"/>
    <w:rsid w:val="00E37B97"/>
    <w:rsid w:val="00E45517"/>
    <w:rsid w:val="00E470FC"/>
    <w:rsid w:val="00E504EE"/>
    <w:rsid w:val="00E54D23"/>
    <w:rsid w:val="00E54DFB"/>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339BF"/>
    <w:rsid w:val="00F535FD"/>
    <w:rsid w:val="00F55615"/>
    <w:rsid w:val="00F56CDC"/>
    <w:rsid w:val="00F624CF"/>
    <w:rsid w:val="00F64035"/>
    <w:rsid w:val="00F80D3F"/>
    <w:rsid w:val="00F8568D"/>
    <w:rsid w:val="00F87530"/>
    <w:rsid w:val="00F91A5E"/>
    <w:rsid w:val="00F92198"/>
    <w:rsid w:val="00F95F8E"/>
    <w:rsid w:val="00FA6ECF"/>
    <w:rsid w:val="00FB42DE"/>
    <w:rsid w:val="00FB4469"/>
    <w:rsid w:val="00FC55A7"/>
    <w:rsid w:val="00FD2C4C"/>
    <w:rsid w:val="00FD4E5F"/>
    <w:rsid w:val="00FE14AF"/>
    <w:rsid w:val="00FE46A3"/>
    <w:rsid w:val="00FE52BF"/>
    <w:rsid w:val="00FF0C72"/>
  </w:rsids>
  <w:themeFontLang w:val="pt-B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Theme="minorHAnsi" w:hAnsi="Arial"/>
        <w:sz w:val="22"/>
        <w:szCs w:val="22"/>
        <w:lang w:bidi="ar-SA" w:eastAsia="en-US" w:val="pt-BR"/>
      </w:rPr>
    </w:rPrDefault>
    <w:pPrDefault>
      <w:pPr>
        <w:spacing w:line="276"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rFonts w:ascii="Arial" w:hAnsi="Arial"/>
      <w:sz w:val="22"/>
    </w:rPr>
  </w:style>
  <w:style w:styleId="Ttulo2" w:type="paragraph">
    <w:name w:val="heading 2"/>
    <w:basedOn w:val="Normal"/>
    <w:next w:val="Normal"/>
    <w:link w:val="Ttulo2Char"/>
    <w:uiPriority w:val="9"/>
    <w:unhideWhenUsed/>
    <w:qFormat/>
    <w:rsid w:val="000414DF"/>
    <w:pPr>
      <w:keepNext/>
      <w:keepLines/>
      <w:spacing w:before="200"/>
      <w:jc w:val="left"/>
      <w:outlineLvl w:val="1"/>
    </w:pPr>
    <w:rPr>
      <w:rFonts w:cstheme="majorBidi" w:eastAsiaTheme="majorEastAsia"/>
      <w:b/>
      <w:bCs/>
      <w:color w:themeColor="text1" w:val="000000"/>
      <w:szCs w:val="26"/>
      <w:lang w:val="en-US"/>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2Char" w:type="character">
    <w:name w:val="Título 2 Char"/>
    <w:basedOn w:val="Fontepargpadro"/>
    <w:link w:val="Ttulo2"/>
    <w:uiPriority w:val="9"/>
    <w:rsid w:val="000414DF"/>
    <w:rPr>
      <w:rFonts w:ascii="Arial" w:cstheme="majorBidi" w:eastAsiaTheme="majorEastAsia" w:hAnsi="Arial"/>
      <w:b/>
      <w:bCs/>
      <w:color w:themeColor="text1" w:val="000000"/>
      <w:szCs w:val="26"/>
      <w:lang w:val="en-US"/>
    </w:rPr>
  </w:style>
  <w:style w:styleId="Nmerodelinha" w:type="character">
    <w:name w:val="line number"/>
    <w:basedOn w:val="Fontepargpadro"/>
    <w:uiPriority w:val="99"/>
    <w:semiHidden/>
    <w:unhideWhenUsed/>
    <w:rsid w:val="005F5FEB"/>
  </w:style>
  <w:style w:styleId="Cabealho" w:type="paragraph">
    <w:name w:val="header"/>
    <w:basedOn w:val="Normal"/>
    <w:link w:val="CabealhoChar"/>
    <w:uiPriority w:val="99"/>
    <w:unhideWhenUsed/>
    <w:rsid w:val="005F5FEB"/>
    <w:pPr>
      <w:tabs>
        <w:tab w:pos="4252" w:val="center"/>
        <w:tab w:pos="8504" w:val="right"/>
      </w:tabs>
      <w:spacing w:line="240" w:lineRule="auto"/>
    </w:pPr>
  </w:style>
  <w:style w:customStyle="1" w:styleId="CabealhoChar" w:type="character">
    <w:name w:val="Cabeçalho Char"/>
    <w:basedOn w:val="Fontepargpadro"/>
    <w:link w:val="Cabealho"/>
    <w:uiPriority w:val="99"/>
    <w:rsid w:val="005F5FEB"/>
  </w:style>
  <w:style w:styleId="Rodap" w:type="paragraph">
    <w:name w:val="footer"/>
    <w:basedOn w:val="Normal"/>
    <w:link w:val="RodapChar"/>
    <w:uiPriority w:val="99"/>
    <w:unhideWhenUsed/>
    <w:rsid w:val="005F5FEB"/>
    <w:pPr>
      <w:tabs>
        <w:tab w:pos="4252" w:val="center"/>
        <w:tab w:pos="8504" w:val="right"/>
      </w:tabs>
      <w:spacing w:line="240" w:lineRule="auto"/>
    </w:pPr>
  </w:style>
  <w:style w:customStyle="1" w:styleId="RodapChar" w:type="character">
    <w:name w:val="Rodapé Char"/>
    <w:basedOn w:val="Fontepargpadro"/>
    <w:link w:val="Rodap"/>
    <w:uiPriority w:val="99"/>
    <w:rsid w:val="005F5FEB"/>
  </w:style>
  <w:style w:styleId="Hyperlink" w:type="character">
    <w:name w:val="Hyperlink"/>
    <w:basedOn w:val="Fontepargpadro"/>
    <w:uiPriority w:val="99"/>
    <w:unhideWhenUsed/>
    <w:rsid w:val="00AA1EDC"/>
    <w:rPr>
      <w:color w:themeColor="hyperlink" w:val="0000FF"/>
      <w:u w:val="single"/>
    </w:rPr>
  </w:style>
  <w:style w:styleId="Textodebalo" w:type="paragraph">
    <w:name w:val="Balloon Text"/>
    <w:basedOn w:val="Normal"/>
    <w:link w:val="TextodebaloChar"/>
    <w:uiPriority w:val="99"/>
    <w:semiHidden/>
    <w:unhideWhenUsed/>
    <w:rsid w:val="001E108A"/>
    <w:pPr>
      <w:spacing w:line="240" w:lineRule="auto"/>
    </w:pPr>
    <w:rPr>
      <w:rFonts w:ascii="Tahoma" w:cs="Tahoma" w:hAnsi="Tahoma"/>
      <w:sz w:val="16"/>
      <w:szCs w:val="16"/>
    </w:rPr>
  </w:style>
  <w:style w:customStyle="1" w:styleId="TextodebaloChar" w:type="character">
    <w:name w:val="Texto de balão Char"/>
    <w:basedOn w:val="Fontepargpadro"/>
    <w:link w:val="Textodebalo"/>
    <w:uiPriority w:val="99"/>
    <w:semiHidden/>
    <w:rsid w:val="001E108A"/>
    <w:rPr>
      <w:rFonts w:ascii="Tahoma" w:cs="Tahoma" w:hAnsi="Tahoma"/>
      <w:sz w:val="16"/>
      <w:szCs w:val="16"/>
    </w:rPr>
  </w:style>
  <w:style w:styleId="SemEspaamento" w:type="paragraph">
    <w:name w:val="No Spacing"/>
    <w:uiPriority w:val="1"/>
    <w:qFormat/>
    <w:rsid w:val="001E108A"/>
    <w:pPr>
      <w:spacing w:line="240" w:lineRule="auto"/>
    </w:pPr>
  </w:style>
  <w:style w:styleId="PargrafodaLista" w:type="paragraph">
    <w:name w:val="List Paragraph"/>
    <w:basedOn w:val="Normal"/>
    <w:uiPriority w:val="34"/>
    <w:qFormat/>
    <w:rsid w:val="009629EB"/>
    <w:pPr>
      <w:ind w:left="720"/>
      <w:contextualSpacing/>
    </w:pPr>
  </w:style>
  <w:style w:styleId="Reviso" w:type="paragraph">
    <w:name w:val="Revision"/>
    <w:hidden/>
    <w:uiPriority w:val="99"/>
    <w:semiHidden/>
    <w:rsid w:val="00AF384D"/>
    <w:pPr>
      <w:spacing w:line="240" w:lineRule="auto"/>
      <w:jc w:val="left"/>
    </w:pPr>
  </w:style>
  <w:style w:customStyle="1" w:styleId="fontstyle01" w:type="character">
    <w:name w:val="fontstyle01"/>
    <w:basedOn w:val="Fontepargpadro"/>
    <w:rsid w:val="00AF384D"/>
    <w:rPr>
      <w:rFonts w:ascii="ArialMT" w:hAnsi="ArialMT" w:hint="default"/>
      <w:b w:val="0"/>
      <w:bCs w:val="0"/>
      <w:i w:val="0"/>
      <w:iCs w:val="0"/>
      <w:color w:val="000000"/>
      <w:sz w:val="22"/>
      <w:szCs w:val="22"/>
    </w:rPr>
  </w:style>
  <w:style w:customStyle="1" w:styleId="normaltextrun" w:type="character">
    <w:name w:val="normaltextrun"/>
    <w:basedOn w:val="Fontepargpadro"/>
    <w:rsid w:val="00DF03DC"/>
  </w:style>
  <w:style w:styleId="Tabelacomgrade" w:type="table">
    <w:name w:val="Table Grid"/>
    <w:basedOn w:val="Tabelanormal"/>
    <w:uiPriority w:val="59"/>
    <w:rsid w:val="00DB4B1B"/>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SimplesTabela2" w:type="table">
    <w:name w:val="Plain Table 2"/>
    <w:basedOn w:val="Tabelanormal"/>
    <w:uiPriority w:val="42"/>
    <w:rsid w:val="00DB4B1B"/>
    <w:pPr>
      <w:spacing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MenoPendente" w:type="character">
    <w:name w:val="Unresolved Mention"/>
    <w:basedOn w:val="Fontepargpadro"/>
    <w:uiPriority w:val="99"/>
    <w:semiHidden/>
    <w:unhideWhenUsed/>
    <w:rsid w:val="007979B1"/>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numbering" Target="numbering.xml"/><Relationship Id="rId20" Type="http://schemas.openxmlformats.org/officeDocument/2006/relationships/styles" Target="styles.xml"/><Relationship Id="rId19" Type="http://schemas.openxmlformats.org/officeDocument/2006/relationships/settings" Target="settings.xml"/><Relationship Id="rId18" Type="http://schemas.openxmlformats.org/officeDocument/2006/relationships/webSettings" Target="webSettings.xml"/><Relationship Id="rId17" Type="http://schemas.openxmlformats.org/officeDocument/2006/relationships/fontTable" Target="fontTable.xml"/><Relationship Id="rId16" Type="http://schemas.openxmlformats.org/officeDocument/2006/relationships/theme" Target="theme/theme1.xml"/><Relationship Id="rId15" Type="http://schemas.openxmlformats.org/officeDocument/2006/relationships/footnotes" Target="footnotes.xml"/><Relationship Id="rId14" Type="http://schemas.openxmlformats.org/officeDocument/2006/relationships/comments" Target="comments.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1.xml"/><Relationship Id="rId74" Type="http://schemas.openxmlformats.org/officeDocument/2006/relationships/image" Target="media/rId74.png"/><Relationship Id="rId58" Type="http://schemas.openxmlformats.org/officeDocument/2006/relationships/image" Target="media/rId58.png"/><Relationship Id="rId64" Type="http://schemas.openxmlformats.org/officeDocument/2006/relationships/image" Target="media/rId64.png"/><Relationship Id="rId84" Type="http://schemas.openxmlformats.org/officeDocument/2006/relationships/image" Target="media/rId84.png"/><Relationship Id="rId92" Type="http://schemas.openxmlformats.org/officeDocument/2006/relationships/image" Target="media/rId92.png"/><Relationship Id="rId43" Type="http://schemas.openxmlformats.org/officeDocument/2006/relationships/image" Target="media/rId43.png"/><Relationship Id="rId51" Type="http://schemas.openxmlformats.org/officeDocument/2006/relationships/image" Target="media/rId51.png"/><Relationship Id="rId47" Type="http://schemas.openxmlformats.org/officeDocument/2006/relationships/image" Target="media/rId47.png"/><Relationship Id="rId106" Type="http://schemas.openxmlformats.org/officeDocument/2006/relationships/image" Target="media/rId106.png"/><Relationship Id="rId112" Type="http://schemas.openxmlformats.org/officeDocument/2006/relationships/image" Target="media/rId112.png"/><Relationship Id="rId115" Type="http://schemas.openxmlformats.org/officeDocument/2006/relationships/image" Target="media/rId115.png"/><Relationship Id="rId147" Type="http://schemas.openxmlformats.org/officeDocument/2006/relationships/hyperlink" Target="https://doi.org/10.1145/2939672.2939785" TargetMode="External"/><Relationship Id="rId173" Type="http://schemas.openxmlformats.org/officeDocument/2006/relationships/hyperlink" Target="https://imazon.org.br/relatorios/indice-de-progresso-social-brasil-2026" TargetMode="External"/><Relationship Id="rId1" Type="http://schemas.openxmlformats.org/officeDocument/2006/relationships/header" Target="header2.xml"/><Relationship Id="rId2" Type="http://schemas.openxmlformats.org/officeDocument/2006/relationships/header" Target="header3.xml"/></Relationships>
</file>

<file path=word/_rels/footnotes.xml.rels><?xml version='1.0' encoding='UTF-8' standalone='yes'?>
<Relationships xmlns="http://schemas.openxmlformats.org/package/2006/relationships"><Relationship Id="rId147" Type="http://schemas.openxmlformats.org/officeDocument/2006/relationships/hyperlink" Target="https://doi.org/10.1145/2939672.2939785" TargetMode="External"/><Relationship Id="rId173" Type="http://schemas.openxmlformats.org/officeDocument/2006/relationships/hyperlink" Target="https://imazon.org.br/relatorios/indice-de-progresso-social-brasil-20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1378</Words>
  <Characters>8678</Characters>
  <Application>Microsoft Office Word</Application>
  <DocSecurity>0</DocSecurity>
  <Lines>180</Lines>
  <Paragraphs>44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2026-10-04T23:48:09Z</dcterms:created>
  <dcterms:modified xsi:type="dcterms:W3CDTF">2026-10-04T23:48:09Z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C:\Users\user\Documents\ProjetoRacismoPNAD\relatorio_tcc.bib</vt:lpwstr>
  </property>
  <property fmtid="{D5CDD505-2E9C-101B-9397-08002B2CF9AE}" pid="3" name="csl">
    <vt:lpwstr>C:\Users\user\Documents\ProjetoRacismoPNAD\tcc\scripts\abnt.csl</vt:lpwstr>
  </property>
</Properties>
</file>