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76.png" ContentType="image/png"/>
  <Override PartName="/word/media/rId82.png" ContentType="image/png"/>
  <Override PartName="/word/media/rId89.png" ContentType="image/png"/>
  <Override PartName="/word/media/rId108.png" ContentType="image/png"/>
  <Override PartName="/word/media/rId41.png" ContentType="image/png"/>
  <Override PartName="/word/media/rId49.png" ContentType="image/png"/>
  <Override PartName="/word/media/rId45.png" ContentType="image/png"/>
  <Override PartName="/word/media/rId61.png" ContentType="image/png"/>
  <Override PartName="/word/media/rId67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</w:t>
      </w:r>
      <w:r>
        <w:t xml:space="preserve">,</w:t>
      </w:r>
      <w:r>
        <w:t xml:space="preserve">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35,3% da variância do log-rendimento está</w:t>
      </w:r>
      <w:r>
        <w:t xml:space="preserve"> </w:t>
      </w:r>
      <w:r>
        <w:t xml:space="preserve">entre bairros e estima que profissionais negros recebem, em média, 10,5% a menos</w:t>
      </w:r>
      <w:r>
        <w:t xml:space="preserve"> </w:t>
      </w:r>
      <w:r>
        <w:t xml:space="preserve">que brancos comparáveis em escolaridade, sexo e idade. Desse diferencial, 39,5%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superior da penalidade</w:t>
      </w:r>
      <w:r>
        <w:t xml:space="preserve"> </w:t>
      </w:r>
      <w:r>
        <w:t xml:space="preserve">direta sob seleção em observáveis — a 6,1%.</w:t>
      </w:r>
    </w:p>
    <w:p>
      <w:pPr>
        <w:pStyle w:val="BodyText"/>
      </w:pPr>
      <w:r>
        <w:t xml:space="preserve">A decomposição de Oaxaca–Blinder atribui 17,9%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15,4%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(26</w:t>
      </w:r>
      <w:r>
        <w:t xml:space="preserve">,</w:t>
      </w:r>
      <w:r>
        <w:t xml:space="preserve">5% no q10) e decresce rumo ao topo (8</w:t>
      </w:r>
      <w:r>
        <w:t xml:space="preserve">,</w:t>
      </w:r>
      <w:r>
        <w:t xml:space="preserve">9% no q90). A desigualdade opera,</w:t>
      </w:r>
      <w:r>
        <w:t xml:space="preserve"> </w:t>
      </w:r>
      <w:r>
        <w:t xml:space="preserve">portanto,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0,814</w:t>
      </w:r>
      <w:r>
        <w:t xml:space="preserve"> </w:t>
      </w:r>
      <w:r>
        <w:t xml:space="preserve">(IC 95% 0,810–0,818) das de brancos do mesmo bairro, que se apertam para</w:t>
      </w:r>
      <w:r>
        <w:t xml:space="preserve"> </w:t>
      </w:r>
      <w:r>
        <w:t xml:space="preserve">0,761 no topo 10% da renda; o E-value de 1,5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35.3%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10.5% less than comparable White workers after controlling for education,</w:t>
      </w:r>
      <w:r>
        <w:t xml:space="preserve"> </w:t>
      </w:r>
      <w:r>
        <w:t xml:space="preserve">sex, and age. Of this differential, 39.5%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6.1%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17.9%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15.4%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(26.5% at q10) and declines toward the top (8.9% at q90). Inequality</w:t>
      </w:r>
      <w:r>
        <w:t xml:space="preserve"> </w:t>
      </w:r>
      <w:r>
        <w:t xml:space="preserve">thus also operates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0.814</w:t>
      </w:r>
      <w:r>
        <w:t xml:space="preserve"> </w:t>
      </w:r>
      <w:r>
        <w:t xml:space="preserve">(95% CI 0.810–0.818) relative to White workers from the same neighbourhood,</w:t>
      </w:r>
      <w:r>
        <w:t xml:space="preserve"> </w:t>
      </w:r>
      <w:r>
        <w:t xml:space="preserve">tightening to 0.761 in the top 10% of income; an E-value of</w:t>
      </w:r>
      <w:r>
        <w:t xml:space="preserve"> </w:t>
      </w:r>
      <w:r>
        <w:t xml:space="preserve">1.5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10,5%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encolhe: 39,5% do gap</w:t>
      </w:r>
      <w:r>
        <w:t xml:space="preserve"> </w:t>
      </w:r>
      <w:r>
        <w:t xml:space="preserve">transita pela segregação residencial. O que resta — 6,1%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19% menor; no décimo</w:t>
      </w:r>
      <w:r>
        <w:t xml:space="preserve"> </w:t>
      </w:r>
      <w:r>
        <w:t xml:space="preserve">superior da renda, 24%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</w:t>
      </w:r>
      <w:r>
        <w:t xml:space="preserve">,</w:t>
      </w:r>
      <w:r>
        <w:t xml:space="preserve">7 milhões de observações em 41.459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15.142/2025 (cotas em concursos federais, sucessora da</w:t>
      </w:r>
      <w:r>
        <w:t xml:space="preserve"> </w:t>
      </w:r>
      <w:r>
        <w:t xml:space="preserve">Lei 12.990/2014)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só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2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7.699.278 possuem renda positiva</w:t>
      </w:r>
      <w:r>
        <w:t xml:space="preserve"> </w:t>
      </w:r>
      <w:r>
        <w:t xml:space="preserve">declarada e completude nas variáveis do modelo. Como cada método exige um conjunto um pouco</w:t>
      </w:r>
      <w:r>
        <w:t xml:space="preserve"> </w:t>
      </w:r>
      <w:r>
        <w:t xml:space="preserve">diferente de variáveis,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efetivo varia pouco entre eles: 7.694.080 no HLM,</w:t>
      </w:r>
      <w:r>
        <w:t xml:space="preserve"> </w:t>
      </w:r>
      <w:r>
        <w:t xml:space="preserve">7.699.273 no GLMM, 7.699.278 na Oaxaca–Blinder e 7.699.273 no aprendizado de máquina</w:t>
      </w:r>
      <w:r>
        <w:t xml:space="preserve"> </w:t>
      </w:r>
      <w:r>
        <w:t xml:space="preserve">(treino e teste somados). Pelo mesmo motivo o número de bairros varia —</w:t>
      </w:r>
      <w:r>
        <w:t xml:space="preserve"> </w:t>
      </w:r>
      <w:r>
        <w:t xml:space="preserve">41.459 na Oaxaca–Blinder e 41.454 no modelo de acesso —, e o HLM</w:t>
      </w:r>
      <w:r>
        <w:t xml:space="preserve"> </w:t>
      </w:r>
      <w:r>
        <w:t xml:space="preserve">usa 40.728, porque exclui as UPAs com menos de dez observações para estimar a</w:t>
      </w:r>
      <w:r>
        <w:t xml:space="preserve"> </w:t>
      </w:r>
      <w:r>
        <w:t xml:space="preserve">variância entre bairros com estabilidade.</w:t>
      </w:r>
    </w:p>
    <w:p>
      <w:pPr>
        <w:pStyle w:val="BodyText"/>
      </w:pPr>
      <w:r>
        <w:t xml:space="preserve">O desfecho de rendimento é o</w:t>
      </w:r>
      <w:r>
        <w:t xml:space="preserve"> </w:t>
      </w:r>
      <w:r>
        <w:rPr>
          <w:b/>
          <w:bCs/>
        </w:rPr>
        <w:t xml:space="preserve">rendimento mensal efetivo de todos os</w:t>
      </w:r>
      <w:r>
        <w:rPr>
          <w:b/>
          <w:bCs/>
        </w:rPr>
        <w:t xml:space="preserve"> </w:t>
      </w:r>
      <w:r>
        <w:rPr>
          <w:b/>
          <w:bCs/>
        </w:rPr>
        <w:t xml:space="preserve">trabalhos</w:t>
      </w:r>
      <w:r>
        <w:t xml:space="preserve"> </w:t>
      </w:r>
      <w:r>
        <w:t xml:space="preserve">(VD4020), em logaritmo, convertido para reais constantes do 2º trimestre</w:t>
      </w:r>
      <w:r>
        <w:t xml:space="preserve"> </w:t>
      </w:r>
      <w:r>
        <w:t xml:space="preserve">de 2026 pelo deflator oficial da PNAD Contínua (IBGE), que varia por UF e trimestre;</w:t>
      </w:r>
      <w:r>
        <w:t xml:space="preserve"> </w:t>
      </w:r>
      <w:r>
        <w:t xml:space="preserve">como a deflação não remove choques comuns a cada ano, todos os modelos incluem ainda</w:t>
      </w:r>
      <w:r>
        <w:t xml:space="preserve"> </w:t>
      </w:r>
      <w:r>
        <w:t xml:space="preserve">efeitos fixos de ano. A unidade importa para ler os controles: como</w:t>
      </w:r>
      <w:r>
        <w:t xml:space="preserve"> </w:t>
      </w:r>
      <w:r>
        <w:t xml:space="preserve">o rendimento é mensal e não por hora, a jornada</w:t>
      </w:r>
      <w:r>
        <w:t xml:space="preserve"> </w:t>
      </w:r>
      <w:r>
        <w:rPr>
          <w:i/>
          <w:iCs/>
        </w:rPr>
        <w:t xml:space="preserve">habitual</w:t>
      </w:r>
      <w:r>
        <w:t xml:space="preserve"> </w:t>
      </w:r>
      <w:r>
        <w:t xml:space="preserve">(VD4031) entra como</w:t>
      </w:r>
      <w:r>
        <w:t xml:space="preserve"> </w:t>
      </w:r>
      <w:r>
        <w:t xml:space="preserve">controle necessário — sem ela, compara-se o rendimento de quem trabalha meio período com</w:t>
      </w:r>
      <w:r>
        <w:t xml:space="preserve"> </w:t>
      </w:r>
      <w:r>
        <w:t xml:space="preserve">o de quem trabalha jornada integral e atribui-se a diferença à raça.</w:t>
      </w:r>
    </w:p>
    <w:p>
      <w:pPr>
        <w:pStyle w:val="BodyText"/>
      </w:pPr>
      <w:r>
        <w:t xml:space="preserve">A escolaridade vem da VD3004 (nível de instrução mais elevado alcançado, harmonizado</w:t>
      </w:r>
      <w:r>
        <w:t xml:space="preserve"> </w:t>
      </w:r>
      <w:r>
        <w:t xml:space="preserve">pelo IBGE) e entra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rPr>
          <w:i/>
          <w:iCs/>
        </w:rPr>
        <w:t xml:space="preserve">cumulativas</w:t>
      </w:r>
      <w:r>
        <w:t xml:space="preserve"> </w:t>
      </w:r>
      <w:r>
        <w:t xml:space="preserve">de conclusão de ciclo</w:t>
      </w:r>
      <w:r>
        <w:t xml:space="preserve"> </w:t>
      </w:r>
      <w:r>
        <w:t xml:space="preserve">— fundamental completo ou mais, médio completo ou mais, superior completo ou mais e</w:t>
      </w:r>
      <w:r>
        <w:t xml:space="preserve"> </w:t>
      </w:r>
      <w:r>
        <w:t xml:space="preserve">pós-graduação (superior completo cujo curso mais elevado frequentado, V3009A, é</w:t>
      </w:r>
      <w:r>
        <w:t xml:space="preserve"> </w:t>
      </w:r>
      <w:r>
        <w:t xml:space="preserve">especialização, mestrado ou doutorado). Cada coeficiente é, assim, o ganho marginal de</w:t>
      </w:r>
      <w:r>
        <w:t xml:space="preserve"> </w:t>
      </w:r>
      <w:r>
        <w:t xml:space="preserve">completar o ciclo seguinte, e a variável cobre toda a população analisada.</w:t>
      </w:r>
    </w:p>
    <w:p>
      <w:pPr>
        <w:pStyle w:val="BodyText"/>
      </w:pPr>
      <w:r>
        <w:rPr>
          <w:b/>
          <w:bCs/>
        </w:rPr>
        <w:t xml:space="preserve">O que é a UPA e por que este trabalho a chama de bairro.</w:t>
      </w:r>
      <w:r>
        <w:t xml:space="preserve"> </w:t>
      </w:r>
      <w:r>
        <w:t xml:space="preserve">A Unidade Primária de Amostragem (UPA)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é um recorte criado para este trabalho: é</w:t>
      </w:r>
      <w:r>
        <w:t xml:space="preserve"> </w:t>
      </w:r>
      <w:r>
        <w:t xml:space="preserve">a unidade do desenho amostral da própria PNAD Contínua</w:t>
      </w:r>
      <w:r>
        <w:t xml:space="preserve"> </w:t>
      </w:r>
      <w:r>
        <w:t xml:space="preserve">(IBGE, 2023)</w:t>
      </w:r>
      <w:r>
        <w:t xml:space="preserve">. Em cada estrato,</w:t>
      </w:r>
      <w:r>
        <w:t xml:space="preserve"> </w:t>
      </w:r>
      <w:r>
        <w:t xml:space="preserve">o IBGE sorteia setores censitários — ou pequenos conjuntos de setores vizinhos, quando um</w:t>
      </w:r>
      <w:r>
        <w:t xml:space="preserve"> </w:t>
      </w:r>
      <w:r>
        <w:t xml:space="preserve">setor tem poucos domicílios — e, dentro de cada um, um grupo de domicílios que é entrevistado</w:t>
      </w:r>
      <w:r>
        <w:t xml:space="preserve"> </w:t>
      </w:r>
      <w:r>
        <w:t xml:space="preserve">em cinco trimestres consecutivos. O código da UPA vem no microdado público (variável</w:t>
      </w:r>
      <w:r>
        <w:t xml:space="preserve"> </w:t>
      </w:r>
      <w:r>
        <w:rPr>
          <w:rStyle w:val="VerbatimChar"/>
        </w:rPr>
        <w:t xml:space="preserve">UPA</w:t>
      </w:r>
      <w:r>
        <w:t xml:space="preserve">), e é isso que permite saber quais entrevistados moram perto uns dos outros. Como</w:t>
      </w:r>
      <w:r>
        <w:t xml:space="preserve"> </w:t>
      </w:r>
      <w:r>
        <w:t xml:space="preserve">o setor censitário reúne algumas centenas de domicílios contíguos, a UPA é a menor unidade</w:t>
      </w:r>
      <w:r>
        <w:t xml:space="preserve"> </w:t>
      </w:r>
      <w:r>
        <w:t xml:space="preserve">territorial que a PNAD identifica e a mais próxima da ideia de vizinhança; por isso, ao longo</w:t>
      </w:r>
      <w:r>
        <w:t xml:space="preserve"> </w:t>
      </w:r>
      <w:r>
        <w:t xml:space="preserve">do texto, ela é chamada de</w:t>
      </w:r>
      <w:r>
        <w:t xml:space="preserve"> </w:t>
      </w:r>
      <w:r>
        <w:rPr>
          <w:i/>
          <w:iCs/>
        </w:rPr>
        <w:t xml:space="preserve">bairro</w:t>
      </w:r>
      <w:r>
        <w:t xml:space="preserve">. A correspondência é aproximada, e convém dizê-lo:</w:t>
      </w:r>
      <w:r>
        <w:t xml:space="preserve"> </w:t>
      </w:r>
      <w:r>
        <w:t xml:space="preserve">a UPA costuma ser menor que um bairro administrativo de cidade grande e, na zona rural, pode</w:t>
      </w:r>
      <w:r>
        <w:t xml:space="preserve"> </w:t>
      </w:r>
      <w:r>
        <w:t xml:space="preserve">cobrir uma área extensa. Onde a precisão técnica importa — equações do modelo, componentes de</w:t>
      </w:r>
      <w:r>
        <w:t xml:space="preserve"> </w:t>
      </w:r>
      <w:r>
        <w:t xml:space="preserve">variância, erros-padrão agrupados —, o texto usa UPA; no restante, bairro.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−1,17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(0,42). É esse desequilíbrio que o nível 2 do modelo hierárquico absorve.</w:t>
      </w:r>
      <w:r>
        <w:t xml:space="preserve"> </w:t>
      </w:r>
      <w:r>
        <w:t xml:space="preserve">O suporte comum é amplo: 97,2%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3.271.443 brancos e 4.427.835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9.278; 3.271.443 brancos e 4.427.835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97,2%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(H1)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</w:t>
      </w:r>
      <w:r>
        <w:t xml:space="preserve"> </w:t>
      </w:r>
      <w:r>
        <w:t xml:space="preserve">grupo CBO), e o termo de erro é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intraclasse, calculada por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30182</m:t>
        </m:r>
      </m:oMath>
      <w:r>
        <w:t xml:space="preserve"> </w:t>
      </w:r>
      <w:r>
        <w:t xml:space="preserve">por ML e 0,30182 por REML;</w:t>
      </w:r>
      <w:r>
        <w:t xml:space="preserve"> </w:t>
      </w:r>
      <w:r>
        <w:t xml:space="preserve">ICC idêntico até a quarta casa).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(Blinder, 1973; Oaxaca, 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capital humano, jornada, área urbana, contexto de bairro e efeitos fixos de UF —</w:t>
      </w:r>
      <w:r>
        <w:t xml:space="preserve"> </w:t>
      </w:r>
      <w:r>
        <w:t xml:space="preserve">os controles do HLM M3 —, comparável à literatura; e (B) acrescentando formalidade e</w:t>
      </w:r>
      <w:r>
        <w:t xml:space="preserve"> </w:t>
      </w:r>
      <w:r>
        <w:t xml:space="preserve">grupo ocupacional como dotações (os controles do M4).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seis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compara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— os mesmos extremos da decomposição RIF —; 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é apenas descritivo. Ele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41.459 UPAs a cada</w:t>
      </w:r>
      <w:r>
        <w:t xml:space="preserve"> </w:t>
      </w:r>
      <w:r>
        <w:t xml:space="preserve">réplica seria proibitivo com 7</w:t>
      </w:r>
      <w:r>
        <w:t xml:space="preserve">,</w:t>
      </w:r>
      <w:r>
        <w:t xml:space="preserve">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30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(41.459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0,0005 (convencional) para 0,0009 (agrupado por UPA) e 0,0033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4,1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20,1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19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-0,0630 (MQO equivalente, sem pesos) para -0,0575 (gap de 6,1% para 5,6%), diferença sem relevância econômica; os demais resultados são não ponderados.</w:t>
      </w:r>
    </w:p>
    <w:p>
      <w:pPr>
        <w:pStyle w:val="BodyText"/>
      </w:pPr>
      <w:r>
        <w:rPr>
          <w:b/>
          <w:bCs/>
        </w:rPr>
        <w:t xml:space="preserve">O conjunto das verificações.</w:t>
      </w:r>
      <w:r>
        <w:t xml:space="preserve"> </w:t>
      </w:r>
      <w:r>
        <w:t xml:space="preserve">A Tabela </w:t>
      </w:r>
      <w:hyperlink w:anchor="tab:robustez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reúne os diagnósticos aplicados ao longo do trabalho, o resultado de cada um e a providência que ele motivou.</w:t>
      </w:r>
    </w:p>
    <w:bookmarkStart w:id="29" w:name="tab:robustez"/>
    <w:p>
      <w:pPr>
        <w:pStyle w:val="TableCaption"/>
      </w:pPr>
      <w:r>
        <w:t xml:space="preserve">Testes de robustez e diagnóstico. Cada linha traz o que foi</w:t>
      </w:r>
      <w:r>
        <w:t xml:space="preserve"> </w:t>
      </w:r>
      <w:r>
        <w:t xml:space="preserve">verificado, o resultado e a providência tomada. Valores extraídos dos</w:t>
      </w:r>
      <w:r>
        <w:t xml:space="preserve"> </w:t>
      </w:r>
      <w:r>
        <w:t xml:space="preserve">mesmos csv que alimentam as demais tabelas.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es de robustez e diagnóstico. Cada linha traz o que foi verificado, o resultado e a providência tomada. Valores extraídos dos mesmos csv que alimentam as demais tabela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Heterocedasticidade (Breusch–Pagan)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regressão auxiliar: 0</w:t>
            </w:r>
            <w:r>
              <w:t xml:space="preserve">,</w:t>
            </w:r>
            <w:r>
              <w:t xml:space="preserve">066 e 0</w:t>
            </w:r>
            <w:r>
              <w:t xml:space="preserve">,</w:t>
            </w:r>
            <w:r>
              <w:t xml:space="preserve">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 bootstrap em blocos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funcional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 potências do predito: 0</w:t>
            </w:r>
            <w:r>
              <w:t xml:space="preserve">,</w:t>
            </w:r>
            <w:r>
              <w:t xml:space="preserve">0020 a 0</w:t>
            </w:r>
            <w:r>
              <w:t xml:space="preserve">,</w:t>
            </w:r>
            <w:r>
              <w:t xml:space="preserve">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sem relevância prática; forma mantida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Multicolinearidade (VIF)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VIF de</w:t>
            </w:r>
            <w:r>
              <w:t xml:space="preserve"> </w:t>
            </w:r>
            <w:r>
              <w:rPr>
                <w:rStyle w:val="VerbatimChar"/>
              </w:rPr>
              <w:t xml:space="preserve">negro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</w:t>
            </w:r>
            <w:r>
              <w:t xml:space="preserve">,</w:t>
            </w:r>
            <w:r>
              <w:t xml:space="preserve">36; nenhum preditor acima de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colinearidade relevante; o coeficiente de interesse não é afetado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 multinível (teste de razão de verossimilhança)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da UPA no modelo nulo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bairro justificado (limiar de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estimação (ML vs. REML)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UPA: 0</w:t>
            </w:r>
            <w:r>
              <w:t xml:space="preserve">,</w:t>
            </w:r>
            <w:r>
              <w:t xml:space="preserve">30182 (ML) e 0</w:t>
            </w:r>
            <w:r>
              <w:t xml:space="preserve">,</w:t>
            </w:r>
            <w:r>
              <w:t xml:space="preserve">30182 (REML)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coincidem com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 milhões; ML usado para os testes aninhados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(Konfound/ITCV)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  <w:r>
              <w:t xml:space="preserve">,</w:t>
            </w:r>
            <w:r>
              <w:t xml:space="preserve">4% das estimativas teriam de ser viés para anular o achado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 robusto a confundimento plausível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(E-value)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E-value entre 1</w:t>
            </w:r>
            <w:r>
              <w:t xml:space="preserve">,</w:t>
            </w:r>
            <w:r>
              <w:t xml:space="preserve">46 e 2</w:t>
            </w:r>
            <w:r>
              <w:t xml:space="preserve">,</w:t>
            </w: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confundidor precisaria dessa força com raça e desfecho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Sobreajuste (treino vs. 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0</w:t>
            </w:r>
            <w:r>
              <w:t xml:space="preserve">,</w:t>
            </w:r>
            <w:r>
              <w:t xml:space="preserve">0084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partição 80/20 e validação cruzada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</w:t>
            </w:r>
            <w:r>
              <w:rPr>
                <w:i/>
                <w:iCs/>
              </w:rPr>
              <w:t xml:space="preserve">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Ganho do ML sobre o linear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de teste: MQO 0</w:t>
            </w:r>
            <w:r>
              <w:t xml:space="preserve">,</w:t>
            </w:r>
            <w:r>
              <w:t xml:space="preserve">587; RF 0</w:t>
            </w:r>
            <w:r>
              <w:t xml:space="preserve">,</w:t>
            </w:r>
            <w:r>
              <w:t xml:space="preserve">589; XGBoost 0</w:t>
            </w:r>
            <w:r>
              <w:t xml:space="preserve">,</w:t>
            </w:r>
            <w:r>
              <w:t xml:space="preserve">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treino e teste: o RF empata com o linear (+0</w:t>
            </w:r>
            <w:r>
              <w:t xml:space="preserve">,</w:t>
            </w:r>
            <w:r>
              <w:t xml:space="preserve">002); o XGBoost ganha 0</w:t>
            </w:r>
            <w:r>
              <w:t xml:space="preserve">,</w:t>
            </w:r>
            <w:r>
              <w:t xml:space="preserve">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amostral (V1028) no acesso, no topo e na decomposição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do acesso 0</w:t>
            </w:r>
            <w:r>
              <w:t xml:space="preserve">,</w:t>
            </w:r>
            <w:r>
              <w:t xml:space="preserve">820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808; topo 10% 0</w:t>
            </w:r>
            <w:r>
              <w:t xml:space="preserve">,</w:t>
            </w:r>
            <w:r>
              <w:t xml:space="preserve">758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777; preço da Oaxaca (A, com peso) 17</w:t>
            </w:r>
            <w:r>
              <w:t xml:space="preserve">,</w:t>
            </w:r>
            <w:r>
              <w:t xml:space="preserve">9%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15</w:t>
            </w:r>
            <w:r>
              <w:t xml:space="preserve">,</w:t>
            </w: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 com efeito fixo de estado e erro agrupado por UPA; conclusão inalterada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Validação cruzada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médio entre</w:t>
            </w:r>
            <w:r>
              <w:t xml:space="preserve"> </w:t>
            </w:r>
            <w:r>
              <w:rPr>
                <w:i/>
                <w:iCs/>
              </w:rPr>
              <w:t xml:space="preserve">folds</w:t>
            </w:r>
            <w:r>
              <w:t xml:space="preserve">: 0</w:t>
            </w:r>
            <w:r>
              <w:t xml:space="preserve">,</w:t>
            </w:r>
            <w:r>
              <w:t xml:space="preserve">6435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hiperparâmetros escolhidos em partição de validação e confirmados por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Balanceamento e suporte comum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padronizada entre grupos: 1</w:t>
            </w:r>
            <w:r>
              <w:t xml:space="preserve">,</w:t>
            </w: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desequilíbrio concentrado no contexto de bairro, absorvido pelo nível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Especificação do nível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coeficiente racial com UF aleatória: −0</w:t>
            </w:r>
            <w:r>
              <w:t xml:space="preserve">,</w:t>
            </w:r>
            <w:r>
              <w:t xml:space="preserve">0629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da UF como efeito fixo; resultado não depende da escolha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Vazamento das médias de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médias do bairro e do estado calculadas sem a própria observação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que a raça do indivíduo entre no regressor que o descreve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intragrupo (Moulton)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regressores que variam no nível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em todos os modelos</w:t>
            </w:r>
          </w:p>
        </w:tc>
      </w:tr>
    </w:tbl>
    <w:bookmarkEnd w:id="29"/>
    <w:p>
      <w:pPr>
        <w:pStyle w:val="BodyText"/>
      </w:pPr>
      <w:r>
        <w:t xml:space="preserve">Fonte: Resultados originais da pesquisa.</w:t>
      </w:r>
    </w:p>
    <w:bookmarkEnd w:id="30"/>
    <w:bookmarkStart w:id="31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árvores, profundidade</w:t>
      </w:r>
      <w:r>
        <w:t xml:space="preserve"> </w:t>
      </w:r>
      <w:r>
        <w:t xml:space="preserve">máxima 10, ao menos 50 observações por folha e todas as variáveis candidatas em cada</w:t>
      </w:r>
      <w:r>
        <w:t xml:space="preserve"> </w:t>
      </w:r>
      <w:r>
        <w:t xml:space="preserve">divisão (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padrão do</w:t>
      </w:r>
      <w:r>
        <w:t xml:space="preserve"> </w:t>
      </w:r>
      <w:r>
        <w:rPr>
          <w:i/>
          <w:iCs/>
        </w:rPr>
        <w:t xml:space="preserve">scikit-learn</w:t>
      </w:r>
      <w:r>
        <w:t xml:space="preserve"> </w:t>
      </w:r>
      <w:r>
        <w:t xml:space="preserve">para regressão);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para calcular os valores de Shapley de cada variável. Os modelos são</w:t>
      </w:r>
      <w:r>
        <w:t xml:space="preserve"> </w:t>
      </w:r>
      <w:r>
        <w:t xml:space="preserve">ajustados e avaliados na população completa; só o cálculo dos valores SHAP usa uma amostra</w:t>
      </w:r>
      <w:r>
        <w:t xml:space="preserve"> </w:t>
      </w:r>
      <w:r>
        <w:t xml:space="preserve">de 50 mil observações sorteadas do conjunto de treino, com semente fixa, porque o custo do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cresce com o número de casos explicados.</w:t>
      </w:r>
    </w:p>
    <w:bookmarkEnd w:id="31"/>
    <w:bookmarkEnd w:id="32"/>
    <w:bookmarkStart w:id="116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3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6,1% (M3) e de 5,6%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3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54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t xml:space="preserve">Quanto do gap racial sobrevive à comparação entre dois trabalhadores que moram no</w:t>
      </w:r>
      <w:r>
        <w:t xml:space="preserve"> </w:t>
      </w:r>
      <w:r>
        <w:t xml:space="preserve">mesmo bairro? A pergunta separa duas histórias muito diferentes. Se quase nada</w:t>
      </w:r>
      <w:r>
        <w:t xml:space="preserve"> </w:t>
      </w:r>
      <w:r>
        <w:t xml:space="preserve">sobrevive, o diferencial de renda é sobretudo consequência de onde negros e brancos</w:t>
      </w:r>
      <w:r>
        <w:t xml:space="preserve"> </w:t>
      </w:r>
      <w:r>
        <w:t xml:space="preserve">conseguem morar. Se quase tudo sobrevive, o bairro é cenário, e a diferença se produz</w:t>
      </w:r>
      <w:r>
        <w:t xml:space="preserve"> </w:t>
      </w:r>
      <w:r>
        <w:t xml:space="preserve">pessoa a pessoa, dentro da mesma rua. 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responde em</w:t>
      </w:r>
      <w:r>
        <w:t xml:space="preserve"> </w:t>
      </w:r>
      <w:r>
        <w:t xml:space="preserve">cinco degraus,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e veja o coeficiente</w:t>
      </w:r>
      <w:r>
        <w:t xml:space="preserve"> </w:t>
      </w:r>
      <w:r>
        <w:t xml:space="preserve">aproximar-se de zero à medida que cada degrau acrescenta um bloco de controles.</w:t>
      </w:r>
    </w:p>
    <w:p>
      <w:pPr>
        <w:pStyle w:val="BodyText"/>
      </w:pPr>
      <w:r>
        <w:rPr>
          <w:b/>
          <w:bCs/>
        </w:rPr>
        <w:t xml:space="preserve">Mais de um terço da diferença de renda está entre bairros, não dentro deles.</w:t>
      </w:r>
      <w:r>
        <w:t xml:space="preserve"> </w:t>
      </w:r>
      <w:r>
        <w:t xml:space="preserve">Antes de qualquer controle, o modelo nulo reparte a variação do log-rendimento em duas</w:t>
      </w:r>
      <w:r>
        <w:t xml:space="preserve"> </w:t>
      </w:r>
      <w:r>
        <w:t xml:space="preserve">parcelas: a que separa um bairro de outro e a que separa dois vizinhos. O ICC da UPA é</w:t>
      </w:r>
      <w:r>
        <w:t xml:space="preserve"> </w:t>
      </w:r>
      <w:r>
        <w:t xml:space="preserve">de 0,353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— isto é,</w:t>
      </w:r>
      <w:r>
        <w:t xml:space="preserve"> </w:t>
      </w:r>
      <w:r>
        <w:rPr>
          <w:b/>
          <w:bCs/>
        </w:rPr>
        <w:t xml:space="preserve">35,3% da</w:t>
      </w:r>
      <w:r>
        <w:rPr>
          <w:b/>
          <w:bCs/>
        </w:rPr>
        <w:t xml:space="preserve"> </w:t>
      </w:r>
      <w:r>
        <w:rPr>
          <w:b/>
          <w:bCs/>
        </w:rPr>
        <w:t xml:space="preserve">variância do log-rendimento está entre bairros</w:t>
      </w:r>
      <w:r>
        <w:t xml:space="preserve">. Em linguagem de leitor: de toda a</w:t>
      </w:r>
      <w:r>
        <w:t xml:space="preserve"> </w:t>
      </w:r>
      <w:r>
        <w:t xml:space="preserve">diferença de renda entre duas pessoas sorteadas ao acaso no país, mais de um terço já</w:t>
      </w:r>
      <w:r>
        <w:t xml:space="preserve"> </w:t>
      </w:r>
      <w:r>
        <w:t xml:space="preserve">está associada a morarem em bairros diferentes, antes de se saber qualquer outra coisa</w:t>
      </w:r>
      <w:r>
        <w:t xml:space="preserve"> </w:t>
      </w:r>
      <w:r>
        <w:t xml:space="preserve">sobre elas. É muito acima do limiar de 5% a partir do qual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consideram indispensável tratar a estrutura aninhada, e maior do que a parcela entre</w:t>
      </w:r>
      <w:r>
        <w:t xml:space="preserve"> </w:t>
      </w:r>
      <w:r>
        <w:t xml:space="preserve">estados (cerca de 11%, no modelo alternativo com UF aleatória usado como robustez).</w:t>
      </w:r>
      <w:r>
        <w:t xml:space="preserve"> </w:t>
      </w:r>
      <w:r>
        <w:t xml:space="preserve">Ignorar essa estrutura trataria como independentes pessoas que compartilham o mesmo</w:t>
      </w:r>
      <w:r>
        <w:t xml:space="preserve"> </w:t>
      </w:r>
      <w:r>
        <w:t xml:space="preserve">mercado de trabalho local.</w:t>
      </w:r>
    </w:p>
    <w:p>
      <w:pPr>
        <w:pStyle w:val="BodyText"/>
      </w:pPr>
      <w:r>
        <w:rPr>
          <w:b/>
          <w:bCs/>
        </w:rPr>
        <w:t xml:space="preserve">Comparar vizinhos reduz o gap em cerca de 40%.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</w:t>
      </w:r>
      <w:r>
        <w:t xml:space="preserve"> </w:t>
      </w:r>
      <w:r>
        <w:rPr>
          <w:b/>
          <w:bCs/>
        </w:rPr>
        <w:t xml:space="preserve">10,5% a menos</w:t>
      </w:r>
      <w:r>
        <w:t xml:space="preserve"> </w:t>
      </w:r>
      <w:r>
        <w:t xml:space="preserve">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1104</m:t>
        </m:r>
      </m:oMath>
      <w:r>
        <w:t xml:space="preserve">). O M1 acrescenta o intercepto aleatório de UPA — na</w:t>
      </w:r>
      <w:r>
        <w:t xml:space="preserve"> </w:t>
      </w:r>
      <w:r>
        <w:t xml:space="preserve">prática, um nível de renda próprio para cada bairro — e com ele a comparação deixa de</w:t>
      </w:r>
      <w:r>
        <w:t xml:space="preserve"> </w:t>
      </w:r>
      <w:r>
        <w:t xml:space="preserve">ser entre todos os trabalhadores do país e passa a ser entre negros e brancos</w:t>
      </w:r>
      <w:r>
        <w:t xml:space="preserve"> </w:t>
      </w:r>
      <w:r>
        <w:rPr>
          <w:i/>
          <w:iCs/>
        </w:rPr>
        <w:t xml:space="preserve">do</w:t>
      </w:r>
      <w:r>
        <w:rPr>
          <w:i/>
          <w:iCs/>
        </w:rPr>
        <w:t xml:space="preserve"> </w:t>
      </w:r>
      <w:r>
        <w:rPr>
          <w:i/>
          <w:iCs/>
        </w:rPr>
        <w:t xml:space="preserve">mesmo bairro</w:t>
      </w:r>
      <w:r>
        <w:t xml:space="preserve">: a penalidade cai para</w:t>
      </w:r>
      <w:r>
        <w:t xml:space="preserve"> </w:t>
      </w:r>
      <w:r>
        <w:rPr>
          <w:b/>
          <w:bCs/>
        </w:rPr>
        <w:t xml:space="preserve">6,5%</w:t>
      </w:r>
      <w:r>
        <w:rPr>
          <w:rStyle w:val="FootnoteReference"/>
        </w:rPr>
        <w:footnoteReference w:id="35"/>
      </w:r>
      <w:r>
        <w:t xml:space="preserve">. Medida na régua do gap agregado,</w:t>
      </w:r>
      <w:r>
        <w:t xml:space="preserve"> </w:t>
      </w:r>
      <w:r>
        <w:rPr>
          <w:b/>
          <w:bCs/>
        </w:rPr>
        <w:t xml:space="preserve">39,5% da distância já foi percorrida</w:t>
      </w:r>
      <w:r>
        <w:t xml:space="preserve"> </w:t>
      </w:r>
      <w:r>
        <w:t xml:space="preserve">— percorrida no sentido de</w:t>
      </w:r>
      <w:r>
        <w:t xml:space="preserve"> </w:t>
      </w:r>
      <w:r>
        <w:t xml:space="preserve">atribuída a um fator observável, e não no sentido de explicada sem discriminação, já que</w:t>
      </w:r>
      <w:r>
        <w:t xml:space="preserve"> </w:t>
      </w:r>
      <w:r>
        <w:t xml:space="preserve">o bairro em que se consegue morar é ele próprio produto de exclusão. Esse é o teste da</w:t>
      </w:r>
      <w:r>
        <w:t xml:space="preserve"> </w:t>
      </w:r>
      <w:r>
        <w:t xml:space="preserve">Hipótese H1, e ele passa: negros e brancos com o mesmo capital humano não moram nos</w:t>
      </w:r>
      <w:r>
        <w:t xml:space="preserve"> </w:t>
      </w:r>
      <w:r>
        <w:t xml:space="preserve">mesmos bairros, e os bairros pagam diferente. Os controles individuais explicam, além</w:t>
      </w:r>
      <w:r>
        <w:t xml:space="preserve"> </w:t>
      </w:r>
      <w:r>
        <w:t xml:space="preserve">disso, 66,5% da variância entre bairros do M0 —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 nele.</w:t>
      </w:r>
    </w:p>
    <w:p>
      <w:pPr>
        <w:pStyle w:val="BodyText"/>
      </w:pPr>
      <w:r>
        <w:t xml:space="preserve">Vale guardar a frase: 39</w:t>
      </w:r>
      <w:r>
        <w:t xml:space="preserve">,</w:t>
      </w:r>
      <w:r>
        <w:t xml:space="preserve">5% do gap racial não separam duas pessoas,</w:t>
      </w:r>
      <w:r>
        <w:t xml:space="preserve"> </w:t>
      </w:r>
      <w:r>
        <w:t xml:space="preserve">separam dois endereços. Resta saber o que, num endereço, produz essa diferença.</w:t>
      </w:r>
    </w:p>
    <w:p>
      <w:pPr>
        <w:pStyle w:val="BodyText"/>
      </w:pPr>
      <w:r>
        <w:rPr>
          <w:b/>
          <w:bCs/>
        </w:rPr>
        <w:t xml:space="preserve">Morar onde moram os negros custa outra vez.</w:t>
      </w:r>
      <w:r>
        <w:t xml:space="preserve"> </w:t>
      </w:r>
      <w:r>
        <w:t xml:space="preserve">O M2 pergunta o que, num bairro, faz a renda ser mais alta ou mais baixa, e responde com</w:t>
      </w:r>
      <w:r>
        <w:t xml:space="preserve"> </w:t>
      </w:r>
      <w:r>
        <w:t xml:space="preserve">três covariáveis de nível 2 que juntas explicam 55,2% da variância</w:t>
      </w:r>
      <w:r>
        <w:t xml:space="preserve"> </w:t>
      </w:r>
      <w:r>
        <w:t xml:space="preserve">entre bairros que restava no M1</w:t>
      </w:r>
      <w:r>
        <w:rPr>
          <w:rStyle w:val="FootnoteReference"/>
        </w:rPr>
        <w:footnoteReference w:id="36"/>
      </w:r>
      <w:r>
        <w:t xml:space="preserve">. A mais eloquente é a</w:t>
      </w:r>
      <w:r>
        <w:t xml:space="preserve"> </w:t>
      </w:r>
      <w:r>
        <w:t xml:space="preserve">composição racial: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significa que um desvio-padrão a mais</w:t>
      </w:r>
      <w:r>
        <w:t xml:space="preserve"> </w:t>
      </w:r>
      <w:r>
        <w:t xml:space="preserve">na proporção de moradores negros da UPA reduz o 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moradores,</w:t>
      </w:r>
      <w:r>
        <w:t xml:space="preserve"> </w:t>
      </w:r>
      <w:r>
        <w:t xml:space="preserve">negros e brancos, em 0,13 log-pontos — cerca de 2</w:t>
      </w:r>
      <w:r>
        <w:t xml:space="preserve">,</w:t>
      </w:r>
      <w:r>
        <w:t xml:space="preserve">0 vezes a</w:t>
      </w:r>
      <w:r>
        <w:t xml:space="preserve"> </w:t>
      </w:r>
      <w:r>
        <w:t xml:space="preserve">penalidade que um trabalhador negro carrega individualmente no mesmo modelo. É a evidência</w:t>
      </w:r>
      <w:r>
        <w:t xml:space="preserve"> </w:t>
      </w:r>
      <w:r>
        <w:t xml:space="preserve">mais direta da</w:t>
      </w:r>
      <w:r>
        <w:t xml:space="preserve"> </w:t>
      </w:r>
      <w:r>
        <w:rPr>
          <w:i/>
          <w:iCs/>
        </w:rPr>
        <w:t xml:space="preserve">dupla desvantagem</w:t>
      </w:r>
      <w:r>
        <w:t xml:space="preserve">: ser negro custa, e morar onde moram os negros</w:t>
      </w:r>
      <w:r>
        <w:t xml:space="preserve"> </w:t>
      </w:r>
      <w:r>
        <w:t xml:space="preserve">custa outra vez, inclusive para quem não é negro. Já o coeficiente individual mal se move</w:t>
      </w:r>
      <w:r>
        <w:t xml:space="preserve"> </w:t>
      </w:r>
      <w:r>
        <w:t xml:space="preserve">(de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0637</m:t>
        </m:r>
      </m:oMath>
      <w:r>
        <w:t xml:space="preserve">): acrescentar a composição do bairro quase não altera a</w:t>
      </w:r>
      <w:r>
        <w:t xml:space="preserve"> </w:t>
      </w:r>
      <w:r>
        <w:t xml:space="preserve">penalidade racial média — as duas desvantagens se somam, em vez de uma explicar a outra.</w:t>
      </w:r>
    </w:p>
    <w:p>
      <w:pPr>
        <w:pStyle w:val="BodyText"/>
      </w:pPr>
      <w:r>
        <w:t xml:space="preserve">Em uma frase: o bairro cobra duas vezes — da pessoa negra, pela cor; e de todos</w:t>
      </w:r>
      <w:r>
        <w:t xml:space="preserve"> </w:t>
      </w:r>
      <w:r>
        <w:t xml:space="preserve">os que moram ali, pela composição racial do lugar.</w:t>
      </w:r>
    </w:p>
    <w:p>
      <w:pPr>
        <w:pStyle w:val="BodyText"/>
      </w:pPr>
      <w:r>
        <w:rPr>
          <w:b/>
          <w:bCs/>
        </w:rPr>
        <w:t xml:space="preserve">Acrescentar o estado não move a régua.</w:t>
      </w:r>
      <w:r>
        <w:t xml:space="preserve"> </w:t>
      </w:r>
      <w:r>
        <w:t xml:space="preserve">Com os efeitos fixos de UF, a penalidade é de</w:t>
      </w:r>
      <w:r>
        <w:t xml:space="preserve"> </w:t>
      </w:r>
      <w:r>
        <w:rPr>
          <w:b/>
          <w:bCs/>
        </w:rPr>
        <w:t xml:space="preserve">6,1%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0629</m:t>
        </m:r>
      </m:oMath>
      <w:r>
        <w:t xml:space="preserve">). Na régua do gap</w:t>
      </w:r>
      <w:r>
        <w:t xml:space="preserve"> </w:t>
      </w:r>
      <w:r>
        <w:t xml:space="preserve">agregado, 43,0% — praticamente os mesmos 39,5% do M1. O</w:t>
      </w:r>
      <w:r>
        <w:t xml:space="preserve"> </w:t>
      </w:r>
      <w:r>
        <w:t xml:space="preserve">dado relevante aqui é 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aconteceu: depois que a comparação já é entre</w:t>
      </w:r>
      <w:r>
        <w:t xml:space="preserve"> </w:t>
      </w:r>
      <w:r>
        <w:t xml:space="preserve">vizinhos, o contexto do bairro (M2) e a unidade da federação (M3) retiram pouco</w:t>
      </w:r>
      <w:r>
        <w:t xml:space="preserve"> </w:t>
      </w:r>
      <w:r>
        <w:t xml:space="preserve">mais do diferencial. É esse patamar que este trabalho chama de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: o</w:t>
      </w:r>
      <w:r>
        <w:t xml:space="preserve"> </w:t>
      </w:r>
      <w:r>
        <w:t xml:space="preserve">que capital humano, contexto de bairro e estado não explicam — um limite superior da</w:t>
      </w:r>
      <w:r>
        <w:t xml:space="preserve"> </w:t>
      </w:r>
      <w:r>
        <w:t xml:space="preserve">penalidade direta sob seleção em observáveis (o M4 é o inferior), e não uma medida de</w:t>
      </w:r>
      <w:r>
        <w:t xml:space="preserve"> </w:t>
      </w:r>
      <w:r>
        <w:t xml:space="preserve">discriminação.</w:t>
      </w:r>
      <w:r>
        <w:rPr>
          <w:rStyle w:val="FootnoteReference"/>
        </w:rPr>
        <w:footnoteReference w:id="37"/>
      </w:r>
    </w:p>
    <w:p>
      <w:pPr>
        <w:pStyle w:val="BodyText"/>
      </w:pPr>
      <w:r>
        <w:rPr>
          <w:b/>
          <w:bCs/>
        </w:rPr>
        <w:t xml:space="preserve">Bairro ou estado? A separação em três camadas.</w:t>
      </w:r>
      <w:r>
        <w:t xml:space="preserve"> </w:t>
      </w:r>
      <w:r>
        <w:t xml:space="preserve">Uma objeção natural: se bairros pobres se concentram em estados pobres, o que este</w:t>
      </w:r>
      <w:r>
        <w:t xml:space="preserve"> </w:t>
      </w:r>
      <w:r>
        <w:t xml:space="preserve">trabalho chama de efeito do bairro pode ser efeito da região. O modelo de dois</w:t>
      </w:r>
      <w:r>
        <w:t xml:space="preserve"> </w:t>
      </w:r>
      <w:r>
        <w:t xml:space="preserve">níveis não separa as duas coisas — ele trata a UF como efeito fixo, e por isso</w:t>
      </w:r>
      <w:r>
        <w:t xml:space="preserve"> </w:t>
      </w:r>
      <w:r>
        <w:t xml:space="preserve">credita ao bairro tudo o que é territorial. Para medir a separação, o modelo nulo</w:t>
      </w:r>
      <w:r>
        <w:t xml:space="preserve"> </w:t>
      </w:r>
      <w:r>
        <w:t xml:space="preserve">foi reestimado com</w:t>
      </w:r>
      <w:r>
        <w:t xml:space="preserve"> </w:t>
      </w:r>
      <w:r>
        <w:rPr>
          <w:b/>
          <w:bCs/>
        </w:rPr>
        <w:t xml:space="preserve">três</w:t>
      </w:r>
      <w:r>
        <w:t xml:space="preserve"> </w:t>
      </w:r>
      <w:r>
        <w:t xml:space="preserve">níveis: pessoa dentro de bairro dentro de estado,</w:t>
      </w:r>
      <w:r>
        <w:t xml:space="preserve"> </w:t>
      </w:r>
      <w:r>
        <w:t xml:space="preserve">com intercepto aleatório nos dois.</w:t>
      </w:r>
    </w:p>
    <w:p>
      <w:pPr>
        <w:pStyle w:val="BodyText"/>
      </w:pPr>
      <w:r>
        <w:t xml:space="preserve">O resultado divide o território em duas partes desiguais. Dos</w:t>
      </w:r>
      <w:r>
        <w:t xml:space="preserve"> </w:t>
      </w:r>
      <w:r>
        <w:t xml:space="preserve">35,3% que o modelo de dois níveis atribui ao bairro,</w:t>
      </w:r>
      <w:r>
        <w:t xml:space="preserve"> </w:t>
      </w:r>
      <w:r>
        <w:rPr>
          <w:b/>
          <w:bCs/>
        </w:rPr>
        <w:t xml:space="preserve">23,4%</w:t>
      </w:r>
      <w:r>
        <w:t xml:space="preserve"> </w:t>
      </w:r>
      <w:r>
        <w:t xml:space="preserve">permanecem entre bairros do</w:t>
      </w:r>
      <w:r>
        <w:t xml:space="preserve"> </w:t>
      </w:r>
      <w:r>
        <w:rPr>
          <w:i/>
          <w:iCs/>
        </w:rPr>
        <w:t xml:space="preserve">mesmo</w:t>
      </w:r>
      <w:r>
        <w:t xml:space="preserve"> </w:t>
      </w:r>
      <w:r>
        <w:t xml:space="preserve">estado e</w:t>
      </w:r>
      <w:r>
        <w:t xml:space="preserve"> </w:t>
      </w:r>
      <w:r>
        <w:rPr>
          <w:b/>
          <w:bCs/>
        </w:rPr>
        <w:t xml:space="preserve">11,4%</w:t>
      </w:r>
      <w:r>
        <w:t xml:space="preserve"> </w:t>
      </w:r>
      <w:r>
        <w:t xml:space="preserve">são diferenças entre estados. Depois dos controles</w:t>
      </w:r>
      <w:r>
        <w:t xml:space="preserve"> </w:t>
      </w:r>
      <w:r>
        <w:t xml:space="preserve">individuais e do contexto do bairro, o bairro cai para 7,2% e o estado</w:t>
      </w:r>
      <w:r>
        <w:t xml:space="preserve"> </w:t>
      </w:r>
      <w:r>
        <w:t xml:space="preserve">para 5,6%: a camada do bairro encolhe mais (de 2,1 para 1,3 vez o estado), mas continua sendo a maior.</w:t>
      </w:r>
      <w:r>
        <w:rPr>
          <w:rStyle w:val="FootnoteReference"/>
        </w:rPr>
        <w:footnoteReference w:id="38"/>
      </w:r>
    </w:p>
    <w:p>
      <w:pPr>
        <w:pStyle w:val="BodyText"/>
      </w:pPr>
      <w:r>
        <w:rPr>
          <w:b/>
          <w:bCs/>
        </w:rPr>
        <w:t xml:space="preserve">Dentro da mesma ocupação o gap encolhe — o que não é o mesmo que explicá-lo.</w:t>
      </w:r>
      <w:r>
        <w:t xml:space="preserve"> </w:t>
      </w:r>
      <w:r>
        <w:t xml:space="preserve">O M4 acrescenta vínculo e grupo ocupacional, e a penalidade cai para</w:t>
      </w:r>
      <w:r>
        <w:t xml:space="preserve"> </w:t>
      </w:r>
      <w:r>
        <w:rPr>
          <w:b/>
          <w:bCs/>
        </w:rPr>
        <w:t xml:space="preserve">5,6%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0579</m:t>
        </m:r>
      </m:oMath>
      <w:r>
        <w:t xml:space="preserve">). A régua vai a</w:t>
      </w:r>
      <w:r>
        <w:t xml:space="preserve"> </w:t>
      </w:r>
      <w:r>
        <w:rPr>
          <w:b/>
          <w:bCs/>
        </w:rPr>
        <w:t xml:space="preserve">47,6% do gap agregado</w:t>
      </w:r>
      <w:r>
        <w:t xml:space="preserve">. A tentação é ler esse número como a parte do</w:t>
      </w:r>
      <w:r>
        <w:t xml:space="preserve"> </w:t>
      </w:r>
      <w:r>
        <w:t xml:space="preserve">gap que está</w:t>
      </w:r>
      <w:r>
        <w:t xml:space="preserve"> </w:t>
      </w:r>
      <w:r>
        <w:t xml:space="preserve">“explicada”</w:t>
      </w:r>
      <w:r>
        <w:t xml:space="preserve">, e é precisamente essa leitura que o desenho do estudo</w:t>
      </w:r>
      <w:r>
        <w:t xml:space="preserve"> </w:t>
      </w:r>
      <w:r>
        <w:t xml:space="preserve">não autoriza: a ocupação não é uma característica que a pessoa traz consigo, é um</w:t>
      </w:r>
      <w:r>
        <w:t xml:space="preserve"> </w:t>
      </w:r>
      <w:r>
        <w:t xml:space="preserve">resultado ao qual ela precisou obter acesso — e o acesso é justamente onde a</w:t>
      </w:r>
      <w:r>
        <w:t xml:space="preserve"> </w:t>
      </w:r>
      <w:r>
        <w:t xml:space="preserve">Subseção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encontra uma barreira própria, que a decomposição</w:t>
      </w:r>
      <w:r>
        <w:t xml:space="preserve"> </w:t>
      </w:r>
      <w:r>
        <w:t xml:space="preserve">salarial só capta em parte. Controlar por</w:t>
      </w:r>
      <w:r>
        <w:t xml:space="preserve"> </w:t>
      </w:r>
      <w:r>
        <w:t xml:space="preserve">ocupação é, portanto, descontar do gap uma parte do próprio gap. Por isso o M4 é um</w:t>
      </w:r>
      <w:r>
        <w:t xml:space="preserve"> </w:t>
      </w:r>
      <w:r>
        <w:t xml:space="preserve">limite inferior descritivo, e não o número a citar como a penalidade racial brasileira.</w:t>
      </w:r>
    </w:p>
    <w:p>
      <w:pPr>
        <w:pStyle w:val="BodyText"/>
      </w:pPr>
      <w:r>
        <w:rPr>
          <w:b/>
          <w:bCs/>
        </w:rPr>
        <w:t xml:space="preserve">O mesmo controle pode ser legítimo num modelo e viciado noutro.</w:t>
      </w:r>
      <w:r>
        <w:t xml:space="preserve"> </w:t>
      </w:r>
      <w:r>
        <w:t xml:space="preserve">A regra não é</w:t>
      </w:r>
      <w:r>
        <w:t xml:space="preserve"> </w:t>
      </w:r>
      <w:r>
        <w:t xml:space="preserve">“controlar por tudo”</w:t>
      </w:r>
      <w:r>
        <w:t xml:space="preserve"> </w:t>
      </w:r>
      <w:r>
        <w:t xml:space="preserve">nem</w:t>
      </w:r>
      <w:r>
        <w:t xml:space="preserve"> </w:t>
      </w:r>
      <w:r>
        <w:t xml:space="preserve">“nunca controlar por resultado”</w:t>
      </w:r>
      <w:r>
        <w:t xml:space="preserve">: depende do</w:t>
      </w:r>
      <w:r>
        <w:t xml:space="preserve"> </w:t>
      </w:r>
      <w:r>
        <w:t xml:space="preserve">que se está explicando. A jornada trabalhada ilustra bem. No modelo de rendimento ela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necessária</w:t>
      </w:r>
      <w:r>
        <w:t xml:space="preserve">, porque o desfecho é o rendimento</w:t>
      </w:r>
      <w:r>
        <w:t xml:space="preserve"> </w:t>
      </w:r>
      <w:r>
        <w:rPr>
          <w:b/>
          <w:bCs/>
        </w:rPr>
        <w:t xml:space="preserve">mensal</w:t>
      </w:r>
      <w:r>
        <w:t xml:space="preserve">: sem ela,</w:t>
      </w:r>
      <w:r>
        <w:t xml:space="preserve"> </w:t>
      </w:r>
      <w:r>
        <w:t xml:space="preserve">comparar-se-ia quem trabalha meio período com quem trabalha jornada integral e a</w:t>
      </w:r>
      <w:r>
        <w:t xml:space="preserve"> </w:t>
      </w:r>
      <w:r>
        <w:t xml:space="preserve">diferença seria creditada à raça. No modelo de acesso o desfecho é</w:t>
      </w:r>
      <w:r>
        <w:t xml:space="preserve"> </w:t>
      </w:r>
      <w:r>
        <w:rPr>
          <w:i/>
          <w:iCs/>
        </w:rPr>
        <w:t xml:space="preserve">ocupar</w:t>
      </w:r>
      <w:r>
        <w:t xml:space="preserve"> </w:t>
      </w:r>
      <w:r>
        <w:t xml:space="preserve">o</w:t>
      </w:r>
      <w:r>
        <w:t xml:space="preserve"> </w:t>
      </w:r>
      <w:r>
        <w:t xml:space="preserve">cargo, e a jornada não causa esse acesso — ela é determinada junto com a ocupação,</w:t>
      </w:r>
      <w:r>
        <w:t xml:space="preserve"> </w:t>
      </w:r>
      <w:r>
        <w:t xml:space="preserve">de modo que condicionar nela desconta parte do próprio fenômeno. Por isso a jornada</w:t>
      </w:r>
      <w:r>
        <w:t xml:space="preserve"> </w:t>
      </w:r>
      <w:r>
        <w:t xml:space="preserve">entra no bloco individual do modelo de rendimento e, no de acesso, só no degrau</w:t>
      </w:r>
      <w:r>
        <w:t xml:space="preserve"> </w:t>
      </w:r>
      <w:r>
        <w:t xml:space="preserve">rotulado como limite inferior, ao lado do vínculo.</w:t>
      </w:r>
    </w:p>
    <w:p>
      <w:pPr>
        <w:pStyle w:val="BodyText"/>
      </w:pPr>
      <w:r>
        <w:t xml:space="preserve">O critério que organiza os dois modelos é, então, o</w:t>
      </w:r>
      <w:r>
        <w:t xml:space="preserve"> </w:t>
      </w:r>
      <w:r>
        <w:rPr>
          <w:i/>
          <w:iCs/>
        </w:rPr>
        <w:t xml:space="preserve">estatuto causal</w:t>
      </w:r>
      <w:r>
        <w:t xml:space="preserve"> </w:t>
      </w:r>
      <w:r>
        <w:t xml:space="preserve">de cada</w:t>
      </w:r>
      <w:r>
        <w:t xml:space="preserve"> </w:t>
      </w:r>
      <w:r>
        <w:t xml:space="preserve">variável em relação ao desfecho daquele modelo, e não a semelhança das listas:</w:t>
      </w:r>
    </w:p>
    <w:bookmarkStart w:id="39" w:name="tab:simetria"/>
    <w:p>
      <w:pPr>
        <w:pStyle w:val="TableCaption"/>
      </w:pPr>
      <w:r>
        <w:t xml:space="preserve">Simetria dos controles entre os dois modelos. Os blocos predeterminados são</w:t>
      </w:r>
      <w:r>
        <w:t xml:space="preserve"> </w:t>
      </w:r>
      <w:r>
        <w:t xml:space="preserve">idênticos; o que difere é o tratamento das variáveis que são elas próprias desfecho</w:t>
      </w:r>
      <w:r>
        <w:t xml:space="preserve"> </w:t>
      </w:r>
      <w:r>
        <w:t xml:space="preserve">do processo estudado.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etria dos controles entre os dois modelos. Os blocos predeterminados são idênticos; o que difere é o tratamento das variáveis que são elas próprias desfecho do processo estudado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rendimento (HLM)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acesso (GLMM)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Predeterminados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sexo, idade, 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escolaridade (4 degraus</w:t>
            </w:r>
            <w:r>
              <w:t xml:space="preserve"> </w:t>
            </w:r>
            <w:r>
              <w:t xml:space="preserve">cumulativos), área urbana, ano,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do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negro, desemprego e escolaridade média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necessário: o desfecho é rendimento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 do processo:</w:t>
            </w:r>
            <w:r>
              <w:t xml:space="preserve"> </w:t>
            </w:r>
            <w:r>
              <w:t xml:space="preserve">entra só no degrau de limite inferior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Vínculo e ocupação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(M4)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(A3); a ocupação não entra,</w:t>
            </w:r>
            <w:r>
              <w:t xml:space="preserve"> </w:t>
            </w:r>
            <w:r>
              <w:t xml:space="preserve">pois é o próprio desfecho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Dito de outro modo: 5,6% é onde a régua termina, não onde o gap</w:t>
      </w:r>
      <w:r>
        <w:t xml:space="preserve"> </w:t>
      </w:r>
      <w:r>
        <w:t xml:space="preserve">verdadeiro está. O número deste trabalho é o gap líquido de 6,1% do M3; o</w:t>
      </w:r>
      <w:r>
        <w:t xml:space="preserve"> </w:t>
      </w:r>
      <w:r>
        <w:t xml:space="preserve">5,6% mede o que sobra depois de descontar um canal que é ele próprio</w:t>
      </w:r>
      <w:r>
        <w:t xml:space="preserve"> </w:t>
      </w:r>
      <w:r>
        <w:t xml:space="preserve">discriminatório.</w:t>
      </w:r>
    </w:p>
    <w:p>
      <w:pPr>
        <w:pStyle w:val="BodyText"/>
      </w:pPr>
      <w:r>
        <w:rPr>
          <w:b/>
          <w:bCs/>
        </w:rPr>
        <w:t xml:space="preserve">A penalidade não é a mesma em todo bairro.</w:t>
      </w:r>
      <w:r>
        <w:t xml:space="preserve"> </w:t>
      </w:r>
      <w:r>
        <w:t xml:space="preserve">Até aqui a penalidade racial foi tratada como um número único. Deixá-la variar de bairro</w:t>
      </w:r>
      <w:r>
        <w:t xml:space="preserve"> </w:t>
      </w:r>
      <w:r>
        <w:t xml:space="preserve">para bairro melhora significativamente o ajuste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26.267, 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o desvio-padrão dessa variação é de 0,145</w:t>
      </w:r>
      <w:r>
        <w:t xml:space="preserve"> </w:t>
      </w:r>
      <w:r>
        <w:t xml:space="preserve">log-pontos</w:t>
      </w:r>
      <w:r>
        <w:rPr>
          <w:rStyle w:val="FootnoteReference"/>
        </w:rPr>
        <w:footnoteReference w:id="40"/>
      </w:r>
      <w:r>
        <w:t xml:space="preserve">. Em bairros a um desvio-padrão de cada lado da</w:t>
      </w:r>
      <w:r>
        <w:t xml:space="preserve"> </w:t>
      </w:r>
      <w:r>
        <w:t xml:space="preserve">média, a penalidade vai de −0,211 a 0,079 log-pontos: há bairros em que o</w:t>
      </w:r>
      <w:r>
        <w:t xml:space="preserve"> </w:t>
      </w:r>
      <w:r>
        <w:t xml:space="preserve">diferencial é mais do que o dobro da média e bairros em que ele se inverte. A</w:t>
      </w:r>
      <w:r>
        <w:t xml:space="preserve"> </w:t>
      </w:r>
      <w:r>
        <w:t xml:space="preserve">discriminação salarial tem geografia — e a covariância entre intercepto e inclinação</w:t>
      </w:r>
      <w:r>
        <w:t xml:space="preserve"> </w:t>
      </w:r>
      <w:r>
        <w:t xml:space="preserve">(−0,0157) indica que a penalidade é maior nos bairros de renda-base</w:t>
      </w:r>
      <w:r>
        <w:t xml:space="preserve"> </w:t>
      </w:r>
      <w:r>
        <w:t xml:space="preserve">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</w:t>
      </w:r>
      <w:r>
        <w:t xml:space="preserve"> </w:t>
      </w:r>
      <w:r>
        <w:t xml:space="preserve">interceptos estimados para os bairros, e a Figura </w:t>
      </w:r>
      <w:hyperlink w:anchor="fig:hlm_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 reta de</w:t>
      </w:r>
      <w:r>
        <w:t xml:space="preserve"> </w:t>
      </w:r>
      <w:r>
        <w:t xml:space="preserve">cada bairro.</w:t>
      </w:r>
    </w:p>
    <w:bookmarkStart w:id="44" w:name="fig:hlm_blups"/>
    <w:p>
      <w:pPr>
        <w:pStyle w:val="CaptionedFigure"/>
      </w:pPr>
      <w:r>
        <w:drawing>
          <wp:inline>
            <wp:extent cx="5334000" cy="23859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44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bookmarkStart w:id="48" w:name="fig:hlm_rs"/>
    <w:p>
      <w:pPr>
        <w:pStyle w:val="CaptionedFigure"/>
      </w:pPr>
      <w:r>
        <w:drawing>
          <wp:inline>
            <wp:extent cx="5334000" cy="23275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outputs/figures/hlm_rs_retas_up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Nos bairros de renda mais alta, a penalidade racial é maior. M3 com</w:t>
      </w:r>
      <w:r>
        <w:t xml:space="preserve"> </w:t>
      </w:r>
      <w:r>
        <w:t xml:space="preserve">intercepto e inclinação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aleatórios por UPA: à esquerda, a reta ajustada</w:t>
      </w:r>
      <w:r>
        <w:t xml:space="preserve"> </w:t>
      </w:r>
      <w:r>
        <w:t xml:space="preserve">de cada bairro (amostra de 250 UPAs com brancos e negros) e, em azul, a média; à direita,</w:t>
      </w:r>
      <w:r>
        <w:t xml:space="preserve"> </w:t>
      </w:r>
      <w:r>
        <w:t xml:space="preserve">os BLUPs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das 40.728 UPAs, com correlação estimada de</w:t>
      </w:r>
      <w:r>
        <w:t xml:space="preserve"> </w:t>
      </w:r>
      <w:r>
        <w:t xml:space="preserve">−0</w:t>
      </w:r>
      <w:r>
        <w:t xml:space="preserve">,</w:t>
      </w:r>
      <w:r>
        <w:t xml:space="preserve">53.</w:t>
      </w:r>
    </w:p>
    <w:bookmarkEnd w:id="48"/>
    <w:p>
      <w:pPr>
        <w:pStyle w:val="BodyText"/>
      </w:pPr>
      <w:r>
        <w:rPr>
          <w:i/>
          <w:iCs/>
        </w:rPr>
        <w:t xml:space="preserve">Como ler a Figura </w:t>
      </w:r>
      <w:hyperlink w:anchor="fig:hlm_rs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a altura de cada reta é a</w:t>
      </w:r>
      <w:r>
        <w:t xml:space="preserve"> </w:t>
      </w:r>
      <w:r>
        <w:t xml:space="preserve">renda-base do bairro e a inclinação é a penalidade racial dentro dele — retas que descem</w:t>
      </w:r>
      <w:r>
        <w:t xml:space="preserve"> </w:t>
      </w:r>
      <w:r>
        <w:t xml:space="preserve">mais são bairros que penalizam mais. À direita, cada ponto é um bairro, e a reta azul resume a</w:t>
      </w:r>
      <w:r>
        <w:t xml:space="preserve"> </w:t>
      </w:r>
      <w:r>
        <w:t xml:space="preserve">relação: se ela desce, bairros de renda-base maior têm inclinação mais negativa, isto é,</w:t>
      </w:r>
      <w:r>
        <w:t xml:space="preserve"> </w:t>
      </w:r>
      <w:r>
        <w:t xml:space="preserve">penalizam mais.</w:t>
      </w:r>
    </w:p>
    <w:p>
      <w:pPr>
        <w:pStyle w:val="BodyText"/>
      </w:pPr>
      <w:r>
        <w:rPr>
          <w:b/>
          <w:bCs/>
        </w:rPr>
        <w:t xml:space="preserve">A penalidade ao longo da escada educacional.</w:t>
      </w:r>
      <w:r>
        <w:t xml:space="preserve"> </w:t>
      </w:r>
      <w:r>
        <w:t xml:space="preserve">O M3 impõe uma única penalidade racial a todos os níveis de escolaridade. Reestimado com o</w:t>
      </w:r>
      <w:r>
        <w:t xml:space="preserve"> </w:t>
      </w:r>
      <w:r>
        <w:t xml:space="preserve">coeficiente de raça livre em cada nível — mesma especificação, mesma população —, ele mostra</w:t>
      </w:r>
      <w:r>
        <w:t xml:space="preserve"> </w:t>
      </w:r>
      <w:r>
        <w:t xml:space="preserve">que a penalidade condicional diminui da base para o topo da escada: 9</w:t>
      </w:r>
      <w:r>
        <w:t xml:space="preserve">,</w:t>
      </w:r>
      <w:r>
        <w:t xml:space="preserve">6% entre quem está sem fundamental completo e 1</w:t>
      </w:r>
      <w:r>
        <w:t xml:space="preserve">,</w:t>
      </w:r>
      <w:r>
        <w:t xml:space="preserve">1% entre quem está com pós-graduação. O teste de razão de verossimilhança contra o M3, que impõe uma penalidade única, rejeita a igualdade entre os níveis (LR</w:t>
      </w:r>
      <w:r>
        <w:t xml:space="preserve"> </w:t>
      </w:r>
      <m:oMath>
        <m:r>
          <m:rPr>
            <m:sty m:val="p"/>
          </m:rPr>
          <m:t>=</m:t>
        </m:r>
        <m:r>
          <m:t>3319</m:t>
        </m:r>
      </m:oMath>
      <w:r>
        <w:t xml:space="preserve">, 4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Sem controles, o gap mediano é de 14</w:t>
      </w:r>
      <w:r>
        <w:t xml:space="preserve">,</w:t>
      </w:r>
      <w:r>
        <w:t xml:space="preserve">1% sem fundamental completo e de 26</w:t>
      </w:r>
      <w:r>
        <w:t xml:space="preserve">,</w:t>
      </w:r>
      <w:r>
        <w:t xml:space="preserve">1% com pós-graduação; a diferença entre o bruto e o condicional, em cada nível, é o que idade, sexo, jornada, bairro e estado explicam ali. A composição também difere: os negros são 67% de quem está sem fundamental completo e 37% de quem está com pós-graduação. Como no restante do trabalho, são diferenças condicionais entre pessoas comparáveis, não o efeito de estudar mais.</w:t>
      </w:r>
    </w:p>
    <w:bookmarkStart w:id="52" w:name="fig:hlm_negro_educ"/>
    <w:p>
      <w:pPr>
        <w:pStyle w:val="CaptionedFigure"/>
      </w:pPr>
      <w:r>
        <w:drawing>
          <wp:inline>
            <wp:extent cx="4800600" cy="336934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puts/figures/hlm_negro_por_educ_reta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69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Retorno de cada nível de escolaridade e penalidade racial dentro dele: M3 do</w:t>
      </w:r>
      <w:r>
        <w:t xml:space="preserve"> </w:t>
      </w:r>
      <w:r>
        <w:t xml:space="preserve">núcleo com o coeficiente de raça estimado em cada nível.</w:t>
      </w:r>
    </w:p>
    <w:bookmarkEnd w:id="52"/>
    <w:p>
      <w:pPr>
        <w:pStyle w:val="BodyText"/>
      </w:pPr>
      <w:r>
        <w:rPr>
          <w:i/>
          <w:iCs/>
        </w:rPr>
        <w:t xml:space="preserve">Como ler a Figura </w:t>
      </w:r>
      <w:hyperlink w:anchor="fig:hlm_negro_educ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reta é um nível de</w:t>
      </w:r>
      <w:r>
        <w:t xml:space="preserve"> </w:t>
      </w:r>
      <w:r>
        <w:t xml:space="preserve">escolaridade e vai do trabalhador branco (à esquerda) ao negro (à direita). A altura da reta</w:t>
      </w:r>
      <w:r>
        <w:t xml:space="preserve"> </w:t>
      </w:r>
      <w:r>
        <w:t xml:space="preserve">é o rendimento do nível em relação ao branco sem fundamental completo; a inclinação é a</w:t>
      </w:r>
      <w:r>
        <w:t xml:space="preserve"> </w:t>
      </w:r>
      <w:r>
        <w:t xml:space="preserve">penalidade racial dentro do nível, escrita à direita.</w:t>
      </w:r>
    </w:p>
    <w:p>
      <w:pPr>
        <w:pStyle w:val="BodyText"/>
      </w:pPr>
      <w:r>
        <w:rPr>
          <w:b/>
          <w:bCs/>
        </w:rPr>
        <w:t xml:space="preserve">O gap verdadeiro está entre dois limites, e nenhum confundidor plausível o anula.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98,4%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— uma associação</w:t>
      </w:r>
      <w:r>
        <w:t xml:space="preserve"> </w:t>
      </w:r>
      <w:r>
        <w:t xml:space="preserve">modesta, que sozinha não descarta viés.</w:t>
      </w:r>
    </w:p>
    <w:bookmarkStart w:id="53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.080</m:t>
        </m:r>
      </m:oMath>
      <w:r>
        <w:t xml:space="preserve">; 40.728 UPAs; 27 UFs). Coeficientes com erro-padrão do modelo entre parênteses (a correlação intra-UPA já está no efeito aleatório). Estimação por máxima verossimilhança (ML), para os testes LR entre degraus; REML coincide.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 quase todo coeficiente é significante; a inferência relevante está nos intervalos de confiança, não nos asteriscos</w:t>
      </w:r>
      <w:r>
        <w:t xml:space="preserve"> </w:t>
      </w:r>
      <w:r>
        <w:t xml:space="preserve">(Angrist; Pischke, 2009, cap. 8)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94.080; 40.728 UPAs; 27 UFs). Coeficientes com erro-padrão do modelo entre parênteses (a correlação intra-UPA já está no efeito aleatório). Estimação por máxima verossimilhança (ML), para os testes LR entre degraus; REML coincide. Com N desta ordem quase todo coeficiente é significante; a inferência relevante está nos intervalos de confiança, não nos asteriscos (Angrist; Pischke, 2009, cap. 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7,5778 (0,0028)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4,8436 (0,0039)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5,0132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5,2269 (0,0078)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5,4140 (0,0074)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−0,0669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−0,0637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−0,0629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−0,0579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−0,2590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−0,2592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−0,2394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0,0079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0,1884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0,1880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0,1464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0,1965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0,1956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0,1958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0,1013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0,5133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0,5107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0,5112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0,2937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0,3359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0,3341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0,3350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0,2445 (0,0011)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0,6539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0,5801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0,3419 (0,0037)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0,0927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0,0492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0,0071 (0,0025)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−0,0528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−0,0576 (0,0017)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−0,0183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−0,0007 (0,0010)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0,1577 (0,0014)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0,1694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0,1427 (0,0012)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0,1585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−0,1658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−0,1052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0,6250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0,5608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0,4001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0,1517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0,1839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0,2152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0,7871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[−0,0679; −0,0658]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[−0,0647; −0,0627]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[−0,0639; −0,0619]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[−0,0588; −0,0569]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17.439.802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14.116.659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13.256.145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3.279.380 (19)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29.811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14.712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860.704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145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0157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26.267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0659</m:t>
        </m:r>
      </m:oMath>
      <w:r>
        <w:t xml:space="preserve">.</w:t>
      </w:r>
    </w:p>
    <w:bookmarkEnd w:id="54"/>
    <w:bookmarkStart w:id="74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Todos os modelos até aqui impuseram uma forma à realidade: rendimento linear nos</w:t>
      </w:r>
      <w:r>
        <w:t xml:space="preserve"> </w:t>
      </w:r>
      <w:r>
        <w:t xml:space="preserve">controles, efeitos que se somam, penalidade racial constante. E se a forma estiver</w:t>
      </w:r>
      <w:r>
        <w:t xml:space="preserve"> </w:t>
      </w:r>
      <w:r>
        <w:t xml:space="preserve">errada — se o gap que os coeficientes mostram for, em alguma medida, artefato da</w:t>
      </w:r>
      <w:r>
        <w:t xml:space="preserve"> </w:t>
      </w:r>
      <w:r>
        <w:t xml:space="preserve">equação escolhida? Árvores de decisão respondem a essa objeção porque não pressupõem</w:t>
      </w:r>
      <w:r>
        <w:t xml:space="preserve"> </w:t>
      </w:r>
      <w:r>
        <w:t xml:space="preserve">forma nenhuma: descobrem sozinhas interações e não linearidades e, com os valores SHAP,</w:t>
      </w:r>
      <w:r>
        <w:t xml:space="preserve"> </w:t>
      </w:r>
      <w:r>
        <w:t xml:space="preserve">dizem quanto cada variável pesou em cada previsão. Se a raça aparecer entre os</w:t>
      </w:r>
      <w:r>
        <w:t xml:space="preserve"> </w:t>
      </w:r>
      <w:r>
        <w:t xml:space="preserve">preditores relevantes de um modelo que nunca foi instruído a procurá-la, o achado deixa</w:t>
      </w:r>
      <w:r>
        <w:t xml:space="preserve"> </w:t>
      </w:r>
      <w:r>
        <w:t xml:space="preserve">de depender da especificação. A Tabela </w:t>
      </w:r>
      <w:hyperlink w:anchor="tab:ml_per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desempenho dos modelos</w:t>
      </w:r>
      <w:r>
        <w:t xml:space="preserve"> </w:t>
      </w:r>
      <w:r>
        <w:t xml:space="preserve">sobre o conjunto de teste, separado antes de qualquer ajuste.</w:t>
      </w:r>
    </w:p>
    <w:bookmarkStart w:id="55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0,3970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0,0081</w:t>
            </w:r>
          </w:p>
        </w:tc>
      </w:tr>
    </w:tbl>
    <w:bookmarkEnd w:id="55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</w:t>
      </w:r>
      <w:r>
        <w:t xml:space="preserve">,</w:t>
      </w:r>
      <w:r>
        <w:t xml:space="preserve">64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). A 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relação à configuração de referência</w:t>
      </w:r>
      <w:r>
        <w:t xml:space="preserve"> </w:t>
      </w:r>
      <w:r>
        <w:t xml:space="preserve">(profundidade 6), com sobreajuste maior, mas ainda desprezível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Com um treino desse tamanho,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cai na quarta casa decimal: aqui a validação cruzada serve menos para</w:t>
      </w:r>
      <w:r>
        <w:t xml:space="preserve"> </w:t>
      </w:r>
      <w:r>
        <w:t xml:space="preserve">estimar incerteza e mais para justificar a especificação.</w:t>
      </w:r>
    </w:p>
    <w:bookmarkStart w:id="57" w:name="tab:ml_cv"/>
    <w:p>
      <w:pPr>
        <w:pStyle w:val="TableCaption"/>
      </w:pPr>
      <w:r>
        <w:t xml:space="preserve">Escolha de hiperparâmetros e validação cruzada do XGBoost</w:t>
      </w:r>
      <w:r>
        <w:t xml:space="preserve"> </w:t>
      </w:r>
      <w:r>
        <w:t xml:space="preserve">(Alencar, 2026a, 2026b, 2026c; Géron, 2021)</w:t>
      </w:r>
      <w:r>
        <w:t xml:space="preserve">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6.159.418 observações de</w:t>
      </w:r>
      <w:r>
        <w:t xml:space="preserve"> </w:t>
      </w:r>
      <w:r>
        <w:t xml:space="preserve">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6a, 2026b, 2026c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9.418 observações de treino e 1.539.855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(referência)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0,0011</w:t>
            </w:r>
          </w:p>
        </w:tc>
      </w:tr>
    </w:tbl>
    <w:bookmarkEnd w:id="57"/>
    <w:bookmarkStart w:id="58" w:name="tab:ml_cv"/>
    <w:p>
      <w:pPr>
        <w:pStyle w:val="TableCaption"/>
      </w:pPr>
      <w:r>
        <w:t xml:space="preserve">Escolha de hiperparâmetros e validação cruzada do XGBoost</w:t>
      </w:r>
      <w:r>
        <w:t xml:space="preserve"> </w:t>
      </w:r>
      <w:r>
        <w:t xml:space="preserve">(Alencar, 2026a, 2026b, 2026c; Géron, 2021)</w:t>
      </w:r>
      <w:r>
        <w:t xml:space="preserve">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6.159.418 observações de</w:t>
      </w:r>
      <w:r>
        <w:t xml:space="preserve"> </w:t>
      </w:r>
      <w:r>
        <w:t xml:space="preserve">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6a, 2026b, 2026c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9.418 observações de treino e 1.539.855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0,6435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0,5360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0,6294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0,5466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ganha 1,4 ponto percentual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custo de um</w:t>
      </w:r>
      <w:r>
        <w:t xml:space="preserve"> </w:t>
      </w:r>
      <w:r>
        <w:t xml:space="preserve">sobreajuste maior, mas ainda pequeno (Painel A). No conjunto de teste (intocado durante a</w:t>
      </w:r>
      <w:r>
        <w:t xml:space="preserve"> </w:t>
      </w:r>
      <w:r>
        <w:t xml:space="preserve">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6444</m:t>
        </m:r>
      </m:oMath>
      <w:r>
        <w:t xml:space="preserve">; a estabilidade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e o erro em reais são</w:t>
      </w:r>
      <w:r>
        <w:t xml:space="preserve"> </w:t>
      </w:r>
      <w:r>
        <w:t xml:space="preserve">discutidos no texto.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159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R$ 664 por mês</w:t>
      </w:r>
      <w:r>
        <w:t xml:space="preserve"> </w:t>
      </w:r>
      <w:r>
        <w:t xml:space="preserve">(reais do 2º trimestre de 2026), ou 35%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Ampliar a base reduz o risco de sobreajuste, em vez de aumentá-lo.</w:t>
      </w:r>
      <w:r>
        <w:t xml:space="preserve"> </w:t>
      </w:r>
      <w:r>
        <w:t xml:space="preserve">A objeção usual a modelos flexíveis é que eles decoram os dados em vez de aprender com</w:t>
      </w:r>
      <w:r>
        <w:t xml:space="preserve"> </w:t>
      </w:r>
      <w:r>
        <w:t xml:space="preserve">eles — e quem decorou prevê bem o que já viu e mal o que não viu. Não é o caso aqui, e</w:t>
      </w:r>
      <w:r>
        <w:t xml:space="preserve"> </w:t>
      </w:r>
      <w:r>
        <w:t xml:space="preserve">a razão é o tamanho da base: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 teste praticamente coincidem, com</w:t>
      </w:r>
      <w:r>
        <w:t xml:space="preserve"> </w:t>
      </w:r>
      <w:r>
        <w:t xml:space="preserve">diferença de 0,0084</w:t>
      </w:r>
      <w:r>
        <w:rPr>
          <w:rStyle w:val="FootnoteReference"/>
        </w:rPr>
        <w:footnoteReference w:id="59"/>
      </w:r>
      <w:r>
        <w:t xml:space="preserve">. Três evidências</w:t>
      </w:r>
      <w:r>
        <w:t xml:space="preserve"> </w:t>
      </w:r>
      <w:r>
        <w:t xml:space="preserve">convergem: a diferença entre treino e teste é praticamente nula; o número de observações</w:t>
      </w:r>
      <w:r>
        <w:t xml:space="preserve"> </w:t>
      </w:r>
      <w:r>
        <w:t xml:space="preserve">supera em muitas ordens de grandeza a complexidade dos modelos, todos regularizados; 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quase não muda ao se passar de uma subamostra para a população inteira. É</w:t>
      </w:r>
      <w:r>
        <w:t xml:space="preserve"> </w:t>
      </w:r>
      <w:r>
        <w:t xml:space="preserve">o contrário da intuição corrente: ampliar a base, de amostral para populacional, reduz o</w:t>
      </w:r>
      <w:r>
        <w:t xml:space="preserve"> </w:t>
      </w:r>
      <w:r>
        <w:t xml:space="preserve">risco de sobreajuste em vez de aumentá-lo.</w:t>
      </w:r>
    </w:p>
    <w:bookmarkStart w:id="60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0,17823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0,03339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60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64" w:name="fig:shap"/>
    <w:p>
      <w:pPr>
        <w:pStyle w:val="CaptionedFigure"/>
      </w:pPr>
      <w:r>
        <w:drawing>
          <wp:inline>
            <wp:extent cx="4907280" cy="382294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utputs/figures/shap_beeswarm_xgb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82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bairro, diploma superior e jornada dominam a previsão de renda; a raça</w:t>
      </w:r>
      <w:r>
        <w:t xml:space="preserve"> </w:t>
      </w:r>
      <w:r>
        <w:t xml:space="preserve">aparece na 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28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632</m:t>
        </m:r>
      </m:oMath>
      <w:r>
        <w:t xml:space="preserve"> </w:t>
      </w:r>
      <w:r>
        <w:t xml:space="preserve">contra 0,644 do modelo completo) e, nele, a contribuição</w:t>
      </w:r>
      <w:r>
        <w:t xml:space="preserve"> </w:t>
      </w:r>
      <w:r>
        <w:t xml:space="preserve">média da raça é praticamente a mesma (0,029 contra 0,027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,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fatores. A parcela do</w:t>
      </w:r>
      <w:r>
        <w:t xml:space="preserve"> </w:t>
      </w:r>
      <w:r>
        <w:t xml:space="preserve">rendimento predito que o modelo atribui à raça difere em</w:t>
      </w:r>
      <w:r>
        <w:t xml:space="preserve"> </w:t>
      </w:r>
      <w:r>
        <w:t xml:space="preserve">5</w:t>
      </w:r>
      <w:r>
        <w:t xml:space="preserve">,</w:t>
      </w:r>
      <w:r>
        <w:t xml:space="preserve">3% entre trabalhadores negros e</w:t>
      </w:r>
      <w:r>
        <w:t xml:space="preserve"> </w:t>
      </w:r>
      <w:r>
        <w:t xml:space="preserve">brancos</w:t>
      </w:r>
      <w:r>
        <w:rPr>
          <w:rStyle w:val="FootnoteReference"/>
        </w:rPr>
        <w:footnoteReference w:id="66"/>
      </w:r>
      <w:r>
        <w:t xml:space="preserve"> </w:t>
      </w:r>
      <w:r>
        <w:t xml:space="preserve">— o que resta depois de educação, experiência, gênero, contexto de moradia e</w:t>
      </w:r>
      <w:r>
        <w:t xml:space="preserve"> </w:t>
      </w:r>
      <w:r>
        <w:t xml:space="preserve">ocupação. O valor fica a 0</w:t>
      </w:r>
      <w:r>
        <w:t xml:space="preserve">,</w:t>
      </w:r>
      <w:r>
        <w:t xml:space="preserve">4 ponto percentual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estimado</w:t>
      </w:r>
      <w:r>
        <w:t xml:space="preserve"> </w:t>
      </w:r>
      <w:r>
        <w:t xml:space="preserve">pelo M4 hierárquico, que usa controles semelhantes (o XGBoost acrescenta a renda média do</w:t>
      </w:r>
      <w:r>
        <w:t xml:space="preserve"> </w:t>
      </w:r>
      <w:r>
        <w:t xml:space="preserve">bairro): um algoritmo que não</w:t>
      </w:r>
      <w:r>
        <w:t xml:space="preserve"> </w:t>
      </w:r>
      <w:r>
        <w:t xml:space="preserve">impõe forma funcional alguma chega perto do modelo linear, sinal de que o</w:t>
      </w:r>
      <w:r>
        <w:t xml:space="preserve"> </w:t>
      </w:r>
      <w:r>
        <w:t xml:space="preserve">achado não depende da especificação de Mincer.</w:t>
      </w:r>
    </w:p>
    <w:p>
      <w:pPr>
        <w:pStyle w:val="BodyText"/>
      </w:pPr>
      <w:r>
        <w:t xml:space="preserve">Os dois modelos discordam quanto à raça, e 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a discordância: no Random Forest ela cai para o</w:t>
      </w:r>
      <w:r>
        <w:t xml:space="preserve"> </w:t>
      </w:r>
      <w:r>
        <w:t xml:space="preserve">20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lugar, com contribuição média próxima de zero,</w:t>
      </w:r>
      <w:r>
        <w:t xml:space="preserve"> </w:t>
      </w:r>
      <w:r>
        <w:t xml:space="preserve">enquanto as demais variáveis têm peso semelhante nos dois. A diferença é de</w:t>
      </w:r>
      <w:r>
        <w:t xml:space="preserve"> </w:t>
      </w:r>
      <w:r>
        <w:t xml:space="preserve">arquitetura, não de dados. Cada árvore da floresta escolhe, em cada nó, a</w:t>
      </w:r>
      <w:r>
        <w:t xml:space="preserve"> </w:t>
      </w:r>
      <w:r>
        <w:t xml:space="preserve">variável de maior ganho entre todas as disponíveis; com a profundidade limitada</w:t>
      </w:r>
      <w:r>
        <w:t xml:space="preserve"> </w:t>
      </w:r>
      <w:r>
        <w:t xml:space="preserve">a dez níveis, uma variável de efeito pequeno perde essa disputa em todos os nós</w:t>
      </w:r>
      <w:r>
        <w:t xml:space="preserve"> </w:t>
      </w:r>
      <w:r>
        <w:t xml:space="preserve">e acaba nunca sendo usada. O</w:t>
      </w:r>
      <w:r>
        <w:t xml:space="preserve"> </w:t>
      </w:r>
      <w:r>
        <w:rPr>
          <w:i/>
          <w:iCs/>
        </w:rPr>
        <w:t xml:space="preserve">boosting</w:t>
      </w:r>
      <w:r>
        <w:t xml:space="preserve"> </w:t>
      </w:r>
      <w:r>
        <w:t xml:space="preserve">trabalha em sequência sobre o</w:t>
      </w:r>
      <w:r>
        <w:t xml:space="preserve"> </w:t>
      </w:r>
      <w:r>
        <w:t xml:space="preserve">resíduo: consumidas as variáveis de maior peso nas primeiras iterações, o que</w:t>
      </w:r>
      <w:r>
        <w:t xml:space="preserve"> </w:t>
      </w:r>
      <w:r>
        <w:t xml:space="preserve">sobra passa a ter estrutura racial, e as árvores seguintes chegam a ela. É por</w:t>
      </w:r>
      <w:r>
        <w:t xml:space="preserve"> </w:t>
      </w:r>
      <w:r>
        <w:t xml:space="preserve">isso que a leitura se apoia no XGBoost, que é também o de melhor ajuste — e é</w:t>
      </w:r>
      <w:r>
        <w:t xml:space="preserve"> </w:t>
      </w:r>
      <w:r>
        <w:t xml:space="preserve">uma ilustração do que a literatura de</w:t>
      </w:r>
      <w:r>
        <w:t xml:space="preserve"> </w:t>
      </w:r>
      <w:r>
        <w:rPr>
          <w:i/>
          <w:iCs/>
        </w:rPr>
        <w:t xml:space="preserve">ensembles</w:t>
      </w:r>
      <w:r>
        <w:t xml:space="preserve"> </w:t>
      </w:r>
      <w:r>
        <w:t xml:space="preserve">chama de sensibilidade</w:t>
      </w:r>
      <w:r>
        <w:t xml:space="preserve"> </w:t>
      </w:r>
      <w:r>
        <w:t xml:space="preserve">do modelo à forma como o erro é decomposto.</w:t>
      </w:r>
    </w:p>
    <w:bookmarkStart w:id="73" w:name="fig:shap_wf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334000" cy="4850218"/>
                  <wp:effectExtent b="0" l="0" r="0" t="0"/>
                  <wp:docPr descr="image" title="" id="68" name="Picture"/>
                  <a:graphic>
                    <a:graphicData uri="http://schemas.openxmlformats.org/drawingml/2006/picture">
                      <pic:pic>
                        <pic:nvPicPr>
                          <pic:cNvPr descr="outputs/figures/shap_waterfall_A_branco_alta_renda_xgb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5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5334000" cy="4809209"/>
                  <wp:effectExtent b="0" l="0" r="0" t="0"/>
                  <wp:docPr descr="image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s/figures/shap_waterfall_B_negro_alta_renda_xgb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092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A mesma variável, sinais opostos: a raça soma à previsão do</w:t>
      </w:r>
      <w:r>
        <w:t xml:space="preserve"> </w:t>
      </w:r>
      <w:r>
        <w:t xml:space="preserve">trabalhador branco e subtrai da do negro.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dois trabalhadores, cada um no percentil 75 de rendimento</w:t>
      </w:r>
      <w:r>
        <w:t xml:space="preserve"> </w:t>
      </w:r>
      <w:r>
        <w:t xml:space="preserve">do próprio grupo; cada barra é a contribuição de uma variável ao afastamento entre</w:t>
      </w:r>
      <w:r>
        <w:t xml:space="preserve"> </w:t>
      </w:r>
      <w:r>
        <w:t xml:space="preserve">a previsão média da base e a previsão daquele caso, em log-pontos, e as de menor</w:t>
      </w:r>
      <w:r>
        <w:t xml:space="preserve"> </w:t>
      </w:r>
      <w:r>
        <w:t xml:space="preserve">peso estão agrupadas na linha das demais. Os painéis mostram como o modelo compõe</w:t>
      </w:r>
      <w:r>
        <w:t xml:space="preserve"> </w:t>
      </w:r>
      <w:r>
        <w:t xml:space="preserve">uma previsão: a diferença de rendimento entre os dois é bruta, sem os controles</w:t>
      </w:r>
      <w:r>
        <w:t xml:space="preserve"> </w:t>
      </w:r>
      <w:r>
        <w:t xml:space="preserve">que os modelos aplicam.</w:t>
      </w:r>
    </w:p>
    <w:bookmarkEnd w:id="73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Compare a linha</w:t>
      </w:r>
      <w:r>
        <w:t xml:space="preserve"> </w:t>
      </w:r>
      <w:r>
        <w:rPr>
          <w:i/>
          <w:iCs/>
        </w:rPr>
        <w:t xml:space="preserve">Raça (negro)</w:t>
      </w:r>
      <w:r>
        <w:t xml:space="preserve"> </w:t>
      </w:r>
      <w:r>
        <w:t xml:space="preserve">nos dois painéis: é a mesma variável, com o sinal trocado — soma no branco, subtrai no negro. Serve para ver como o modelo compõe uma decisão, não para generalizar: a magnitude média está na Figura </w:t>
      </w:r>
      <w:hyperlink w:anchor="fig:shap">
        <w:r>
          <w:rPr>
            <w:rStyle w:val="Hyperlink"/>
          </w:rPr>
          <w:t xml:space="preserve">4</w:t>
        </w:r>
      </w:hyperlink>
      <w:r>
        <w:t xml:space="preserve">, sobre os 50 mil casos.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74"/>
    <w:bookmarkStart w:id="80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10,5% (agregado) para 5,6% (M4); o que resta</w:t>
      </w:r>
      <w:r>
        <w:t xml:space="preserve"> </w:t>
      </w:r>
      <w:r>
        <w:t xml:space="preserve">no M4 é a penalidade que nenhum atributo observável explica.</w:t>
      </w:r>
    </w:p>
    <w:bookmarkStart w:id="75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em 39,5%. Do modelo agregado</w:t>
      </w:r>
      <w:r>
        <w:t xml:space="preserve"> </w:t>
      </w:r>
      <w:r>
        <w:t xml:space="preserve">ao M4 o gap cai de 10,5% para 5,6%: 47,6% do gap é mediado por</w:t>
      </w:r>
      <w:r>
        <w:t xml:space="preserve"> </w:t>
      </w:r>
      <w:r>
        <w:t xml:space="preserve">onde a pessoa mora, o estado e a ocupação que acessa — e a penalidade de 5,6% persiste</w:t>
      </w:r>
      <w:r>
        <w:t xml:space="preserve"> </w:t>
      </w:r>
      <w:r>
        <w:t xml:space="preserve">dentro da mesma ocupação (limite inferior, pois a ocupação é ela própria resultado da barreira de acesso). O agregado inclui efeitos fixos de UF e o M1 e o M2 não (o M3 os reintroduz). Reestimado com UF, na mesma base, o M1 dá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0645</m:t>
        </m:r>
      </m:oMath>
      <w:r>
        <w:t xml:space="preserve"> </w:t>
      </w:r>
      <w:r>
        <w:t xml:space="preserve">e uma mediação pelo bairro de 41,6% (contra 39,5% na tabela): com o estado mantido no modelo, a mediação pelo bairro é ainda maior — a leitura da tabela é conservadora. Sem os efeitos fixos de UF, o gap agregado seria de 20,1% — a diferença entre estados é, ela própria, parte do diferencial.</w:t>
      </w:r>
    </w:p>
    <w:bookmarkStart w:id="79" w:name="fig:hlm_gap"/>
    <w:p>
      <w:pPr>
        <w:pStyle w:val="CaptionedFigure"/>
      </w:pPr>
      <w:r>
        <w:drawing>
          <wp:inline>
            <wp:extent cx="4907280" cy="23844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outputs/figures/fig_hlm_ga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8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Comparar vizinhos reduz o gap em cerca de 40%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79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80"/>
    <w:bookmarkStart w:id="86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De que é feito o gap? Duas explicações rivalizam desde</w:t>
      </w:r>
      <w:r>
        <w:t xml:space="preserve"> </w:t>
      </w:r>
      <w:r>
        <w:t xml:space="preserve">Becker (1957)</w:t>
      </w:r>
      <w:r>
        <w:t xml:space="preserve">, e</w:t>
      </w:r>
      <w:r>
        <w:t xml:space="preserve"> </w:t>
      </w:r>
      <w:r>
        <w:t xml:space="preserve">elas pedem políticas opostas. Ou negros e brancos chegam ao mercado com características</w:t>
      </w:r>
      <w:r>
        <w:t xml:space="preserve"> </w:t>
      </w:r>
      <w:r>
        <w:t xml:space="preserve">diferentes e o mercado paga igual por características iguais — o gap é</w:t>
      </w:r>
      <w:r>
        <w:t xml:space="preserve"> </w:t>
      </w:r>
      <w:r>
        <w:rPr>
          <w:i/>
          <w:iCs/>
        </w:rPr>
        <w:t xml:space="preserve">composição</w:t>
      </w:r>
      <w:r>
        <w:t xml:space="preserve">, e a política tem de agir antes do mercado, na escola e na formação.</w:t>
      </w:r>
      <w:r>
        <w:t xml:space="preserve"> </w:t>
      </w:r>
      <w:r>
        <w:t xml:space="preserve">Ou chegam com as mesmas características e o mercado paga diferente — o gap é</w:t>
      </w:r>
      <w:r>
        <w:t xml:space="preserve"> </w:t>
      </w:r>
      <w:r>
        <w:rPr>
          <w:i/>
          <w:iCs/>
        </w:rPr>
        <w:t xml:space="preserve">preço</w:t>
      </w:r>
      <w:r>
        <w:t xml:space="preserve">, e a política tem de agir dentro dele, na contratação e na fiscalização.</w:t>
      </w:r>
      <w:r>
        <w:t xml:space="preserve"> </w:t>
      </w:r>
      <w:r>
        <w:t xml:space="preserve">A distinção é empírica, e a decomposição de Oaxaca–Blinder foi construída para fazê-la.</w:t>
      </w:r>
    </w:p>
    <w:p>
      <w:pPr>
        <w:pStyle w:val="BodyText"/>
      </w:pPr>
      <w:r>
        <w:t xml:space="preserve">A decomposição de Oaxaca–Blinder separa o gap bruto de log-rendimento</w:t>
      </w:r>
      <w:r>
        <w:t xml:space="preserve"> </w:t>
      </w:r>
      <w:r>
        <w:t xml:space="preserve">(0,4252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(Angrist; Pischke, 2009)</w:t>
      </w:r>
      <w:r>
        <w:t xml:space="preserve">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humano, jornada, contexto de UPA e estado), 17,9% do gap não é</w:t>
      </w:r>
      <w:r>
        <w:t xml:space="preserve"> </w:t>
      </w:r>
      <w:r>
        <w:t xml:space="preserve">explicado por características observáveis; em (B), tratando também formalidade e grupo</w:t>
      </w:r>
      <w:r>
        <w:t xml:space="preserve"> </w:t>
      </w:r>
      <w:r>
        <w:t xml:space="preserve">CBO como dotações, a parcela não explicada cai para 15,4%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(2,5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(Fávero; Belfiore, 2024, cap. 12)</w:t>
      </w:r>
      <w:r>
        <w:t xml:space="preserve">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0,067</w:t>
      </w:r>
      <w:r>
        <w:t xml:space="preserve"> </w:t>
      </w:r>
      <w:r>
        <w:t xml:space="preserve">(brancos) e 0,066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0,0020 (brancos) e 0,0060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81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sexo, jornada, área urbana, contexto de UPA e efeitos fixos</w:t>
      </w:r>
      <w:r>
        <w:t xml:space="preserve"> </w:t>
      </w:r>
      <w:r>
        <w:t xml:space="preserve">de UF — os mesmos controles do HLM M3; a parcela não explicada é comparável à da literatura.</w:t>
      </w:r>
      <w:r>
        <w:t xml:space="preserve"> </w:t>
      </w:r>
      <w:r>
        <w:t xml:space="preserve">(B) </w:t>
      </w:r>
      <w:r>
        <w:rPr>
          <w:i/>
          <w:iCs/>
        </w:rPr>
        <w:t xml:space="preserve">Acesso</w:t>
      </w:r>
      <w:r>
        <w:t xml:space="preserve">: (A) + formalidade e grupo CBO tratados como dotações (os controles do M4)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</w:t>
      </w:r>
      <w:r>
        <w:t xml:space="preserve"> </w:t>
      </w:r>
      <w:r>
        <w:t xml:space="preserve">(Oaxaca; Ransom, 1999)</w:t>
      </w:r>
      <w:r>
        <w:t xml:space="preserve"> </w:t>
      </w:r>
      <w:r>
        <w:t xml:space="preserve">(ver o GLMM de acesso,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41.459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, jornada, área urbana, contexto de UPA e efeitos fixos de UF — os mesmos controles do HLM M3; a parcela não explicada é comparável à da literatura. (B) Acesso: (A) + formalidade e grupo CBO tratados como dotações (os controles do M4) — a parcela não explicada é a discriminação dentro da ocupação, um limite inferior, pois a segregação ocupacional é ela própria discriminatória (Oaxaca; Ransom, 1999) (ver o GLMM de acesso, Tabela 14). População completa da PEA com renda positiva (N = 7.699.278; 41.45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0,3491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0,3598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0,0761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0,0654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15,4</w:t>
            </w:r>
          </w:p>
        </w:tc>
      </w:tr>
    </w:tbl>
    <w:bookmarkEnd w:id="8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85" w:name="fig:ob_cascata"/>
    <w:p>
      <w:pPr>
        <w:pStyle w:val="CaptionedFigure"/>
      </w:pPr>
      <w:r>
        <w:drawing>
          <wp:inline>
            <wp:extent cx="5067300" cy="203618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outputs/figures/fig_ob_cascata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3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reduz a discriminação medida de</w:t>
      </w:r>
      <w:r>
        <w:t xml:space="preserve"> </w:t>
      </w:r>
      <w:r>
        <w:t xml:space="preserve">17,9% para 15,4% do gap. Os 2,5 pontos que somem são a parte que</w:t>
      </w:r>
      <w:r>
        <w:t xml:space="preserve"> </w:t>
      </w:r>
      <w:r>
        <w:t xml:space="preserve">opera na porta de entrada das ocupações — medida diretamente pelo modelo de acesso.</w:t>
      </w:r>
    </w:p>
    <w:bookmarkEnd w:id="85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86"/>
    <w:bookmarkStart w:id="93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penalidade racial é a mesma em toda a distribuição de renda? Nada obriga que seja,</w:t>
      </w:r>
      <w:r>
        <w:t xml:space="preserve"> </w:t>
      </w:r>
      <w:r>
        <w:t xml:space="preserve">e as duas possibilidades apontam para lugares diferentes. Se ela crescer rumo ao topo, o</w:t>
      </w:r>
      <w:r>
        <w:t xml:space="preserve"> </w:t>
      </w:r>
      <w:r>
        <w:t xml:space="preserve">problema é um teto de vidro: quanto mais alto se sobe, mais a cor pesa, e o alvo da</w:t>
      </w:r>
      <w:r>
        <w:t xml:space="preserve"> </w:t>
      </w:r>
      <w:r>
        <w:t xml:space="preserve">política são as posições de comando. Se for maior na base, o problema é um piso</w:t>
      </w:r>
      <w:r>
        <w:t xml:space="preserve"> </w:t>
      </w:r>
      <w:r>
        <w:t xml:space="preserve">pegajoso, e concentrar esforços nas elites profissionais erra o alvo por inteiro. Os</w:t>
      </w:r>
      <w:r>
        <w:t xml:space="preserve"> </w:t>
      </w:r>
      <w:r>
        <w:t xml:space="preserve">resultados a seguir mostram que as duas leituras estão corretas — porque respondem a</w:t>
      </w:r>
      <w:r>
        <w:t xml:space="preserve"> </w:t>
      </w:r>
      <w:r>
        <w:t xml:space="preserve">perguntas diferentes, e a subseção termina explicando por que não se contradizem.</w:t>
      </w:r>
    </w:p>
    <w:p>
      <w:pPr>
        <w:pStyle w:val="BodyText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 a penalidade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w:r>
        <w:t xml:space="preserve">crescendo rumo ao topo (teto de vidro entre</w:t>
      </w:r>
      <w:r>
        <w:t xml:space="preserve"> </w:t>
      </w:r>
      <w:r>
        <w:t xml:space="preserve">pessoas de mesmo perfil);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RIF — a coluna ao lado do gap observado —,</w:t>
      </w:r>
      <w:r>
        <w:t xml:space="preserve"> </w:t>
      </w:r>
      <w:r>
        <w:t xml:space="preserve">e a coluna Retornos cai de</w:t>
      </w:r>
      <w:r>
        <w:t xml:space="preserve"> </w:t>
      </w:r>
      <m:oMath>
        <m:r>
          <m:t>26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(q10) a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(q90):</w:t>
      </w:r>
      <w:r>
        <w:t xml:space="preserve"> </w:t>
      </w:r>
      <w:r>
        <w:t xml:space="preserve">a parcela não explicada pesa mais na base. Como a RIF usa os controles da</w:t>
      </w:r>
      <w:r>
        <w:t xml:space="preserve"> </w:t>
      </w:r>
      <w:r>
        <w:t xml:space="preserve">Oaxaca–Blinder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ocupação, sua parcela de retornos na mediana</w:t>
      </w:r>
      <w:r>
        <w:t xml:space="preserve"> </w:t>
      </w:r>
      <w:r>
        <w:t xml:space="preserve">(</w:t>
      </w:r>
      <m:oMath>
        <m:r>
          <m:t>20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%</m:t>
        </m:r>
      </m:oMath>
      <w:r>
        <w:t xml:space="preserve">) se compara aos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da especificação (A)</w:t>
      </w:r>
      <w:r>
        <w:t xml:space="preserve"> </w:t>
      </w:r>
      <w:r>
        <w:t xml:space="preserve">da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, e não aos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da (B), que trata a</w:t>
      </w:r>
      <w:r>
        <w:t xml:space="preserve"> </w:t>
      </w:r>
      <w:r>
        <w:t xml:space="preserve">ocupação como característica. O q25 pede cautela: ele cai sobre o salário mínimo,</w:t>
      </w:r>
      <w:r>
        <w:t xml:space="preserve"> </w:t>
      </w:r>
      <w:r>
        <w:t xml:space="preserve">onde muitos trabalhadores têm exatamente a mesma renda. Num ponto de massa assim a</w:t>
      </w:r>
      <w:r>
        <w:t xml:space="preserve"> </w:t>
      </w:r>
      <w:r>
        <w:t xml:space="preserve">densidade que a RIF usa não é bem definida e depende da largura de banda do</w:t>
      </w:r>
      <w:r>
        <w:t xml:space="preserve"> </w:t>
      </w:r>
      <w:r>
        <w:rPr>
          <w:i/>
          <w:iCs/>
        </w:rPr>
        <w:t xml:space="preserve">kernel</w:t>
      </w:r>
      <w:r>
        <w:t xml:space="preserve">; por isso, no q25, o gap que a RIF decompõe fica bem abaixo do</w:t>
      </w:r>
      <w:r>
        <w:t xml:space="preserve"> </w:t>
      </w:r>
      <w:r>
        <w:t xml:space="preserve">observado. As parcelas de dotações e retornos, que são razões, não dependem dessa</w:t>
      </w:r>
      <w:r>
        <w:t xml:space="preserve"> </w:t>
      </w:r>
      <w:r>
        <w:t xml:space="preserve">escolha — a densidade escala as duas pelo mesmo fator —, e o padrão do q10 ao q90</w:t>
      </w:r>
      <w:r>
        <w:t xml:space="preserve"> </w:t>
      </w:r>
      <w:r>
        <w:t xml:space="preserve">também não.</w:t>
      </w:r>
    </w:p>
    <w:p>
      <w:pPr>
        <w:pStyle w:val="BodyText"/>
      </w:pPr>
      <w:r>
        <w:rPr>
          <w:b/>
          <w:bCs/>
        </w:rPr>
        <w:t xml:space="preserve">Por sexo.</w:t>
      </w:r>
      <w:r>
        <w:t xml:space="preserve"> </w:t>
      </w:r>
      <w:r>
        <w:t xml:space="preserve">As colunas por sexo da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mostram que o padrão não é o mesmo para todos: entre homens, a penalidade cresce de 3,9% (q10) para 9,0% (q90); entre mulheres, a penalidade é maior nas duas pontas — 4,9% no q10, 4,3% na mediana e 7,3% no q90 —, de modo que ao teto de vidro se soma um piso pegajoso</w:t>
      </w:r>
      <w:r>
        <w:t xml:space="preserve"> </w:t>
      </w:r>
      <w:r>
        <w:rPr>
          <w:i/>
          <w:iCs/>
        </w:rPr>
        <w:t xml:space="preserve">condicional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87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0437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0504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0008)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0670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0723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0875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0020)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rPr>
                      <m:sty m:val="b"/>
                    </m:rPr>
                    <m:t>−</m:t>
                  </m:r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0439</m:t>
                  </m:r>
                  <m:r>
                    <m:rPr>
                      <m:nor/>
                      <m:sty m:val="p"/>
                    </m:rPr>
                    <m:t> log-pt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0017)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tab:rif_ob"/>
    <w:p>
      <w:pPr>
        <w:pStyle w:val="TableCaption"/>
      </w:pPr>
      <w:r>
        <w:t xml:space="preserve">Decomposição RIF-OB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Mesmos controles da decomposição de Oaxaca–Blinder sem ocupação (escolaridade,</w:t>
      </w:r>
      <w:r>
        <w:t xml:space="preserve"> </w:t>
      </w:r>
      <w:r>
        <w:t xml:space="preserve">idade, sexo, jornada, área urbana, ano e contexto do bairro), mais efeitos fixos de UF; a ocupação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entra.</w:t>
      </w:r>
      <w:r>
        <w:t xml:space="preserve"> </w:t>
      </w:r>
      <w:r>
        <w:t xml:space="preserve">Dotações: diferença de características observáveis. Retornos: parcela não explicada, que</w:t>
      </w:r>
      <w:r>
        <w:t xml:space="preserve"> </w:t>
      </w:r>
      <w:r>
        <w:t xml:space="preserve">inclui a discriminação e o que não foi observado.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rPr>
          <w:i/>
          <w:iCs/>
        </w:rPr>
        <w:t xml:space="preserve">do gap RIF</w:t>
      </w:r>
      <w:r>
        <w:t xml:space="preserve"> </w:t>
      </w:r>
      <w:r>
        <w:t xml:space="preserve">— que é o gap decomposto pelo</w:t>
      </w:r>
      <w:r>
        <w:t xml:space="preserve"> </w:t>
      </w:r>
      <w:r>
        <w:t xml:space="preserve">método e difere do gap observado da segunda coluna; as porcentagens</w:t>
      </w:r>
      <w:r>
        <w:t xml:space="preserve"> </w:t>
      </w:r>
      <w:r>
        <w:t xml:space="preserve">são fração daquele, não deste.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a parcela de retornos</w:t>
      </w:r>
      <w:r>
        <w:t xml:space="preserve"> </w:t>
      </w:r>
      <w:r>
        <w:t xml:space="preserve">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; Fortin; Lemieux, 2018) do gap salarial racial por quantil incondicional, em formato two-fold (referência: estrutura de preços dos brancos). Mesmos controles da decomposição de Oaxaca–Blinder sem ocupação (escolaridade, idade, sexo, jornada, área urbana, ano e contexto do bairro), mais efeitos fixos de UF; a ocupação não entra. Dotações: diferença de características observáveis. Retornos: parcela não explicada, que inclui a discriminação e o que não foi observado. Dotações + Retornos =100\% do gap RIF — que é o gap decomposto pelo método e difere do gap observado da segunda coluna; as porcentagens são fração daquele, não deste. Padrão sticky floor: a parcela de retornos é maior na base e decresce rumo ao topo. PNAD Contínua 2016–2025, população completa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RIF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73,5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0,223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0,375 (0,003)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0,448 (0,004)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83,1 (1,3)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0,564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91,1 (1,6)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</w:tbl>
    <w:bookmarkEnd w:id="88"/>
    <w:bookmarkStart w:id="92" w:name="fig:qr_rif"/>
    <w:p>
      <w:pPr>
        <w:pStyle w:val="CaptionedFigure"/>
      </w:pPr>
      <w:r>
        <w:drawing>
          <wp:inline>
            <wp:extent cx="5227320" cy="188976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outputs/figures/fig_qr_rif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889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entre pares, piso pegajoso na renda do país: duas perguntas,</w:t>
      </w:r>
      <w:r>
        <w:t xml:space="preserve"> </w:t>
      </w:r>
      <w:r>
        <w:t xml:space="preserve">dois padrões.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92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93"/>
    <w:bookmarkStart w:id="104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Até aqui a pergunta foi quanto um trabalhador negro ganha a menos. Ela pressupõe que</w:t>
      </w:r>
      <w:r>
        <w:t xml:space="preserve"> </w:t>
      </w:r>
      <w:r>
        <w:t xml:space="preserve">negros e brancos estejam disputando as mesmas vagas. E se a barreira for anterior ao</w:t>
      </w:r>
      <w:r>
        <w:t xml:space="preserve"> </w:t>
      </w:r>
      <w:r>
        <w:t xml:space="preserve">salário — se ela estiver em</w:t>
      </w:r>
      <w:r>
        <w:t xml:space="preserve"> </w:t>
      </w:r>
      <w:r>
        <w:rPr>
          <w:i/>
          <w:iCs/>
        </w:rPr>
        <w:t xml:space="preserve">quais</w:t>
      </w:r>
      <w:r>
        <w:t xml:space="preserve"> </w:t>
      </w:r>
      <w:r>
        <w:t xml:space="preserve">posições cada um consegue alcançar? É a</w:t>
      </w:r>
      <w:r>
        <w:t xml:space="preserve"> </w:t>
      </w:r>
      <w:r>
        <w:t xml:space="preserve">pergunta desta subseção, e ela importa porque muda o alvo da política: se a desigualdade</w:t>
      </w:r>
      <w:r>
        <w:t xml:space="preserve"> </w:t>
      </w:r>
      <w:r>
        <w:t xml:space="preserve">se produz no salário, o remédio é fiscalização de remuneração; se ela se produz no</w:t>
      </w:r>
      <w:r>
        <w:t xml:space="preserve"> </w:t>
      </w:r>
      <w:r>
        <w:t xml:space="preserve">acesso, nenhuma política salarial a alcança. Três desfechos respondem — ocupar cargo</w:t>
      </w:r>
      <w:r>
        <w:t xml:space="preserve"> </w:t>
      </w:r>
      <w:r>
        <w:t xml:space="preserve">qualificado (CBO 1–4), estar no top 20% e no top 10% da renda —, cada um estimado</w:t>
      </w:r>
      <w:r>
        <w:t xml:space="preserve"> </w:t>
      </w:r>
      <w:r>
        <w:t xml:space="preserve">em quatro degraus próprios, rotulados A1 a A4 para não se confundirem com os do HLM</w:t>
      </w:r>
      <w:r>
        <w:t xml:space="preserve"> </w:t>
      </w:r>
      <w:r>
        <w:t xml:space="preserve">—aos quais não correspondem um a um—, com intercepto aleatório de UPA e efeitos fixos</w:t>
      </w:r>
      <w:r>
        <w:t xml:space="preserve"> </w:t>
      </w:r>
      <w:r>
        <w:t xml:space="preserve">de UF.</w:t>
      </w:r>
      <w:r>
        <w:rPr>
          <w:rStyle w:val="FootnoteReference"/>
        </w:rPr>
        <w:footnoteReference w:id="94"/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A primeira coisa que o modelo mostra é que a lógica territorial do HLM se repete aqui.</w:t>
      </w:r>
      <w:r>
        <w:t xml:space="preserve"> </w:t>
      </w:r>
      <w:r>
        <w:t xml:space="preserve">Entre</w:t>
      </w:r>
      <w:r>
        <w:t xml:space="preserve"> </w:t>
      </w:r>
      <w:r>
        <w:rPr>
          <w:b/>
          <w:bCs/>
        </w:rPr>
        <w:t xml:space="preserve">9% e 22% da variância latente do</w:t>
      </w:r>
      <w:r>
        <w:rPr>
          <w:b/>
          <w:bCs/>
        </w:rPr>
        <w:t xml:space="preserve"> </w:t>
      </w:r>
      <w:r>
        <w:rPr>
          <w:b/>
          <w:bCs/>
        </w:rPr>
        <w:t xml:space="preserve">acesso está entre bairros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— ou seja, saber apenas em que bairro alguém mora já antecipa</w:t>
      </w:r>
      <w:r>
        <w:t xml:space="preserve"> </w:t>
      </w:r>
      <w:r>
        <w:t xml:space="preserve">boa parte da chance de essa pessoa chegar a um cargo qualificado, antes de se conhecer</w:t>
      </w:r>
      <w:r>
        <w:t xml:space="preserve"> </w:t>
      </w:r>
      <w:r>
        <w:t xml:space="preserve">sua escolaridade. E a fração é maior para o top 10% do que para o cargo qualificado:</w:t>
      </w:r>
      <w:r>
        <w:t xml:space="preserve"> </w:t>
      </w:r>
      <w:r>
        <w:t xml:space="preserve">quanto mais alto o degrau, mais o endereço pesa.</w:t>
      </w:r>
    </w:p>
    <w:p>
      <w:pPr>
        <w:pStyle w:val="BodyText"/>
      </w:pPr>
      <w:r>
        <w:rPr>
          <w:b/>
          <w:bCs/>
        </w:rPr>
        <w:t xml:space="preserve">A porta é mais estreita para negros — e estreita ainda mais no topo.</w:t>
      </w:r>
      <w:r>
        <w:t xml:space="preserve"> </w:t>
      </w:r>
      <w:r>
        <w:t xml:space="preserve">Comparando pessoas do mesmo bairro, com a mesma escolaridade, sexo, idade e estado,</w:t>
      </w:r>
      <w:r>
        <w:t xml:space="preserve"> </w:t>
      </w:r>
      <w:r>
        <w:t xml:space="preserve">a chance de um trabalhador negro ocupar cargo qualificado é</w:t>
      </w:r>
      <w:r>
        <w:t xml:space="preserve"> </w:t>
      </w:r>
      <w:r>
        <w:t xml:space="preserve">OR </w:t>
      </w:r>
      <m:oMath>
        <m:r>
          <m:rPr>
            <m:sty m:val="p"/>
          </m:rPr>
          <m:t>=</m:t>
        </m:r>
      </m:oMath>
      <w:r>
        <w:t xml:space="preserve"> 0,814</w:t>
      </w:r>
      <w:r>
        <w:rPr>
          <w:rStyle w:val="FootnoteReference"/>
        </w:rPr>
        <w:footnoteReference w:id="96"/>
      </w:r>
      <w:r>
        <w:t xml:space="preserve"> </w:t>
      </w:r>
      <w:r>
        <w:t xml:space="preserve">da chance de um branco —</w:t>
      </w:r>
      <w:r>
        <w:t xml:space="preserve"> </w:t>
      </w:r>
      <w:r>
        <w:rPr>
          <w:b/>
          <w:bCs/>
        </w:rPr>
        <w:t xml:space="preserve">chances (</w:t>
      </w:r>
      <w:r>
        <w:rPr>
          <w:b/>
          <w:bCs/>
          <w:i/>
          <w:iCs/>
        </w:rPr>
        <w:t xml:space="preserve">odds</w:t>
      </w:r>
      <w:r>
        <w:rPr>
          <w:b/>
          <w:bCs/>
        </w:rPr>
        <w:t xml:space="preserve">)</w:t>
      </w:r>
      <w:r>
        <w:rPr>
          <w:b/>
          <w:bCs/>
        </w:rPr>
        <w:t xml:space="preserve"> </w:t>
      </w:r>
      <w:r>
        <w:rPr>
          <w:b/>
          <w:bCs/>
        </w:rPr>
        <w:t xml:space="preserve">19% menores</w:t>
      </w:r>
      <w:r>
        <w:t xml:space="preserve">. Traduzido para probabilidade, que é a medida a reter</w:t>
      </w:r>
      <w:r>
        <w:t xml:space="preserve"> </w:t>
      </w:r>
      <w:r>
        <w:t xml:space="preserve">(Angrist; Pischke, 2009)</w:t>
      </w:r>
      <w:r>
        <w:t xml:space="preserve">, são</w:t>
      </w:r>
      <w:r>
        <w:t xml:space="preserve"> </w:t>
      </w:r>
      <w:r>
        <w:rPr>
          <w:b/>
          <w:bCs/>
        </w:rPr>
        <w:t xml:space="preserve">2,6 pontos percentuais</w:t>
      </w:r>
      <w:r>
        <w:t xml:space="preserve"> </w:t>
      </w:r>
      <w:r>
        <w:t xml:space="preserve">a menos de chegar</w:t>
      </w:r>
      <w:r>
        <w:t xml:space="preserve"> </w:t>
      </w:r>
      <w:r>
        <w:t xml:space="preserve">lá. E a desvantagem cresce à medida que se sobe na renda: para chegar ao top 10% —</w:t>
      </w:r>
      <w:r>
        <w:t xml:space="preserve"> </w:t>
      </w:r>
      <w:r>
        <w:t xml:space="preserve">que já não é o acesso a uma ocupação, mas a uma faixa de rendimento — o OR cai para</w:t>
      </w:r>
      <w:r>
        <w:t xml:space="preserve"> </w:t>
      </w:r>
      <w:r>
        <w:t xml:space="preserve">0,761,</w:t>
      </w:r>
      <w:r>
        <w:t xml:space="preserve"> </w:t>
      </w:r>
      <w:r>
        <w:rPr>
          <w:b/>
          <w:bCs/>
        </w:rPr>
        <w:t xml:space="preserve">chances 24% menores</w:t>
      </w:r>
      <w:r>
        <w:t xml:space="preserve">. Não é o mesmo fenômeno do</w:t>
      </w:r>
      <w:r>
        <w:t xml:space="preserve"> </w:t>
      </w:r>
      <w:r>
        <w:t xml:space="preserve">salário visto de outro ângulo — é uma barreira que age antes, na distribuição das</w:t>
      </w:r>
      <w:r>
        <w:t xml:space="preserve"> </w:t>
      </w:r>
      <w:r>
        <w:t xml:space="preserve">posições, e que nenhuma política de remuneração igual alcançaria.</w:t>
      </w:r>
    </w:p>
    <w:p>
      <w:pPr>
        <w:pStyle w:val="BodyText"/>
      </w:pPr>
      <w:r>
        <w:t xml:space="preserve">Em síntese, a desigualdade racial no mercado de trabalho brasileiro não começa</w:t>
      </w:r>
      <w:r>
        <w:t xml:space="preserve"> </w:t>
      </w:r>
      <w:r>
        <w:t xml:space="preserve">só no contracheque: começa também na porta.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Duas explicações alternativas se apresentam naturalmente, e o modelo testa as duas. A</w:t>
      </w:r>
      <w:r>
        <w:t xml:space="preserve"> </w:t>
      </w:r>
      <w:r>
        <w:t xml:space="preserve">primeira é a informalidade: a barreira seria um artefato de negros estarem mais em</w:t>
      </w:r>
      <w:r>
        <w:t xml:space="preserve"> </w:t>
      </w:r>
      <w:r>
        <w:t xml:space="preserve">vínculos precários. Descontar o vínculo (A3) praticamente não move o OR do cargo</w:t>
      </w:r>
      <w:r>
        <w:t xml:space="preserve"> </w:t>
      </w:r>
      <w:r>
        <w:t xml:space="preserve">qualificado (0,791) nem o do top 10% (0,740), de modo que não é</w:t>
      </w:r>
      <w:r>
        <w:t xml:space="preserve"> </w:t>
      </w:r>
      <w:r>
        <w:t xml:space="preserve">isso. A segunda é o diploma: bastaria credenciar-se.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 do A4 é de 1,042 para o superior completo e</w:t>
      </w:r>
      <w:r>
        <w:t xml:space="preserve"> </w:t>
      </w:r>
      <w:r>
        <w:t xml:space="preserve">0,947 para a pós-graduação — o superior completo atenua levemente a barreira, mas a pós-graduação volta a agravá-la —, e o OR combinado de um</w:t>
      </w:r>
      <w:r>
        <w:t xml:space="preserve"> </w:t>
      </w:r>
      <w:r>
        <w:t xml:space="preserve">trabalhador negro com superior completo ainda é 0,818. A credencial não</w:t>
      </w:r>
      <w:r>
        <w:t xml:space="preserve"> </w:t>
      </w:r>
      <w:r>
        <w:t xml:space="preserve">neutraliza a barreira. A Figura </w:t>
      </w:r>
      <w:hyperlink w:anchor="fig:glmm_o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reúne as razões</w:t>
      </w:r>
      <w:r>
        <w:t xml:space="preserve"> </w:t>
      </w:r>
      <w:r>
        <w:t xml:space="preserve">de chance dos três desfechos e dos modelos de cada um.</w:t>
      </w:r>
    </w:p>
    <w:p>
      <w:pPr>
        <w:pStyle w:val="BodyText"/>
      </w:pPr>
      <w:r>
        <w:rPr>
          <w:b/>
          <w:bCs/>
        </w:rPr>
        <w:t xml:space="preserve">Quão forte teria de ser um confundidor omitido.</w:t>
      </w:r>
      <w:r>
        <w:t xml:space="preserve"> </w:t>
      </w:r>
      <w:r>
        <w:t xml:space="preserve">O modelo separa bem quem acessa de quem não acessa</w:t>
      </w:r>
      <w:r>
        <w:rPr>
          <w:rStyle w:val="FootnoteReference"/>
        </w:rPr>
        <w:footnoteReference w:id="97"/>
      </w:r>
      <w:r>
        <w:t xml:space="preserve">, mas a</w:t>
      </w:r>
      <w:r>
        <w:t xml:space="preserve"> </w:t>
      </w:r>
      <w:r>
        <w:t xml:space="preserve">pergunta que interessa não é essa: é se a desvantagem poderia ser obra de algo que o</w:t>
      </w:r>
      <w:r>
        <w:t xml:space="preserve"> </w:t>
      </w:r>
      <w:r>
        <w:t xml:space="preserve">modelo não viu. O E-value responde quanto um confundidor omitido teria de ser forte para</w:t>
      </w:r>
      <w:r>
        <w:t xml:space="preserve"> </w:t>
      </w:r>
      <w:r>
        <w:t xml:space="preserve">anular o resultado, e aqui ele vale</w:t>
      </w:r>
      <w:r>
        <w:t xml:space="preserve"> </w:t>
      </w:r>
      <w:r>
        <w:rPr>
          <w:b/>
          <w:bCs/>
        </w:rPr>
        <w:t xml:space="preserve">1,5</w:t>
      </w:r>
      <w:r>
        <w:t xml:space="preserve">: seria preciso uma</w:t>
      </w:r>
      <w:r>
        <w:t xml:space="preserve"> </w:t>
      </w:r>
      <w:r>
        <w:t xml:space="preserve">característica não medida associada tanto a ser negro quanto a ocupar cargo qualificado</w:t>
      </w:r>
      <w:r>
        <w:t xml:space="preserve"> </w:t>
      </w:r>
      <w:r>
        <w:t xml:space="preserve">com razão de risco de pelo menos 1,5 em ambas as pontas (com o desfecho comum, a</w:t>
      </w:r>
      <w:r>
        <w:t xml:space="preserve"> </w:t>
      </w:r>
      <w:r>
        <w:t xml:space="preserve">razão de chances é convertida em razão de risco pela raiz quadrada). É uma associação</w:t>
      </w:r>
      <w:r>
        <w:t xml:space="preserve"> </w:t>
      </w:r>
      <w:r>
        <w:t xml:space="preserve">modesta — a escolaridade, sozinha, tem efeito muito maior sobre o acesso —, e por isso o</w:t>
      </w:r>
      <w:r>
        <w:t xml:space="preserve"> </w:t>
      </w:r>
      <w:r>
        <w:t xml:space="preserve">E-value não basta para descartar viés: o que sustenta o resultado é ele sobreviver ao</w:t>
      </w:r>
      <w:r>
        <w:t xml:space="preserve"> </w:t>
      </w:r>
      <w:r>
        <w:t xml:space="preserve">contexto de bairro e ao teste de Konfound do modelo de renda. Por fim,</w:t>
      </w:r>
      <w:r>
        <w:t xml:space="preserve"> </w:t>
      </w:r>
      <w:r>
        <w:t xml:space="preserve">o logit com efeitos fixos de UF e erro-padrão agrupado por UPA (última coluna da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reproduz os OR a partir do A2 (cargo qualificado: 0,796 contra 0,814); no A1, sem o contexto do bairro, dá 0,728 contra 0,805, porque sem o intercepto de UPA o contexto omitido é absorvido pelo coeficiente racial. Com o contexto do bairro no modelo, a conclusão não depende da hipótese de efeitos aleatórios.</w:t>
      </w:r>
    </w:p>
    <w:bookmarkStart w:id="101" w:name="fig:glmm_or"/>
    <w:p>
      <w:pPr>
        <w:pStyle w:val="CaptionedFigure"/>
      </w:pPr>
      <w:r>
        <w:drawing>
          <wp:inline>
            <wp:extent cx="5067300" cy="235139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outputs/figures/fig_glmm_or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51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(A2).</w:t>
      </w:r>
    </w:p>
    <w:bookmarkEnd w:id="101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A2, que compara pessoas do mesmo bairro.</w:t>
      </w:r>
    </w:p>
    <w:bookmarkStart w:id="102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</w:t>
      </w:r>
      <w:r>
        <w:t xml:space="preserve"> </w:t>
      </w:r>
      <w:r>
        <w:t xml:space="preserve">(VanderWeele; Ding, 2017)</w:t>
      </w:r>
      <w:r>
        <w:t xml:space="preserve">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; 41.454 UPAs). A3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; Ding, 2017). Coluna final: OR do logit com efeitos fixos de UF e erro-padrão agrupado por UPA (robustez). População completa da PEA com renda positiva (N = 7.699.273; 41.454 UPAs). A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0,805 [0,801; 0,809]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0,814 [0,810; 0,818]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0,791 [0,787; 0,794]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0,785 [0,781; 0,789]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0,759 [0,755; 0,763]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0,769 [0,765; 0,773]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0,755 [0,751; 0,759]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0,719 [0,714; 0,723]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0,748 [0,743; 0,753]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0,761 [0,756; 0,766]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0,740 [0,735; 0,745]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0,668 [0,662; 0,674]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0,659</w:t>
            </w:r>
          </w:p>
        </w:tc>
      </w:tr>
    </w:tbl>
    <w:bookmarkEnd w:id="10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103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A2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Modelos A1–A4 como na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A2 contra o logit sem efeito aleatório (fronteira, p/2); AUC com efeitos aleatórios (ajuste na amostra) e só com efeitos fixos; cutoff de Youden (maximiza sensibilidade + especificidade) com as taxas correspondentes; Hosmer–Lemeshow em 10 decis. Modelos A1–A4 como na Tabela 14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6.102.575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6.088.976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5.251.296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108.283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80.791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3.074.744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2.472</w:t>
            </w:r>
          </w:p>
        </w:tc>
      </w:tr>
    </w:tbl>
    <w:bookmarkEnd w:id="103"/>
    <w:bookmarkEnd w:id="104"/>
    <w:bookmarkStart w:id="113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105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Gap (log):</w:t>
      </w:r>
      <w:r>
        <w:t xml:space="preserve"> </w:t>
      </w:r>
      <w:r>
        <w:t xml:space="preserve">a mesma desvantagem em log-pontos, a escala em que os efeitos de raça e de gênero se somam</w:t>
      </w:r>
      <w:r>
        <w:t xml:space="preserve"> </w:t>
      </w:r>
      <w:r>
        <w:t xml:space="preserve">(Crenshaw, 1989)</w:t>
      </w:r>
      <w:r>
        <w:t xml:space="preserve">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Gap (log): a mesma desvantagem em log-pontos, a escala em que os efeitos de raça e de gênero se somam (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(log)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1.429.355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56,4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77,2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2.662.039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1.765.796</w:t>
            </w:r>
          </w:p>
        </w:tc>
      </w:tr>
    </w:tbl>
    <w:bookmarkEnd w:id="10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gap. Em log-pontos, o gap da Mulher Negra (0,592) fica abaixo da soma dos gaps da Mulher Branca e do Homem Negro (0,629): as desvantagens de raça e de gênero se acumulam sem se multiplicar — a interação é sub-aditiva, como no modelo de acesso. Somar os percentuais daria a impressão contrária, porque a escala percentual é convexa.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1.842.088 homens brancos.</w:t>
      </w:r>
    </w:p>
    <w:p>
      <w:pPr>
        <w:pStyle w:val="BodyText"/>
      </w:pPr>
      <w:bookmarkStart w:id="106" w:name="subsec:interseccional"/>
      <w:bookmarkEnd w:id="106"/>
    </w:p>
    <w:p>
      <w:pPr>
        <w:pStyle w:val="BodyText"/>
      </w:pPr>
      <w:r>
        <w:t xml:space="preserve">Raça e gênero simplesmente se somam? Todos os modelos até aqui responderam que sim,</w:t>
      </w:r>
      <w:r>
        <w:t xml:space="preserve"> </w:t>
      </w:r>
      <w:r>
        <w:t xml:space="preserve">por construção: tratadas como penalidades aditivas,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seria a de ser negro mais a de ser mulher.</w:t>
      </w:r>
      <w:r>
        <w:t xml:space="preserve"> </w:t>
      </w:r>
      <w:r>
        <w:t xml:space="preserve">Crenshaw (1989)</w:t>
      </w:r>
      <w:r>
        <w:t xml:space="preserve"> </w:t>
      </w:r>
      <w:r>
        <w:t xml:space="preserve">desconfia</w:t>
      </w:r>
      <w:r>
        <w:t xml:space="preserve"> </w:t>
      </w:r>
      <w:r>
        <w:t xml:space="preserve">dessa aritmética, e a desconfiança é testável — basta trocar os dois indicadores</w:t>
      </w:r>
      <w:r>
        <w:t xml:space="preserve"> </w:t>
      </w:r>
      <w:r>
        <w:t xml:space="preserve">separados por um único fator de quatro grupos e deixar que os dados digam se a soma</w:t>
      </w:r>
      <w:r>
        <w:t xml:space="preserve"> </w:t>
      </w:r>
      <w:r>
        <w:t xml:space="preserve">fecha.</w:t>
      </w:r>
      <w:r>
        <w:rPr>
          <w:rStyle w:val="FootnoteReference"/>
        </w:rPr>
        <w:footnoteReference w:id="107"/>
      </w:r>
      <w:r>
        <w:t xml:space="preserve"> </w:t>
      </w:r>
      <w:r>
        <w:t xml:space="preserve">A Tabela </w:t>
      </w:r>
      <w:hyperlink w:anchor="tab:interseccional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10</w:t>
        </w:r>
      </w:hyperlink>
      <w:r>
        <w:t xml:space="preserve">, as razões de chance nos três desfechos.</w:t>
      </w:r>
    </w:p>
    <w:bookmarkStart w:id="111" w:name="fig:interseccional"/>
    <w:p>
      <w:pPr>
        <w:pStyle w:val="CaptionedFigure"/>
      </w:pPr>
      <w:r>
        <w:drawing>
          <wp:inline>
            <wp:extent cx="4373880" cy="1682261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68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vantagem aparente da mulher negra no acesso é de composição: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Na categoria agregada ela aparece acima da referência,</w:t>
      </w:r>
      <w:r>
        <w:t xml:space="preserve"> </w:t>
      </w:r>
      <w:r>
        <w:t xml:space="preserve">mas por composição: entra pelas ocupações feminizadas e é a mais distante do homem</w:t>
      </w:r>
      <w:r>
        <w:t xml:space="preserve"> </w:t>
      </w:r>
      <w:r>
        <w:t xml:space="preserve">branco entre os dirigentes e no topo da renda.</w:t>
      </w:r>
    </w:p>
    <w:bookmarkEnd w:id="111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10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série é um grupo raça</w:t>
      </w:r>
      <m:oMath>
        <m:r>
          <m:rPr>
            <m:sty m:val="p"/>
          </m:rPr>
          <m:t>×</m:t>
        </m:r>
      </m:oMath>
      <w:r>
        <w:t xml:space="preserve">gênero e cada ponto, a razão de chances contra o homem branco, cuja referência é a linha tracejada em 1; abaixo dela, o grupo tem menos chance que ele. À esquerda, siga a série azul (mulher negra): ela aparece acima da referência na categoria agregada e termina como o grupo mais distante da referência no topo da renda. À direita, a mesma comparação por grande grupo da CBO mostra de onde vem a aparente vantagem: das ocupações feminizadas, não do comando.</w:t>
      </w:r>
    </w:p>
    <w:p>
      <w:pPr>
        <w:pStyle w:val="BodyText"/>
      </w:pPr>
      <w:r>
        <w:rPr>
          <w:b/>
          <w:bCs/>
        </w:rPr>
        <w:t xml:space="preserve">Na entrada, a vantagem da mulher negra é de ocupações feminizadas.</w:t>
      </w:r>
      <w:r>
        <w:t xml:space="preserve"> </w:t>
      </w:r>
      <w:r>
        <w:t xml:space="preserve">No acesso à ocupação qualificada (CBO 1–4)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31</m:t>
        </m:r>
      </m:oMath>
      <w:r>
        <w:t xml:space="preserve">,</w:t>
      </w:r>
      <w:r>
        <w:t xml:space="preserve"> </w:t>
      </w:r>
      <w:r>
        <w:t xml:space="preserve">mais chance do que o homem branco de referência, e o grupo mais penalizado na entrada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</m:t>
        </m:r>
      </m:oMath>
      <w:r>
        <w:t xml:space="preserve">). O agregado, porém, junta portas</w:t>
      </w:r>
      <w:r>
        <w:t xml:space="preserve"> </w:t>
      </w:r>
      <w:r>
        <w:t xml:space="preserve">muito diferentes, e estimar o mesmo modelo para cada grande grupo da CBO muda o</w:t>
      </w:r>
      <w:r>
        <w:t xml:space="preserve"> </w:t>
      </w:r>
      <w:r>
        <w:t xml:space="preserve">quadro. A aparente vantagem da mulher negra no acesso a cargos CBO 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 Se a análise parasse no agregado, concluiria que a</w:t>
      </w:r>
      <w:r>
        <w:t xml:space="preserve"> </w:t>
      </w:r>
      <w:r>
        <w:t xml:space="preserve">interseccionalidade não se confirma na entrada; separada a ocupação, ela se confirma.</w:t>
      </w:r>
    </w:p>
    <w:p>
      <w:pPr>
        <w:pStyle w:val="BodyText"/>
      </w:pPr>
      <w:r>
        <w:rPr>
          <w:b/>
          <w:bCs/>
        </w:rPr>
        <w:t xml:space="preserve">No topo, a ordem se inverte e ela passa a ser a mais excluída.</w:t>
      </w:r>
      <w:r>
        <w:t xml:space="preserve"> </w:t>
      </w:r>
      <w:r>
        <w:t xml:space="preserve">No decil superior de renda o quadro vira: a mulher negra tem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</m:t>
        </m:r>
      </m:oMath>
      <w:r>
        <w:t xml:space="preserve">,</w:t>
      </w:r>
      <w:r>
        <w:t xml:space="preserve"> </w:t>
      </w:r>
      <w:r>
        <w:t xml:space="preserve">abaixo da mulher branca (</w:t>
      </w:r>
      <m:oMath>
        <m:r>
          <m:t>0</m:t>
        </m:r>
        <m:r>
          <m:rPr>
            <m:sty m:val="p"/>
          </m:rPr>
          <m:t>,</m:t>
        </m:r>
        <m:r>
          <m:t>37</m:t>
        </m:r>
      </m:oMath>
      <w:r>
        <w:t xml:space="preserve">) e do homem negro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,</m:t>
        </m:r>
        <m:r>
          <m:t>73</m:t>
        </m:r>
      </m:oMath>
      <w:r>
        <w:t xml:space="preserve">). Em linguagem de leitor: as chances (</w:t>
      </w:r>
      <w:r>
        <w:rPr>
          <w:i/>
          <w:iCs/>
        </w:rPr>
        <w:t xml:space="preserve">odds</w:t>
      </w:r>
      <w:r>
        <w:t xml:space="preserve">) de uma</w:t>
      </w:r>
      <w:r>
        <w:t xml:space="preserve"> </w:t>
      </w:r>
      <w:r>
        <w:t xml:space="preserve">mulher negra chegar aos 10% mais ricos equivalem a 28% das de um homem branco com a</w:t>
      </w:r>
      <w:r>
        <w:t xml:space="preserve"> </w:t>
      </w:r>
      <w:r>
        <w:t xml:space="preserve">mesma escolaridade, idade, jornada, estado e bairro. A vantagem de gênero na</w:t>
      </w:r>
      <w:r>
        <w:t xml:space="preserve"> </w:t>
      </w:r>
      <w:r>
        <w:t xml:space="preserve">entrada, que já vinha das ocupações feminizadas, desaparece exatamente onde a ascensão</w:t>
      </w:r>
      <w:r>
        <w:t xml:space="preserve"> </w:t>
      </w:r>
      <w:r>
        <w:t xml:space="preserve">se decide, e o que sobra é o acúmulo das duas barreiras, um pouco abaixo da soma.</w:t>
      </w:r>
      <w:r>
        <w:rPr>
          <w:rStyle w:val="FootnoteReference"/>
        </w:rPr>
        <w:footnoteReference w:id="112"/>
      </w:r>
    </w:p>
    <w:p>
      <w:pPr>
        <w:pStyle w:val="BodyText"/>
      </w:pPr>
      <w:r>
        <w:t xml:space="preserve">Em uma frase: a mulher negra entra pelas ocupações feminizadas, mas não chega ao</w:t>
      </w:r>
      <w:r>
        <w:t xml:space="preserve"> </w:t>
      </w:r>
      <w:r>
        <w:t xml:space="preserve">comando nem ao topo.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113"/>
    <w:bookmarkStart w:id="115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Os controles do M4 estão brigando entre si? A pergunta é legítima: o modelo empilha nove indicadores de grupo ocupacional sobre três de vínculo, e variáveis muito próximas entre si inflam o erro-padrão umas das outras, a ponto de tornar instável justamente o coeficiente que interessa.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mede esse efeito: quanto a variância de cada estimativa cresce em razão das demais. A resposta, aqui, é que há colinearidade — mas não onde ela importaria.</w:t>
      </w:r>
      <w:r>
        <w:rPr>
          <w:rStyle w:val="FootnoteReference"/>
        </w:rPr>
        <w:footnoteReference w:id="114"/>
      </w:r>
      <w:r>
        <w:t xml:space="preserve"> </w:t>
      </w:r>
      <w:r>
        <w:t xml:space="preserve">Nenhum preditor do M4 tem VIF acima de 10; o maior é o de</w:t>
      </w:r>
      <w:r>
        <w:t xml:space="preserve"> </w:t>
      </w:r>
      <w:r>
        <w:rPr>
          <w:rStyle w:val="VerbatimChar"/>
        </w:rPr>
        <w:t xml:space="preserve">ocp_profissional</w:t>
      </w:r>
      <w:r>
        <w:t xml:space="preserve"> </w:t>
      </w:r>
      <w:r>
        <w:t xml:space="preserve">(2,66). A colinearidade que houver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</w:t>
      </w:r>
      <w:r>
        <w:t xml:space="preserve"> </w:t>
      </w:r>
      <w:r>
        <w:t xml:space="preserve">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1,36 e o das variáveis de contexto da UPA fica abaixo de</w:t>
      </w:r>
      <w:r>
        <w:t xml:space="preserve"> </w:t>
      </w:r>
      <w:r>
        <w:t xml:space="preserve">2,2. Entre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2,66.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115"/>
    <w:bookmarkEnd w:id="116"/>
    <w:bookmarkStart w:id="120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agregado</w:t>
      </w:r>
      <w:r>
        <w:t xml:space="preserve"> </w:t>
      </w:r>
      <w:r>
        <w:t xml:space="preserve">(condicional a capital humano e estado)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compararem</w:t>
      </w:r>
      <w:r>
        <w:t xml:space="preserve"> </w:t>
      </w:r>
      <w:r>
        <w:t xml:space="preserve">pessoas do mesmo bairro (UPA) — mede o 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6,1%.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5,6%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aparecem juntas nos mesmos dados. A consequência para o desenho de políticas</w:t>
      </w:r>
      <w:r>
        <w:t xml:space="preserve"> </w:t>
      </w:r>
      <w:r>
        <w:t xml:space="preserve">é 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17,9% do gap bruto são retornos</w:t>
      </w:r>
      <w:r>
        <w:t xml:space="preserve"> </w:t>
      </w:r>
      <w:r>
        <w:t xml:space="preserve">diferenciais — limite superior do tratamento diferencial — e 82,1%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15,4%, e 84,6%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mostrar que ele é consistente com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operam em conjunto,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 multidimensional captada pela POF não eliminou o gap racial de qualidade de vida, e a renda voltou a concentrar-se no topo em 2025.</w:t>
      </w:r>
      <w:r>
        <w:rPr>
          <w:rStyle w:val="FootnoteReference"/>
        </w:rPr>
        <w:footnoteReference w:id="117"/>
      </w:r>
      <w:r>
        <w:t xml:space="preserve"> </w:t>
      </w:r>
      <w:r>
        <w:t xml:space="preserve">As duas medidas não são a mesma coisa, e a diferença importa para não se ler tendência onde há mudança de conceito.</w:t>
      </w:r>
      <w:r>
        <w:rPr>
          <w:rStyle w:val="FootnoteReference"/>
        </w:rPr>
        <w:footnoteReference w:id="118"/>
      </w:r>
      <w:r>
        <w:t xml:space="preserve"> </w:t>
      </w:r>
      <w:r>
        <w:t xml:space="preserve">No conceito adotado aqui,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477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436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</w:t>
      </w:r>
      <w:r>
        <w:t xml:space="preserve"> </w:t>
      </w:r>
      <w:r>
        <w:t xml:space="preserve">(Wilm et al., 2026)</w:t>
      </w:r>
      <w:r>
        <w:t xml:space="preserve"> </w:t>
      </w:r>
      <w:r>
        <w:t xml:space="preserve">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: situa-se</w:t>
      </w:r>
      <w:r>
        <w:t xml:space="preserve"> </w:t>
      </w:r>
      <w:r>
        <w:t xml:space="preserve">acima dele na escala e mede progresso social geral, não desigualdade racial. Fica</w:t>
      </w:r>
      <w:r>
        <w:t xml:space="preserve"> </w:t>
      </w:r>
      <w:r>
        <w:t xml:space="preserve">como agenda: com o município identificado (microdados de acesso restrito), seria</w:t>
      </w:r>
      <w:r>
        <w:t xml:space="preserve"> </w:t>
      </w:r>
      <w:r>
        <w:t xml:space="preserve">possível testar se a penalidade de bairro varia com o progresso social do município.</w:t>
      </w:r>
    </w:p>
    <w:p>
      <w:pPr>
        <w:pStyle w:val="BodyText"/>
      </w:pPr>
      <w:r>
        <w:rPr>
          <w:b/>
          <w:bCs/>
        </w:rPr>
        <w:t xml:space="preserve">O diploma quase iguala o salário, mas não abre a porta.</w:t>
      </w:r>
      <w:r>
        <w:t xml:space="preserve"> </w:t>
      </w:r>
      <w:r>
        <w:t xml:space="preserve">As duas barreiras respondem de modo diferente à escolaridade. A penalidade salarial é de 9</w:t>
      </w:r>
      <w:r>
        <w:t xml:space="preserve">,</w:t>
      </w:r>
      <w:r>
        <w:t xml:space="preserve">6% entre quem não tem fundamental completo e cai a 1</w:t>
      </w:r>
      <w:r>
        <w:t xml:space="preserve">,</w:t>
      </w:r>
      <w:r>
        <w:t xml:space="preserve">1% na pós-graduação (Figura </w:t>
      </w:r>
      <w:hyperlink w:anchor="fig:hlm_negro_educ">
        <w:r>
          <w:rPr>
            <w:rStyle w:val="Hyperlink"/>
          </w:rPr>
          <w:t xml:space="preserve">3</w:t>
        </w:r>
      </w:hyperlink>
      <w:r>
        <w:t xml:space="preserve">); a desvantagem de acesso, não: com superior completo, as chances de um trabalhador negro chegar a um cargo qualificado seguem 18% menores que as de um branco de mesmo perfil e bairro, e com pós-graduação, 23% menores (GLMM, degrau A4,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 A escolaridade se associa a quase toda a convergência salarial, mas não à de acesso. Duas cautelas: são diferenças condicionais entre pessoas comparáveis, não o efeito de estudar mais — quem chega à pós-graduação é um grupo selecionado —, e as razões de chances do A4 incluem o vínculo, o que faz delas um limite inferior da desvantagem.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39,5%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35,3%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17,9%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15,4% quando a própria posição</w:t>
      </w:r>
      <w:r>
        <w:t xml:space="preserve"> </w:t>
      </w:r>
      <w:r>
        <w:t xml:space="preserve">ocupacional é descontada; a decomposição RIF mostra que essa parcela chega a 27%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combinado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de 0,818 entre os de superior completo).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6,1%, estimado após controlar por todos os vetores</w:t>
      </w:r>
      <w:r>
        <w:t xml:space="preserve"> </w:t>
      </w:r>
      <w:r>
        <w:t xml:space="preserve">de transmissão contextual, é o limite superior do intervalo — cujo piso é o</w:t>
      </w:r>
      <w:r>
        <w:t xml:space="preserve"> </w:t>
      </w:r>
      <w:r>
        <w:t xml:space="preserve">M4, com a ocupação — dentro do qual está a penalidade direta não explicada por</w:t>
      </w:r>
      <w:r>
        <w:t xml:space="preserve"> </w:t>
      </w:r>
      <w:r>
        <w:t xml:space="preserve">diferenças observáveis. Os valores SHAP reforçam essa</w:t>
      </w:r>
      <w:r>
        <w:t xml:space="preserve"> </w:t>
      </w:r>
      <w:r>
        <w:t xml:space="preserve">interpretação: a variável racial mantém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A convergência veio num degrau, e não num ritmo.</w:t>
      </w:r>
      <w:r>
        <w:t xml:space="preserve"> </w:t>
      </w:r>
      <w:r>
        <w:t xml:space="preserve">Em dez anos o gap encolheu 14</w:t>
      </w:r>
      <w:r>
        <w:t xml:space="preserve">,</w:t>
      </w:r>
      <w:r>
        <w:t xml:space="preserve">7%, e a inclinação é estatisticamente distinta de zero</w:t>
      </w:r>
      <w:r>
        <w:rPr>
          <w:rStyle w:val="FootnoteReference"/>
        </w:rPr>
        <w:footnoteReference w:id="119"/>
      </w:r>
      <w:r>
        <w:t xml:space="preserve">. Uma reta, porém, descreve mal a série. No estudo de evento — a penalidade de cada ano contra a de 2019, com efeito fixo de bairro e erro agrupado por UPA, nível que difere do M3 por comparar só vizinhos —, ela oscilou sem tendência de 2016 a 2019 e caiu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 (1</w:t>
      </w:r>
      <w:r>
        <w:t xml:space="preserve">,</w:t>
      </w:r>
      <w:r>
        <w:t xml:space="preserve">0 log-ponto acima da tendência anterior,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004</m:t>
        </m:r>
      </m:oMath>
      <w:r>
        <w:t xml:space="preserve">), sem voltar depois: em 2025 era de 5</w:t>
      </w:r>
      <w:r>
        <w:t xml:space="preserve">,</w:t>
      </w:r>
      <w:r>
        <w:t xml:space="preserve">2%. A queda não reflete a saída dos negros de menor renda do emprego: a ocupação deles caiu só 0</w:t>
      </w:r>
      <w:r>
        <w:t xml:space="preserve">,</w:t>
      </w:r>
      <w:r>
        <w:t xml:space="preserve">26 ponto percentual a mais que a dos brancos em 2020, dentro da tendência anterior, e passou a crescer mais que a deles a partir de 2022, quando a penalidade seguia menor. Também não reflete a entrevista por telefone, adotada pelo IBGE em 2020 e 2021: a penalidade menor persistiu depois da volta da coleta presencial. Sem grupo de controle, a série não identifica a causa do degrau; ela mostra que a década não teve um ritmo de convergência a extrapolar, e que os resultados agrupados de 2016–2025 são uma média dos dois patamares. Nada disso trivializa os avanços recentes em políticas de cotas e de acesso ao ensino superior. Diz, sim, que reformas no campo educacional, sem intervenção simultânea nos mecanismos de segregação residencial e de acesso às ocupações, são insuficientes — que é precisamente o que a sequência de modelos deste trabalho mostrou.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 Lei 15.142/2025, que substituiu a Lei 12.990/2014 e ampliou a reserva de vagas em concursos públicos federais a pessoas negras, indígenas e quilombolas,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6,1% — e a penalidade de 5,6% que persiste dentro da mesma ocupação —</w:t>
      </w:r>
      <w:r>
        <w:t xml:space="preserve"> </w:t>
      </w:r>
      <w:r>
        <w:t xml:space="preserve">justifica reforçar.</w:t>
      </w:r>
    </w:p>
    <w:bookmarkEnd w:id="120"/>
    <w:bookmarkStart w:id="162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chances (</w:t>
      </w:r>
      <w:r>
        <w:rPr>
          <w:i/>
          <w:iCs/>
        </w:rPr>
        <w:t xml:space="preserve">odds</w:t>
      </w:r>
      <w:r>
        <w:t xml:space="preserve">) cerca de 19% menores de ocupar um cargo qualificado e</w:t>
      </w:r>
      <w:r>
        <w:t xml:space="preserve"> </w:t>
      </w:r>
      <w:r>
        <w:t xml:space="preserve">24% menores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A última década não autoriza esperar: a penalidade caiu sobretudo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9%, e não mostrou um ritmo de convergência a extrapolar.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 6,1% a menos e tem chances 19% menores de chegar a um cargo qualificado. O diploma quase iguala o salário, mas não abre a porta.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10,5% (sem efeito de bairro),</w:t>
      </w:r>
      <w:r>
        <w:t xml:space="preserve"> </w:t>
      </w:r>
      <w:r>
        <w:t xml:space="preserve">decompõe-se em três parcelas: (i) mediação de 39,5%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6,1%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4,5% pelo acesso desigual a grupos CBO de alta</w:t>
      </w:r>
      <w:r>
        <w:t xml:space="preserve"> </w:t>
      </w:r>
      <w:r>
        <w:t xml:space="preserve">remuneração; e (iii) penalidade de 5,6%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769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,</m:t>
        </m:r>
        <m:r>
          <m:t>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61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mantém importância</w:t>
      </w:r>
      <w:r>
        <w:t xml:space="preserve"> </w:t>
      </w:r>
      <w:r>
        <w:t xml:space="preserve">preditiva não desprezível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—; uma correção de seleção à Heckman, que exigiria uma variável de</w:t>
      </w:r>
      <w:r>
        <w:t xml:space="preserve"> </w:t>
      </w:r>
      <w:r>
        <w:t xml:space="preserve">exclusão crível (algo que afete estar ocupado sem afetar o salário), fica como extensão</w:t>
      </w:r>
      <w:r>
        <w:t xml:space="preserve"> </w:t>
      </w:r>
      <w:r>
        <w:t xml:space="preserve">e não é estimada aqui.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 e formalidade são desfechos da</w:t>
      </w:r>
      <w:r>
        <w:t xml:space="preserve"> </w:t>
      </w:r>
      <w:r>
        <w:t xml:space="preserve">própria discriminação; a jornada, não: com renda mensal, ela é controle necessário</w:t>
      </w:r>
      <w:r>
        <w:t xml:space="preserve"> </w:t>
      </w:r>
      <w:r>
        <w:t xml:space="preserve">e entra nas duas especificações da Oaxaca–Blinder — no modelo de acesso, só no</w:t>
      </w:r>
      <w:r>
        <w:t xml:space="preserve"> </w:t>
      </w:r>
      <w:r>
        <w:t xml:space="preserve">degrau de limite inferior.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Uma média de bairro que inclui o próprio indivíduo é</w:t>
      </w:r>
      <w:r>
        <w:t xml:space="preserve"> </w:t>
      </w:r>
      <w:r>
        <w:t xml:space="preserve">mecanicamente informativa sobre ele — a raça da pessoa entraria no % de negros do</w:t>
      </w:r>
      <w:r>
        <w:t xml:space="preserve"> </w:t>
      </w:r>
      <w:r>
        <w:t xml:space="preserve">seu bairro. Por isso todas as médias de contexto, de UPA e de UF, são calculadas sem a</w:t>
      </w:r>
      <w:r>
        <w:t xml:space="preserve"> </w:t>
      </w:r>
      <w:r>
        <w:t xml:space="preserve">própria observação (</w:t>
      </w:r>
      <w:r>
        <w:rPr>
          <w:i/>
          <w:iCs/>
        </w:rPr>
        <w:t xml:space="preserve">leave-one-out</w:t>
      </w:r>
      <w:r>
        <w:t xml:space="preserve">), e a renda média do bairro, a mais exposta ao</w:t>
      </w:r>
      <w:r>
        <w:t xml:space="preserve"> </w:t>
      </w:r>
      <w:r>
        <w:t xml:space="preserve">problema, fica fora dos modelos estatísticos e só entra como preditor no XGBoost. Isso remove o reflexo mecânico, mas choques</w:t>
      </w:r>
      <w:r>
        <w:t xml:space="preserve"> </w:t>
      </w:r>
      <w:r>
        <w:t xml:space="preserve">comuns ao bairro ainda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cerca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</w:t>
      </w:r>
      <w:r>
        <w:t xml:space="preserve">,</w:t>
      </w:r>
      <w:r>
        <w:t xml:space="preserve">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 Também fica</w:t>
      </w:r>
      <w:r>
        <w:t xml:space="preserve"> </w:t>
      </w:r>
      <w:r>
        <w:t xml:space="preserve">como agenda o uso de texto livre: a PNAD divulga ocupação e atividade já codificadas</w:t>
      </w:r>
      <w:r>
        <w:t xml:space="preserve"> </w:t>
      </w:r>
      <w:r>
        <w:t xml:space="preserve">(CBO e CNAE Domiciliar), sem o relato aberto da entrevista, de modo que técnicas de</w:t>
      </w:r>
      <w:r>
        <w:t xml:space="preserve"> </w:t>
      </w:r>
      <w:r>
        <w:t xml:space="preserve">processamento de linguagem natural não têm aqui onde se aplicar. Bases que associam</w:t>
      </w:r>
      <w:r>
        <w:t xml:space="preserve"> </w:t>
      </w:r>
      <w:r>
        <w:t xml:space="preserve">texto a indivíduos — descrições de cargo em registros administrativos, anúncios de</w:t>
      </w:r>
      <w:r>
        <w:t xml:space="preserve"> </w:t>
      </w:r>
      <w:r>
        <w:t xml:space="preserve">vaga e currículos, como nos experimentos de auditoria</w:t>
      </w:r>
      <w:r>
        <w:t xml:space="preserve"> </w:t>
      </w:r>
      <w:r>
        <w:t xml:space="preserve">(Pager, 2007)</w:t>
      </w:r>
      <w:r>
        <w:t xml:space="preserve"> </w:t>
      </w:r>
      <w:r>
        <w:t xml:space="preserve">— permitiriam</w:t>
      </w:r>
      <w:r>
        <w:t xml:space="preserve"> </w:t>
      </w:r>
      <w:r>
        <w:t xml:space="preserve">medir o conteúdo das funções e a triagem na contratação, que os códigos ocupacionais</w:t>
      </w:r>
      <w:r>
        <w:t xml:space="preserve"> </w:t>
      </w:r>
      <w:r>
        <w:t xml:space="preserve">não captam. A descrição oficial dos códigos não supriria essa lacuna: seria a</w:t>
      </w:r>
      <w:r>
        <w:t xml:space="preserve"> </w:t>
      </w:r>
      <w:r>
        <w:t xml:space="preserve">ocupação de novo, um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no modelo de rendimento e o próprio desfecho</w:t>
      </w:r>
      <w:r>
        <w:t xml:space="preserve"> </w:t>
      </w:r>
      <w:r>
        <w:t xml:space="preserve">no de acesso. Fica ainda como agenda relacionar a penalidade estimada em cada estado</w:t>
      </w:r>
      <w:r>
        <w:t xml:space="preserve"> </w:t>
      </w:r>
      <w:r>
        <w:t xml:space="preserve">à presença de pretos e pardos nos cargos eletivos, que a Justiça Eleitoral registra</w:t>
      </w:r>
      <w:r>
        <w:t xml:space="preserve"> </w:t>
      </w:r>
      <w:r>
        <w:t xml:space="preserve">por cor ou raça desde 2014: a sub-representação negra no comando político seria a</w:t>
      </w:r>
      <w:r>
        <w:t xml:space="preserve"> </w:t>
      </w:r>
      <w:r>
        <w:t xml:space="preserve">face institucional do teto de vidro aqui medido</w:t>
      </w:r>
      <w:r>
        <w:t xml:space="preserve"> </w:t>
      </w:r>
      <w:r>
        <w:t xml:space="preserve">(Almeida, 2019)</w:t>
      </w:r>
      <w:r>
        <w:t xml:space="preserve">, mas, com uma</w:t>
      </w:r>
      <w:r>
        <w:t xml:space="preserve"> </w:t>
      </w:r>
      <w:r>
        <w:t xml:space="preserve">observação por estado, a comparação seria apenas ecológica.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60" w:name="refs"/>
    <w:bookmarkStart w:id="121" w:name="ref-alencar2026a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a2026.</w:t>
      </w:r>
    </w:p>
    <w:bookmarkEnd w:id="121"/>
    <w:bookmarkStart w:id="122" w:name="ref-alencar2026b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b2026.</w:t>
      </w:r>
    </w:p>
    <w:bookmarkEnd w:id="122"/>
    <w:bookmarkStart w:id="123" w:name="ref-alencar2026c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III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c2026.</w:t>
      </w:r>
    </w:p>
    <w:bookmarkEnd w:id="123"/>
    <w:bookmarkStart w:id="124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124"/>
    <w:bookmarkStart w:id="125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125"/>
    <w:bookmarkStart w:id="126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126"/>
    <w:bookmarkStart w:id="127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127"/>
    <w:bookmarkStart w:id="128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128"/>
    <w:bookmarkStart w:id="129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129"/>
    <w:bookmarkStart w:id="130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130"/>
    <w:bookmarkStart w:id="131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131"/>
    <w:bookmarkStart w:id="133" w:name="ref-chen2016"/>
    <w:p>
      <w:pPr>
        <w:pStyle w:val="Bibliography"/>
      </w:pPr>
      <w:r>
        <w:t xml:space="preserve">CHEN, Tianqi; GUESTRIN, Carlos.</w:t>
      </w:r>
      <w:r>
        <w:t xml:space="preserve"> </w:t>
      </w:r>
      <w:hyperlink r:id="rId132">
        <w:r>
          <w:rPr>
            <w:rStyle w:val="Hyperlink"/>
          </w:rPr>
          <w:t xml:space="preserve">XGBoost</w:t>
        </w:r>
        <w:r>
          <w:rPr>
            <w:rStyle w:val="Hyperlink"/>
          </w:rPr>
          <w:t xml:space="preserve">: A Scalable Tree Boosting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</w:t>
      </w:r>
      <w:r>
        <w:t xml:space="preserve">:</w:t>
      </w:r>
      <w:r>
        <w:t xml:space="preserve"> </w:t>
      </w:r>
      <w:r>
        <w:rPr>
          <w:b/>
          <w:bCs/>
        </w:rPr>
        <w:t xml:space="preserve">Proceedings of the 22nd ACM SIGKDD International Conference on Knowledge Discovery and Data Mining</w:t>
      </w:r>
      <w:r>
        <w:t xml:space="preserve">. San Francisco: ACM, 2016. p. 785–794.</w:t>
      </w:r>
    </w:p>
    <w:bookmarkEnd w:id="133"/>
    <w:bookmarkStart w:id="134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134"/>
    <w:bookmarkStart w:id="135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135"/>
    <w:bookmarkStart w:id="136" w:name="ref-favero2024"/>
    <w:p>
      <w:pPr>
        <w:pStyle w:val="Bibliography"/>
      </w:pPr>
      <w:r>
        <w:t xml:space="preserve">FÁVERO, Luiz Paulo; BELFIORE, Patrícia.</w:t>
      </w:r>
      <w:r>
        <w:t xml:space="preserve"> </w:t>
      </w:r>
      <w:r>
        <w:rPr>
          <w:b/>
          <w:bCs/>
        </w:rPr>
        <w:t xml:space="preserve">Manual de Análise de Dados: estatística e machine learning com Excel, SPSS, Stata, R e Python</w:t>
      </w:r>
      <w:r>
        <w:t xml:space="preserve">. 2. ed. Rio de Janeiro: GEN LTC, 2024.</w:t>
      </w:r>
    </w:p>
    <w:bookmarkEnd w:id="136"/>
    <w:bookmarkStart w:id="137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37"/>
    <w:bookmarkStart w:id="138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38"/>
    <w:bookmarkStart w:id="139" w:name="ref-geron2021"/>
    <w:p>
      <w:pPr>
        <w:pStyle w:val="Bibliography"/>
      </w:pPr>
      <w:r>
        <w:t xml:space="preserve">GÉRON, Aurélien.</w:t>
      </w:r>
      <w:r>
        <w:t xml:space="preserve"> </w:t>
      </w:r>
      <w:r>
        <w:rPr>
          <w:b/>
          <w:bCs/>
        </w:rPr>
        <w:t xml:space="preserve">Mãos à obra: aprendizado de máquina com Scikit-Learn, Keras &amp; TensorFlow: conceitos, ferramentas e técnicas para a construção de sistemas inteligentes</w:t>
      </w:r>
      <w:r>
        <w:t xml:space="preserve">. Tradução: Cibelle Ravaglia. 2. ed. Rio de Janeiro: Alta Books, 2021.</w:t>
      </w:r>
    </w:p>
    <w:bookmarkEnd w:id="139"/>
    <w:bookmarkStart w:id="140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40"/>
    <w:bookmarkStart w:id="141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41"/>
    <w:bookmarkStart w:id="142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42"/>
    <w:bookmarkStart w:id="143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43"/>
    <w:bookmarkStart w:id="144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44"/>
    <w:bookmarkStart w:id="145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45"/>
    <w:bookmarkStart w:id="146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46"/>
    <w:bookmarkStart w:id="147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47"/>
    <w:bookmarkStart w:id="148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48"/>
    <w:bookmarkStart w:id="149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49"/>
    <w:bookmarkStart w:id="150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50"/>
    <w:bookmarkStart w:id="151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51"/>
    <w:bookmarkStart w:id="152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52"/>
    <w:bookmarkStart w:id="153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53"/>
    <w:bookmarkStart w:id="154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54"/>
    <w:bookmarkStart w:id="155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55"/>
    <w:bookmarkStart w:id="156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56"/>
    <w:bookmarkStart w:id="158" w:name="ref-wilm2026"/>
    <w:p>
      <w:pPr>
        <w:pStyle w:val="Bibliography"/>
      </w:pPr>
      <w:r>
        <w:t xml:space="preserve">WILM, Melissa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Índice de Progresso Social Brasil 2026: resumo executivo</w:t>
      </w:r>
      <w:r>
        <w:t xml:space="preserve">. Belém: Imazon, 2026. Disponível em: &lt;</w:t>
      </w:r>
      <w:hyperlink r:id="rId157">
        <w:r>
          <w:rPr>
            <w:rStyle w:val="Hyperlink"/>
          </w:rPr>
          <w:t xml:space="preserve">https://imazon.org.br/relatorios/indice-de-progresso-social-brasil-2026</w:t>
        </w:r>
      </w:hyperlink>
      <w:r>
        <w:t xml:space="preserve">&gt;.</w:t>
      </w:r>
    </w:p>
    <w:bookmarkEnd w:id="158"/>
    <w:bookmarkStart w:id="159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59"/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</m:t>
        </m:r>
      </m:oMath>
      <w:r>
        <w:t xml:space="preserve"> </w:t>
      </w:r>
      <w:r>
        <w:t xml:space="preserve">(variância entre</w:t>
      </w:r>
      <w:r>
        <w:t xml:space="preserve"> </w:t>
      </w:r>
      <w:r>
        <w:t xml:space="preserve">bairros) 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5524</m:t>
        </m:r>
      </m:oMath>
      <w:r>
        <w:t xml:space="preserve"> </w:t>
      </w:r>
      <w:r>
        <w:t xml:space="preserve">(variância entre pessoas do mesmo bairro),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, IC 95%: [−0,0679; −0,0658].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cai de 0,1012 para</w:t>
      </w:r>
      <w:r>
        <w:t xml:space="preserve"> </w:t>
      </w:r>
      <w:r>
        <w:t xml:space="preserve">0,0454;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29.811,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de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: [−0,0639; −0,0619]. O ICC cai para 0,076 e os controles acumulados explicam</w:t>
      </w:r>
      <w:r>
        <w:t xml:space="preserve"> </w:t>
      </w:r>
      <w:r>
        <w:t xml:space="preserve">90,1% da variância entre bairros do M0; a escada completa está nas linhas</w:t>
      </w:r>
      <w:r>
        <w:t xml:space="preserve"> </w:t>
      </w:r>
      <w:r>
        <w:t xml:space="preserve">inferiores da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Estimado com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sobre a mesma população. A especificação do trabalho continua sendo a de dois níveis: 27 estados são poucos para estimar uma variância com precisão, e o efeito fixo absorve o contexto estadual sem hipótese distribucional. O ponto desta checagem é outro: o coeficiente racial não depende dessa escolha — vale −0,0629 com a UF como efeito fixo e −0,0629 com a UF como nível aleatório.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, componente de variância da inclinação</w:t>
      </w:r>
      <w:r>
        <w:t xml:space="preserve"> </w:t>
      </w:r>
      <w:r>
        <w:t xml:space="preserve">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Profundidade 10, com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6435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0006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0,6294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0,0006 da profundidade 6 de referência, sobre</w:t>
      </w:r>
      <w:r>
        <w:t xml:space="preserve"> </w:t>
      </w:r>
      <w:r>
        <w:t xml:space="preserve">6.159.418 observações de treino.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População completa,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, com 80% para</w:t>
      </w:r>
      <w:r>
        <w:t xml:space="preserve"> </w:t>
      </w:r>
      <w:r>
        <w:t xml:space="preserve">treino e 20% para teste; o mesmo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aparece no Random Forest.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15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27 variáveis no modelo sem renda de vizinhança, contra</w:t>
      </w:r>
      <w:r>
        <w:t xml:space="preserve"> </w:t>
      </w:r>
      <w:r>
        <w:t xml:space="preserve">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28 no modelo completo.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Contribuição média da variável racial à previsão, com sinal: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0241</m:t>
        </m:r>
      </m:oMath>
      <w:r>
        <w:t xml:space="preserve"> </w:t>
      </w:r>
      <w:r>
        <w:t xml:space="preserve">log-pontos entre os negros 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0299</m:t>
        </m:r>
      </m:oMath>
      <w:r>
        <w:t xml:space="preserve"> </w:t>
      </w:r>
      <w:r>
        <w:t xml:space="preserve">entre os brancos (XGBoost,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shap_negro_por_grupo.csv</w:t>
      </w:r>
      <w:r>
        <w:t xml:space="preserve">). A média de um</w:t>
      </w:r>
      <w:r>
        <w:t xml:space="preserve"> </w:t>
      </w:r>
      <w:r>
        <w:t xml:space="preserve">grupo mede o desvio em relação à previsão média da base, que mistura os dois; o</w:t>
      </w:r>
      <w:r>
        <w:t xml:space="preserve"> </w:t>
      </w:r>
      <w:r>
        <w:t xml:space="preserve">que corresponde ao coeficiente racial das regressões é o contraste entre elas.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nAGQ = 0</w:t>
      </w:r>
      <w:r>
        <w:t xml:space="preserve"> </w:t>
      </w:r>
      <w:r>
        <w:t xml:space="preserve">— os efeitos fixos são estimados</w:t>
      </w:r>
      <w:r>
        <w:t xml:space="preserve"> </w:t>
      </w:r>
      <w:r>
        <w:t xml:space="preserve">junto com os modos condicionais, aproximação mais rápida que a de Laplace e adequada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 —, sobre a população completa.</w:t>
      </w:r>
      <w:r>
        <w:t xml:space="preserve"> </w:t>
      </w:r>
      <w:r>
        <w:t xml:space="preserve">Os degraus são: A1 individual; A2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contexto do bairro; A3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vínculo (formalidade,</w:t>
      </w:r>
      <w:r>
        <w:t xml:space="preserve"> </w:t>
      </w:r>
      <w:r>
        <w:t xml:space="preserve">setor público, conta própria, doméstico), que é desfecho da própria discriminação e por</w:t>
      </w:r>
      <w:r>
        <w:t xml:space="preserve"> </w:t>
      </w:r>
      <w:r>
        <w:t xml:space="preserve">isso faz do A3 um limite inferior; A4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, o ajuste e a classificação.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Correlação intraclasse latente do M1:</w:t>
      </w:r>
      <w:r>
        <w:t xml:space="preserve"> </w:t>
      </w:r>
      <w:r>
        <w:t xml:space="preserve">0,087 para o cargo qualificado e 0,221 para o top 10%,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 O teste de razão de verossimilhança contra o logit sem</w:t>
      </w:r>
      <w:r>
        <w:t xml:space="preserve"> </w:t>
      </w:r>
      <w:r>
        <w:t xml:space="preserve">efeito aleatório dá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77.940 para o cargo e 80.791 para o top 10%</w:t>
      </w:r>
      <w:r>
        <w:t xml:space="preserve"> </w:t>
      </w:r>
      <w:r>
        <w:t xml:space="preserve">(1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</w:t>
      </w:r>
    </w:p>
  </w:footnote>
  <w:footnote w:id="9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0,810–0,818.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abaixo de 1 é</w:t>
      </w:r>
      <w:r>
        <w:t xml:space="preserve"> </w:t>
      </w:r>
      <w:r>
        <w:t xml:space="preserve">desvantagem; acima de 1, vantagem.</w:t>
      </w:r>
    </w:p>
  </w:footnote>
  <w:footnote w:id="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AUC de 0,878 com</w:t>
      </w:r>
      <w:r>
        <w:t xml:space="preserve"> </w:t>
      </w:r>
      <w:r>
        <w:t xml:space="preserve">efeitos aleatórios e 0,870 só com efeitos fixos, para o cargo qualificado;</w:t>
      </w:r>
      <w:r>
        <w:t xml:space="preserve"> </w:t>
      </w:r>
      <w:r>
        <w:t xml:space="preserve">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(0,30), sensibilidade 0,79 e</w:t>
      </w:r>
      <w:r>
        <w:t xml:space="preserve"> </w:t>
      </w:r>
      <w:r>
        <w:t xml:space="preserve">especificidade 0,79. O teste de Hosmer–Lemeshow rejeita a calibração</w:t>
      </w:r>
      <w:r>
        <w:t xml:space="preserve"> </w:t>
      </w:r>
      <w:r>
        <w:t xml:space="preserve">perfeita em todos os degraus — inevitável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</w:t>
      </w:r>
      <w:r>
        <w:t xml:space="preserve"> </w:t>
      </w:r>
      <w:r>
        <w:t xml:space="preserve">(Angrist; Pischke, 2009)</w:t>
      </w:r>
      <w:r>
        <w:t xml:space="preserve"> </w:t>
      </w:r>
      <w:r>
        <w:t xml:space="preserve">—,</w:t>
      </w:r>
      <w:r>
        <w:t xml:space="preserve"> </w:t>
      </w:r>
      <w:r>
        <w:t xml:space="preserve">mas a estatística cai 69% no top 20% e 54% no top 10%, embora suba no cargo qualificado ao se acrescentar o vínculo (A3).</w:t>
      </w:r>
    </w:p>
  </w:footnote>
  <w:footnote w:id="10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GLMM de acesso reespecificado com</w:t>
      </w:r>
      <w:r>
        <w:t xml:space="preserve"> </w:t>
      </w:r>
      <w:r>
        <w:rPr>
          <w:rStyle w:val="VerbatimChar"/>
        </w:rPr>
        <w:t xml:space="preserve">grupo_rg</w:t>
      </w:r>
      <w:r>
        <w:t xml:space="preserve"> </w:t>
      </w:r>
      <w:r>
        <w:t xml:space="preserve">(homem branco como</w:t>
      </w:r>
      <w:r>
        <w:t xml:space="preserve"> </w:t>
      </w:r>
      <w:r>
        <w:t xml:space="preserve">referência, mulher branca, homem negro, mulher 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ocupação qualificada (CBO 1–4),</w:t>
      </w:r>
      <w:r>
        <w:t xml:space="preserve"> </w:t>
      </w:r>
      <w:r>
        <w:t xml:space="preserve">renda no top 20% e no top 10%.</w:t>
      </w:r>
    </w:p>
  </w:footnote>
  <w:footnote w:id="1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 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no top 10%): a penalidade racial é um pouco menor entre</w:t>
      </w:r>
      <w:r>
        <w:t xml:space="preserve"> </w:t>
      </w:r>
      <w:r>
        <w:t xml:space="preserve">mulheres do que entre homens, o que atenua a soma sem desfazê-la.</w:t>
      </w:r>
    </w:p>
  </w:footnote>
  <w:footnote w:id="1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Calculado sobre a população completa da PEA com renda positiva. Dos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66</m:t>
        </m:r>
      </m:oMath>
      <w:r>
        <w:t xml:space="preserve"> </w:t>
      </w:r>
      <w:r>
        <w:t xml:space="preserve">(CBO: Profissionais); 0 variáveis críticas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0 variáveis altas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6 variáveis moderadas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17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Índice de Perda de Qualidade de Vida (IPQV; quanto maior, pior) de 0</w:t>
      </w:r>
      <w:r>
        <w:t xml:space="preserve">,</w:t>
      </w:r>
      <w:r>
        <w:t xml:space="preserve">183 para chefes pretos ou pardos, contra 0</w:t>
      </w:r>
      <w:r>
        <w:t xml:space="preserve">,</w:t>
      </w:r>
      <w:r>
        <w:t xml:space="preserve">122 para brancos;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 em 2025</w:t>
      </w:r>
      <w:r>
        <w:t xml:space="preserve"> </w:t>
      </w:r>
      <w:r>
        <w:t xml:space="preserve">(IBGE, 2019, 2025)</w:t>
      </w:r>
      <w:r>
        <w:t xml:space="preserve">.</w:t>
      </w:r>
    </w:p>
  </w:footnote>
  <w:footnote w:id="1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 Gini estimado neste trabalho refere-se ao rendimento do trabalho entre ocupados (em torno de 0</w:t>
      </w:r>
      <w:r>
        <w:t xml:space="preserve">,</w:t>
      </w:r>
      <w:r>
        <w:t xml:space="preserve">47), ao passo que o do IBGE é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e de todas as fontes. Os níveis são próximos, mas as medidas podem divergir em tendência: a alta de 2025 é puxada por renda não-trabalho do topo, que não transita pelo rendimento dos ocupados.</w:t>
      </w:r>
    </w:p>
  </w:footnote>
  <w:footnote w:id="1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000928</m:t>
        </m:r>
      </m:oMath>
      <w:r>
        <w:t xml:space="preserve"> </w:t>
      </w:r>
      <w:r>
        <w:t xml:space="preserve">log-ponto por ano, IC 95%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000133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001723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, por mínimos quadrados ponderados sobre 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do M3 estimado ano a ano, 2016–2025.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hyperlink" Id="rId132" Target="https://doi.org/10.1145/2939672.2939785" TargetMode="External" /><Relationship Type="http://schemas.openxmlformats.org/officeDocument/2006/relationships/hyperlink" Id="rId157" Target="https://imazon.org.br/relatorios/indice-de-progresso-social-brasil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145/2939672.2939785" TargetMode="External" /><Relationship Type="http://schemas.openxmlformats.org/officeDocument/2006/relationships/hyperlink" Id="rId157" Target="https://imazon.org.br/relatorios/indice-de-progresso-social-brasil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2026-10-05T22:24:41Z</dcterms:created>
  <dcterms:modified xsi:type="dcterms:W3CDTF">2026-10-05T22:24:41Z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