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800" w:after="120"/>
        <w:jc w:val="center"/>
      </w:pPr>
      <w:r>
        <w:rPr>
          <w:rFonts w:ascii="Calibri" w:hAnsi="Calibri"/>
          <w:b/>
          <w:i w:val="0"/>
          <w:color w:val="1F3864"/>
          <w:sz w:val="40"/>
        </w:rPr>
        <w:t>GUIA DE ESTUDO PARA DEFESA DE TCC</w:t>
      </w:r>
    </w:p>
    <w:p>
      <w:pPr>
        <w:spacing w:before="0" w:after="120"/>
        <w:jc w:val="center"/>
      </w:pPr>
      <w:r>
        <w:rPr>
          <w:rFonts w:ascii="Calibri" w:hAnsi="Calibri"/>
          <w:b w:val="0"/>
          <w:i/>
          <w:color w:val="444444"/>
          <w:sz w:val="28"/>
        </w:rPr>
        <w:t>Racismo Estrutural e Mercado de Trabalho no Brasil</w:t>
      </w:r>
    </w:p>
    <w:p>
      <w:pPr>
        <w:spacing w:before="0" w:after="400"/>
        <w:jc w:val="center"/>
      </w:pPr>
      <w:r>
        <w:rPr>
          <w:rFonts w:ascii="Calibri" w:hAnsi="Calibri"/>
          <w:b w:val="0"/>
          <w:i w:val="0"/>
          <w:color w:val="666666"/>
          <w:sz w:val="22"/>
        </w:rPr>
        <w:t>Ricardo Calheiros  |  MBA USP/ESALQ  |  2026</w:t>
      </w:r>
    </w:p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240"/>
        <w:jc w:val="left"/>
      </w:pPr>
      <w:r>
        <w:rPr>
          <w:rFonts w:ascii="Calibri" w:hAnsi="Calibri"/>
          <w:b w:val="0"/>
          <w:i w:val="0"/>
          <w:sz w:val="22"/>
        </w:rPr>
        <w:t>Este guia tem dois objetivos: (1) indicar o que ler de cada obra citada no TCC antes da defesa, com priorização por risco de pergunta da banca; e (2) oferecer uma interpretação detalhada de cada gráfico produzido, incluindo o que dizer se você for questionado sobre ele durante a apresentação.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1 — ROTEIRO DE LEITURAS PRIORITÁRIAS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3864"/>
          <w:sz w:val="26"/>
        </w:rPr>
        <w:t>Como acessar as obras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Portal CAPES (gratuito com vínculo USP/ESALQ): periodicos.capes.gov.br — login com CPF USP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Google Scholar: busque título completo + nome do autor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Sci-Hub: para artigos pagos — cole o DOI ou título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LibGen: para livros — busque autor + título</w:t>
      </w:r>
    </w:p>
    <w:p/>
    <w:p>
      <w:pPr>
        <w:pStyle w:val="Heading2"/>
      </w:pPr>
      <w:r>
        <w:rPr>
          <w:rFonts w:ascii="Calibri" w:hAnsi="Calibri"/>
          <w:color w:val="1F3864"/>
        </w:rPr>
        <w:t>1.1  Prioridade 1 — Você será perguntado sobre estas obras</w:t>
      </w:r>
    </w:p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RAUDENBUSH, S. W.; BRYK, A. S. (2002). Hierarchical Linear Models. 2. ed. Thousand Oaks: SAGE.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crítica: você cita o limiar de ICC=5% e usa a nomenclatura M0–M4 diretamente deste livro.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Capítulo 2 (conceito de ICC, decomposição da variância entre e dentro dos grupos) e Capítulo 4 (modelos de intercepto e inclinação aleatória). Aproximadamente 40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Número específico a verificar: a regra prática de ICC &gt; 0,05 como justificativa para HLM está no Capítulo 2, seção 'Intraclass Correlation'.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 da banca: 'Por que 5% é o limiar para o ICC?' — Resposta: convenção de Raudenbush &amp; Bryk (2002) amplamente adotada na literatura educacional e econômica; no seu caso o ICC é 9,83%, bem acima do limiar.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HSIEH, C-T.; HURST, E.; JONES, C. I.; KLENOW, P. J. (2019). The Allocation of Talent and U.S. Economic Growth. Econometrica, v. 87, n. 5, p. 1439-1474.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crítica: você usa o argumento de que eliminar barreiras ocupacionais = ganho de produtividade (+127,3% renda negra, proxy +74,3 p.p. de PIB).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Abstract (2 parágrafos) + Introduction (pp. 1–6) + Tabela 1 (resultados principais) + Conclusion (pp. 38–40). O artigo completo tem 40 páginas mas as seções indicadas são suficientes para a defesa.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Achado central a memorizar: barreiras à entrada de mulheres e negros em ocupações de alta qualificação explicam 40% do crescimento da PTF dos EUA entre 1960 e 2010.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provável: 'Qual a diferença entre o resultado deles e o seu?' — Resposta: eles estimam PTF com modelo de equilíbrio geral; seu proxy é mais conservador (diferença de renda × participação na força de trabalho), o que justifica usá-lo como lower bound.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OAXACA, R. (1973). Male-Female Wage Differentials in Urban Labor Markets. International Economic Review, v. 14, n. 3, p. 693-709.</w:t>
      </w:r>
    </w:p>
    <w:p>
      <w:pPr>
        <w:spacing w:before="0" w:after="120"/>
        <w:jc w:val="left"/>
      </w:pPr>
      <w:r>
        <w:rPr>
          <w:rFonts w:ascii="Calibri" w:hAnsi="Calibri"/>
          <w:b/>
          <w:i w:val="0"/>
          <w:sz w:val="22"/>
        </w:rPr>
        <w:t>BLINDER, A. S. (1973). Wage Discrimination: Reduced Form and Structural Estimates. Journal of Human Resources, v. 8, n. 4, p. 436-455.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são críticos: você usa a decomposição deles e escolheu a formulação two-fold (dotações + retornos) em vez da three-fold.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em cada artigo, leia apenas a seção onde a decomposição é formalizada (~4–6 páginas). Cada artigo tem ~15 páginas no total.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Diferença entre os dois: Oaxaca usa o grupo masculino como referência; Blinder usa uma média ponderada. Sua implementação usou brancos como grupo de referência.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provável: 'Por que two-fold e não three-fold?' — Resposta: na decomposição three-fold, o terceiro componente (interação) não tem interpretação econômica clara em contextos de discriminação racial; a literatura de economics of discrimination prefere two-fold (Fortin, Lemieux &amp; Firpo, 2011).</w:t>
      </w:r>
    </w:p>
    <w:p/>
    <w:p>
      <w:pPr>
        <w:pStyle w:val="Heading2"/>
      </w:pPr>
      <w:r>
        <w:rPr>
          <w:rFonts w:ascii="Calibri" w:hAnsi="Calibri"/>
          <w:color w:val="1F3864"/>
        </w:rPr>
        <w:t>1.2  Prioridade 2 — Risco moderado</w:t>
      </w:r>
    </w:p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BURT, R. S. (2004). Structural Holes and Good Ideas. American Journal of Sociology, v. 110, n. 2, p. 349-399.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relevante: fundamenta a análise de betweenness centrality na SNA e o argumento de que negros têm betweenness=0 mesmo com pós-graduação.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Introduction (pp. 349–355) + seção 'Network Constraint and Brokerage' (pp. 355–370). São ~20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Conceito-chave: structural hole = posição de broker entre grupos que não se conectam diretamente. Alta betweenness = acesso antecipado a informação e oportunidades.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WILSON, W. J. (1987). The Truly Disadvantaged: The Inner City, the Underclass, and Public Policy. Chicago: University of Chicago Press.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relevante: justifica o uso da UPA como proxy de bairro e o argumento de que o local de moradia explica parte do gap salarial.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Capítulo 1 (tese central do efeito de vizinhança) e Capítulo 7 (implicações de política). São ~40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Tese central: concentração de pobreza em bairros segregados cria isolamento de redes profissionais — reforça o argumento da UPA como mediadora.</w:t>
      </w:r>
    </w:p>
    <w:p/>
    <w:p>
      <w:pPr>
        <w:pStyle w:val="Heading2"/>
      </w:pPr>
      <w:r>
        <w:rPr>
          <w:rFonts w:ascii="Calibri" w:hAnsi="Calibri"/>
          <w:color w:val="1F3864"/>
        </w:rPr>
        <w:t>1.3  Prioridade 3 — Leia se sobrar tempo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MOINEDDIN, R. et al. (2007). A simulation study of sample size for multilevel logistic regression models. BMC Medical Research Methodology, v. 7, n. 34.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Justifica o uso de logit multinível como aproximação válida mesmo sem GLMM completo. Leia apenas Abstract + Discussion (~3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CHEN, T.; GUESTRIN, C. (2016). XGBoost: A Scalable Tree Boosting System. Proceedings of KDD 2016.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Base técnica do ML/SHAP. Leia Abstract + seção de 'Gain Importance' (~5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LUNDBERG, S.; LEE, S-I. (2017). A Unified Approach to Interpreting Model Predictions. NeurIPS 2017.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Fundamenta os SHAP values. Leia Introduction + Figure 1 (~4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FORTIN, N.; LEMIEUX, T.; FIRPO, S. (2011). Decomposition Methods in Economics. Handbook of Labor Economics, v. 4A.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Survey sobre decomposições salariais. Leia seção 3 (Oaxaca-Blinder, ~15 páginas). Justifica a escolha two-fold.</w:t>
      </w:r>
    </w:p>
    <w:p/>
    <w:p>
      <w:pPr>
        <w:pStyle w:val="Heading2"/>
      </w:pPr>
      <w:r>
        <w:rPr>
          <w:rFonts w:ascii="Calibri" w:hAnsi="Calibri"/>
          <w:color w:val="1F3864"/>
        </w:rPr>
        <w:t>1.4  Cronograma sugerido (1 semana antes da defesa)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1: </w:t>
      </w:r>
      <w:r>
        <w:rPr>
          <w:rFonts w:ascii="Calibri" w:hAnsi="Calibri"/>
          <w:b w:val="0"/>
          <w:i w:val="0"/>
          <w:sz w:val="22"/>
        </w:rPr>
        <w:t>Raudenbush &amp; Bryk — Capítulos 2 e 4 (~40 páginas)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2: </w:t>
      </w:r>
      <w:r>
        <w:rPr>
          <w:rFonts w:ascii="Calibri" w:hAnsi="Calibri"/>
          <w:b w:val="0"/>
          <w:i w:val="0"/>
          <w:sz w:val="22"/>
        </w:rPr>
        <w:t>Hsieh et al. (2019) — artigo completo (~40 páginas)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3: </w:t>
      </w:r>
      <w:r>
        <w:rPr>
          <w:rFonts w:ascii="Calibri" w:hAnsi="Calibri"/>
          <w:b w:val="0"/>
          <w:i w:val="0"/>
          <w:sz w:val="22"/>
        </w:rPr>
        <w:t>Oaxaca (1973) + Blinder (1973) — seções de decomposição (~30 páginas no total)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4: </w:t>
      </w:r>
      <w:r>
        <w:rPr>
          <w:rFonts w:ascii="Calibri" w:hAnsi="Calibri"/>
          <w:b w:val="0"/>
          <w:i w:val="0"/>
          <w:sz w:val="22"/>
        </w:rPr>
        <w:t>Burt (2004) + Wilson (1987) Cap. 1 (~60 páginas no total)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5: </w:t>
      </w:r>
      <w:r>
        <w:rPr>
          <w:rFonts w:ascii="Calibri" w:hAnsi="Calibri"/>
          <w:b w:val="0"/>
          <w:i w:val="0"/>
          <w:sz w:val="22"/>
        </w:rPr>
        <w:t>Reler o roteiro de defesa e simular as perguntas da banca com os novos insumos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6: </w:t>
      </w:r>
      <w:r>
        <w:rPr>
          <w:rFonts w:ascii="Calibri" w:hAnsi="Calibri"/>
          <w:b w:val="0"/>
          <w:i w:val="0"/>
          <w:sz w:val="22"/>
        </w:rPr>
        <w:t>Revisão das equações dos modelos (HLM, Oaxaca, QR) e dos resultados numéricos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7: </w:t>
      </w:r>
      <w:r>
        <w:rPr>
          <w:rFonts w:ascii="Calibri" w:hAnsi="Calibri"/>
          <w:b w:val="0"/>
          <w:i w:val="0"/>
          <w:sz w:val="22"/>
        </w:rPr>
        <w:t>Descanso + leitura leve do Fortin et al. se sentir necessidade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2 — COMO LER CADA GRÁFICO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sz w:val="22"/>
        </w:rPr>
        <w:t>Para cada figura, este guia explica: (a) o que está nos eixos, (b) o que o padrão visual significa, (c) o achado principal e (d) o que dizer se a banca perguntar.</w:t>
      </w:r>
    </w:p>
    <w:p>
      <w:pPr>
        <w:pStyle w:val="Heading2"/>
      </w:pPr>
      <w:r>
        <w:rPr>
          <w:rFonts w:ascii="Calibri" w:hAnsi="Calibri"/>
          <w:color w:val="1F3864"/>
        </w:rPr>
        <w:t>Figura 1 — Distribuição de Log-Renda por Raça (Densidade KDE)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ensidade_log_salar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Estimativa por kernel (KDE) da log-renda por raça. Ponderado por V1028.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log da renda nominal. Escala logarítmica aplaina a assimetria da distribuição de renda e permite leitura de diferenças percentuais como distâncias.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densidade estimada — altura da curva indica concentração de observações naquele nível de renda.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 azul = brancos; linha vermelha = negros. Linhas verticais tracejadas = medianas.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Curva de negros deslocada para a ESQUERDA (menores log-rendas): não são apenas alguns outliers — toda a distribuição está à esquerda.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Mediana bruta: brancos R$2.000 / negros R$1.450 → gap de 27,5%. Gap médio maior (37,5%) porque negros são sobre-representados na cauda inferior.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gráfico de densidade mostra que o gap não é gerado por poucos casos extremos — toda a distribuição de negros está deslocada à esquerda. O gap de 27,5% na mediana é a estimativa mais conservadora: a média (37,5%) é maior porque incorpora as rendas do topo onde o gap racial é ainda mais intenso (confirmado pela regressão quantílica).'</w:t>
      </w:r>
    </w:p>
    <w:p/>
    <w:p>
      <w:pPr>
        <w:pStyle w:val="Heading2"/>
      </w:pPr>
      <w:r>
        <w:rPr>
          <w:rFonts w:ascii="Calibri" w:hAnsi="Calibri"/>
          <w:color w:val="1F3864"/>
        </w:rPr>
        <w:t>Figura 2 — Heatmap do Gap Salarial por Gênero e Educação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005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heatmap_gap_genero_edu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00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médio (%) por categoria de gênero × nível de escolaridade.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nível de escolaridade (categorias crescentes). Eixo Y: gênero (masculino / feminino).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Cor das células: intensidade do gap racial médio. Cores mais quentes = gap maior.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Mulheres negras: células com maior intensidade — confirmando interseccionalidade (Crenshaw, 1989). A desvantagem combinada raça × gênero supera a soma das partes.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Escolaridade não elimina o gap: mesmo na célula 'mulher negra + superior completo', o gap persiste — diplomas não são suficientes para anular a discriminação interseccional.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Confirmação estatística: interação negro×sexo_fem no GLMM (β=+0.0416, p&lt;0.001) confirma o padrão visual.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 sobre interseccionalidade: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'Crenshaw (1989) argumenta que identidades sobrepostas criam formas específicas de discriminação não capturadas por análises unidimensionais. O heatmap mostra isso empiricamente: o gap de mulheres negras é maior do que a soma do gap de gênero + gap racial. O coeficiente negro×sexo_fem=+0.0416 no GLMM confirma estatisticamente que a interação existe e é positiva — ou seja, o efeito combinado é ainda pior do que cada fator isoladamente.'</w:t>
      </w:r>
    </w:p>
    <w:p/>
    <w:p>
      <w:pPr>
        <w:pStyle w:val="Heading2"/>
      </w:pPr>
      <w:r>
        <w:rPr>
          <w:rFonts w:ascii="Calibri" w:hAnsi="Calibri"/>
          <w:color w:val="1F3864"/>
        </w:rPr>
        <w:t>Figura 4 — Gap Salarial por Faixa Etária (Ciclo de Vida)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748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ap_faixa_etar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74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médio (%) por faixa etária. Ponderado por V1028.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faixas etárias (14–24, 25–34, 35–44, 45–54, 55–64, 65+).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gap salarial racial médio (%) entre brancos e negros naquela faixa etária.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14–24 anos: gap de 9,1% — pequeno, quando todos estão na base do mercado.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25–34 anos: gap sobe para 25,0% — primeiro ciclo de diferenciação de carreira.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35–44 anos: gap PICO de 37,5% — fase de maior mobilidade vertical; o teto de vidro se fecha exatamente quando as promoções mais importam.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65+: gap de 40,0% — acumulação máxima ao longo de toda a carreira.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padrão de ciclo de vida é a confirmação empírica da natureza acumulativa da discriminação. Isso é consistente com o coeficiente negro×experiência (β=−0.0019, p&lt;0.001) no GLMM: cada ano adicional de experiência AMPLIA o gap racial em vez de reduzi-lo. Em um mercado justo, mais experiência deveria nivelar as diferenças — o sinal negativo confirma que o mecanismo de discriminação se intensifica com a progressão de carreira, não o contrário.'</w:t>
      </w:r>
    </w:p>
    <w:p/>
    <w:p>
      <w:pPr>
        <w:pStyle w:val="Heading2"/>
      </w:pPr>
      <w:r>
        <w:rPr>
          <w:rFonts w:ascii="Calibri" w:hAnsi="Calibri"/>
          <w:color w:val="1F3864"/>
        </w:rPr>
        <w:t>TABELAS ANALÍTICAS — O QUE SABER SOBRE CADA TABELA</w:t>
      </w:r>
    </w:p>
    <w:p>
      <w:pPr>
        <w:spacing w:before="0" w:after="160"/>
        <w:jc w:val="left"/>
      </w:pPr>
      <w:r>
        <w:rPr>
          <w:rFonts w:ascii="Calibri" w:hAnsi="Calibri"/>
          <w:b w:val="0"/>
          <w:i w:val="0"/>
          <w:sz w:val="22"/>
        </w:rPr>
        <w:t>As quatro tabelas abaixo foram geradas a partir dos microdados PNAD Contínua 2016–2025 com ponderação amostral (peso V1028). Elas estabelecem o diagnóstico descritivo e os resultados Mincer antes da modelagem HLM/GLMM.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1 — Estatísticas Descritivas por Raça (tab1_descritiva_racial.csv)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N, renda média (R$), renda mediana (R$), escolaridade média (anos), % emprego formal, % superior completo — para brancos e negros separadamente.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Números a memorizar: renda mediana brancos = R$2.000 / negros = R$1.450 (gap 27,5%); renda média: gap de 37,5%; formal: brancos 53% vs negros 48%.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'por que mediana?': A distribuição de renda é muito assimétrica (cauda direita longa). A mediana é robusta a outliers e representa melhor o trabalhador típico. O gap de 37,5% na média é maior porque inclui rendas do topo onde o gap é ainda mais intenso.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2 — Gap Bruto por Subgrupo (tab2_gap_bruto_subgrupos.csv)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gap racial médio (%) segmentado por gênero × faixa educacional.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Subgrupo com maior gap: mulher negra — confirma empiricamente a interseccionalidade.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Subgrupo com menor gap: homens com superior completo (escolaridade nivela parte da desvantagem de capital humano, mas gap persiste).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perguntarem: 'Por que mostrar subgrupos?' — Confirma Crenshaw (1989): políticas de renda que tratam 'negro' como categoria homogênea subestimam severamente o impacto sobre mulheres negras, que são o subgrupo mais afetado pela discriminação composta.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3 — Equação de Mincer Progressiva (tab3_mincer_progressivo.csv)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5 especificações OLS progressivas (M1–M5) com coeficiente de 'negro' em cada modelo.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M1 (apenas negro): gap = −23,1% | M2 (+edu+experiência): −22,3% | M3 (+UF): −7,9% | M4 (+setor+horas): −7,0% | M5 (completo): −6,2%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Padrão: o salto entre M2 e M3 (−22,3% → −7,9%) mostra que os estados explicam grande parte do gap bruto — confirmando a dimensão territorial da desigualdade racial.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Mincer (1974): 'A especificação padrão para estimar retornos à educação inclui log(renda) ~ educação + experiência + experiência². A versão progressiva aqui mostra explicitamente quanto cada bloco de variáveis explica do gap — é a formalização OLS do que o HLM faz de forma hierárquica.'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4 — Termos de Interação Racial no GLMM (tab4_interacoes.csv)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coeficientes de interação estimados no GLMM: negro×sexo_fem, negro×experiência, negro×educ_alto, negro×educ_med.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negro×sexo_fem: β=+0.0416 (***) — mulheres negras têm desvantagem ADICIONAL além da soma dos efeitos de raça e gênero separados (interseccionalidade confirmada).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negro×experiência: β=−0.0019 (***) — cada ano de experiência AMPLIA o gap racial. Sinal negativo: a experiência retorna menos para negros do que para brancos.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negro×educ_alto e negro×educ_med: não significativos (ns) — mais escolaridade não elimina a desvantagem racial. Capital humano é necessário mas não suficiente.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β negativo em negro×experiência: 'Significa que 1 ano adicional de experiência reduz a probabilidade de ocupação qualificada de negros 0.0019 pontos a mais do que para brancos. O mecanismo provável é o teto de vidro: com o tempo, brancos são promovidos e negros estacionam — o que se acumula ao longo do ciclo de vida (Fig 4).'</w:t>
      </w:r>
    </w:p>
    <w:p/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/>
          <w:color w:val="1F3864"/>
        </w:rPr>
        <w:t>Figura 3 — Razão de Representação por Grupo Ocupacional (CBO)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5670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razao_grupo_cb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67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Razão negros/brancos por grupo CBO. Linha tracejada = paridade (1,0).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grupos ocupacionais CBO (do mais elementar ao mais qualificado).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razão entre a proporção de negros e a proporção de brancos no grupo. Valor 1,0 = paridade. Valor &lt; 1 = sub-representação de negros. Valor &gt; 1 = sobre-representação.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 tracejada vertical em 1,0 = ponto de equilíbrio.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Grupos de prestígio (Dirigentes, Profissionais) ficam à esquerda da linha: negros são sub-representados. Grupos elementares ficam à direita: sobre-representados.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Dirigentes: razão ≈ 0,42 — para cada 100 brancos na função, há apenas 42 negros.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Elementares: razão ≈ 2,12 — negros são mais do que o dobro do esperado pela paridade.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'Este gráfico é o primeiro diagnóstico visual da segregação ocupacional. A razão de 0,42 nos Dirigentes não é explicada por diferença de escolaridade — quando controlamos por educação no GLMM (lme4), o OR permanece em 0,691. Isso confirma que parte substancial da sub-representação é discriminação de acesso, não apenas diferença de capital humano.'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5 — Índice de Representação no Topo da Distribuição de Renda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920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representacao_top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92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IR (Índice de Representação) por percentil de renda. IR=1 = paridade racial.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percentis de renda (do mais baixo ao topo).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IR = (% negros no percentil) / (% negros na população total). IR=1 = representação proporcional. IR&lt;1 = sub-representação no topo.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Linhas separadas por capital vs interior, ou por região — verifique a legenda do gráfico gerado.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No top 5% das capitais, IR ≈ 0,47: negros ocupam apenas 47% do que seria esperado pela sua participação na população.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IR cai conforme sobe o percentil — essa queda é a formalização visual do glass ceiling.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IR quantifica em pontos de percentil o que o gráfico de razão CBO mostra categoricamente. A queda do IR no topo confirma que o glass ceiling não é apenas uma metáfora — é uma barreira mensurável que se intensifica exatamente onde os prêmios salariais são maiores. Isso é consistente com os resultados da regressão quantílica.'</w:t>
      </w:r>
    </w:p>
    <w:p/>
    <w:p>
      <w:pPr>
        <w:pStyle w:val="Heading2"/>
      </w:pPr>
      <w:r>
        <w:rPr>
          <w:rFonts w:ascii="Calibri" w:hAnsi="Calibri"/>
          <w:color w:val="1F3864"/>
        </w:rPr>
        <w:t>Figura 6 — Decomposição HLM: Do Gap Bruto ao Resíduo de Discriminação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horizontais: cada barra representa o gap racial estimado em um modelo diferente (M1 a M4). O comprimento da barra é o tamanho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sequência de cima para baixo mostra como o gap 'encolhe' à medida que variáveis de contexto e ocupação são adicionadas.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M1 (gap bruto) = 19,3%: sem nenhum controle.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M2 (+ UPA): renda média da UPA absorve ~9 p.p. — o lugar onde se mora explica metade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M3 (+ UF): redução marginal adicional pelas diferenças entre estados.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M4 (+ CBO + formalidade + horas): o gap cai para 6,2% — este é o resíduo que não tem explicação por características observáveis. É a discriminação de remuneração pura.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maior redução ocorre entre M1 e M2 (adição da UPA): confirma Wilson (1987) — o local de moradia é o principal mediador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gap residual de 6,2% em M4 não tem explicação por nenhuma variável observável: é o lower bound da discriminação de remuneração.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sequência dos modelos não é arbitrária — cada passo adiciona um nível da hierarquia social. Primeiro o contexto de moradia (UPA), depois o contexto institucional (UF), depois a posição no mercado de trabalho (CBO + formalidade). O gap de 6,2% que sobra é robusto a todos os controles observáveis disponíveis na PNAD.'</w:t>
      </w:r>
    </w:p>
    <w:p/>
    <w:p>
      <w:pPr>
        <w:pStyle w:val="Heading2"/>
      </w:pPr>
      <w:r>
        <w:rPr>
          <w:rFonts w:ascii="Calibri" w:hAnsi="Calibri"/>
          <w:color w:val="1F3864"/>
        </w:rPr>
        <w:t>Figura 7 — Decomposição de Oaxaca-Blinder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648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axaca_decomposic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64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Decomposição two-fold: gap total em Dotações (84%) e Retornos (16%).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gráfico divide o gap total (≈53,0% em log-renda) em duas partes:</w:t>
      </w:r>
    </w:p>
    <w:p>
      <w:pPr>
        <w:pStyle w:val="ListBullet"/>
        <w:spacing w:after="60"/>
        <w:ind w:left="737"/>
      </w:pPr>
      <w:r>
        <w:rPr>
          <w:rFonts w:ascii="Calibri" w:hAnsi="Calibri"/>
          <w:b w:val="0"/>
          <w:i w:val="0"/>
          <w:sz w:val="22"/>
        </w:rPr>
        <w:t>Barra/segmento DOTAÇÕES (84%): diferença explicada por negros terem, em média, menos anos de escolaridade, menos acesso a emprego formal, ocupações menos qualificadas e mais horas em subemprego.</w:t>
      </w:r>
    </w:p>
    <w:p>
      <w:pPr>
        <w:pStyle w:val="ListBullet"/>
        <w:spacing w:after="60"/>
        <w:ind w:left="737"/>
      </w:pPr>
      <w:r>
        <w:rPr>
          <w:rFonts w:ascii="Calibri" w:hAnsi="Calibri"/>
          <w:b w:val="0"/>
          <w:i w:val="0"/>
          <w:sz w:val="22"/>
        </w:rPr>
        <w:t>Barra/segmento RETORNOS (16%): diferença que persiste mesmo quando negros e brancos têm as MESMAS características — o mercado remunera diferentemente.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84% do gap é de dotações: a discriminação opera principalmente no ACESSO a características valorizadas, não no salário dentro da função.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inverte a intuição comum: combater apenas o gap salarial direto (16%) deixa 84% do problema intacto.</w:t>
      </w:r>
    </w:p>
    <w:p>
      <w:pPr>
        <w:spacing w:before="80" w:after="40"/>
      </w:pPr>
      <w:r>
        <w:rPr>
          <w:rFonts w:ascii="Calibri" w:hAnsi="Calibri"/>
          <w:b/>
          <w:i w:val="0"/>
          <w:color w:val="1565C0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Oaxaca une os três vértices do triângulo de evidências. Os 84% de dotações são explicados pelo logit (acesso a ocupações) e pela SNA (exclusão das redes). Os 16% de retornos são explicados pelo HLM M4 (6,2% de discriminação pura de remuneração). Os métodos são consistentes entre si.'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three-fold: 'A decomposição three-fold adiciona um componente de interação entre dotações e retornos que não tem interpretação causal clara em contexto de discriminação racial. Por isso a literatura de economics of discrimination prefere two-fold (Fortin, Lemieux &amp; Firpo, 2011).'</w:t>
      </w:r>
    </w:p>
    <w:p/>
    <w:p>
      <w:pPr>
        <w:pStyle w:val="Heading2"/>
      </w:pPr>
      <w:r>
        <w:rPr>
          <w:rFonts w:ascii="Calibri" w:hAnsi="Calibri"/>
          <w:color w:val="1F3864"/>
        </w:rPr>
        <w:t>Figura 8 — GLMM (lme4): Odds Ratios para Acesso a Ocupações Qualificadas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mm_odds_rati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Odds Ratios do GLMM para negro vs branco. M1=sem contexto, M2=com efeitos aleatórios UPA. Linha = OR=1 (sem diferença racial).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Odds Ratio (OR). OR=1 = sem diferença racial. OR&lt;1 = negros têm MENOR chance.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Cada ponto = estimativa de OR com IC 95%. GLMM implementado com lme4::glmer (nAGQ=0, otimizador bobyqa) para acomodar a estrutura hierárquica dos dados.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M1 (sem efeito aleatório de contexto): OR=0,674 — negros têm 32,6% menos chance. ICC M1=22,2% (variação entre UPAs elevada). N=7.694.198 (PEA completa).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M2 (com efeito aleatório de UPA): OR=0,691 — após controlar o contexto local, negros têm 30,9% menos chance. ICC M2=10,8%.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AME (Average Marginal Effect):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M1 = −5,16 p.p.: sem controle de contexto, negros têm 5,16 p.p. a menos de probabilidade de ocupação qualificada.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M2 = −4,84 p.p.: com efeito aleatório de UPA, o efeito líquido de ser negro é −4,84 p.p. — discriminação pura de acesso após controlar moradia e contexto.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OR vs AME e sobre o GLMM: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OR mede razão de chances — útil para comparação entre modelos. O AME traduz isso em diferença de probabilidade — mais intuitivo para comunicar ao gestor público.'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GLMM (Generalized Linear Mixed Model) é a extensão natural do HLM para variáveis binárias. Ao usar lme4::glmer com efeitos aleatórios por UPA, capturo a mesma estrutura hierárquica do HLM aplicada ao modelo de acesso a ocupações. O ICC=22,2% em M1 confirma que há variância substancial entre UPAs — ignorar essa hierarquia produziria erros padrão subestimados e OR's viesados.'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 — Regressão Quantílica: Trajetória do Gap ao Longo da Distribuição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6867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ntreg_trajetori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86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(% de diferença de log-renda) por percentil. Linha M3 = sem CBO/formalidade. Linha M4 = com CBO/formalidade.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percentil da distribuição de renda (q10 = mais pobres, q95 = mais ricos).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coeficiente do dummy 'negro' em log-renda — quanto menor, maior 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Duas linhas: M3 (sem ocupação/formalidade) e M4 (com ocupação/formalidade).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Faixa cinza ao redor de cada linha = intervalo de confiança 95%.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Inclinação descendente de ambas as linhas (coeficiente fica mais negativo conforme sobe o quantil) = o gap aumenta no topo da distribuição = glass ceiling racial.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Diferença entre M3 e M4 cresce no topo: no q95, a mediação ocupacional (CBO + formalidade) explica mais do gap do que no q10. Negros no topo são excluídos das ocupações mais rentáveis.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Valores concretos: q10 ≈ −3,2%; q50 ≈ −4,1%; q90 ≈ −7,1%; q95 ≈ −7,9% (M4).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'Um OLS capturaria apenas a média — aproximadamente o ponto de q50. Mas o glass ceiling está no q90–q95, onde o gap é sistematicamente maior. Sem regressão quantílica, esse padrão seria invisível. A regressão quantílica é o único método que formaliza a hipótese do glass ceiling como teste estatístico.'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9b — RIF-OB: Sticky Floor Discriminatório vs. Glass Ceiling por Dotações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202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f_ob_retornos_quanti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0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RIF-OB incondicional por quantil (Firpo, Fortin &amp; Lemieux, 2018). Retornos (discriminação) vs Dotações por decil de renda.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decil/quantil da distribuição incondicional de renda (q10=base, q90=topo).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Dois componentes empilhados por quantil: Dotações (diferença de características) e Retornos (discriminação pura — o que persiste mesmo com características iguais).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RIF = Recentered Influence Function — permite decompor o gap em qualquer quantil incondicionalmente, sem condicionar ao quantil dentro de cada grupo racial.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padrão sticky floor vs. glass ceiling: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q10 — base: Dotações=61,3%, Retornos=33,1%. Discriminação de preço é 3× mais intensa na BASE — efeito sticky floor (chão pegajoso).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q50 — mediana: Dotações=57,4%, Retornos=21,5%. Discriminação decai progressivamente.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q90 — topo: Dotações=75,8%, Retornos=11,2%. No topo, o gap é quase inteiramente por dotações — negros são EXCLUÍDOS das posições rentáveis (glass ceiling).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QR formaliza o glass ceiling condicional — o gap cresce no topo dentro de cada grupo. O RIF-OB faz a decomposição incondicional — permite perguntar: de onde vem esse gap maior no topo? A resposta é: no topo o mecanismo dominante é exclusão (dotações = 75,8%), não discriminação salarial direta. Na base, a discriminação de preço ainda responde por 33,1% do gap — o sticky floor discriminatório. São dois fenômenos distintos que coexistem.'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9c — Interseccionalidade: Oaxaca-Blinder por 4 Grupos Raça × Gênero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Referência: Homem Branco. Comparação: Mulher Branca, Homem Negro, Mulher Negra.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Para cada grupo, o gap total é decomposto em Dotações (características) e Retornos (discriminação direta).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 M4: coeficiente da interação negro×sexo_fem = β=+0,069 — indica atenuação do gap racial para mulheres (raça e gênero interagem, não se somam linearmente).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Resultados por grupo (referência: Homem Branco):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 Branca: gap=46,6% — dotações negativas (−8,9%) / retornos 109% (retornos amplificam o gap: discriminação de gênero pura explica mais de 100%). Sem penalidade de raça.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Homem Negro: gap=40,3% — 71% dotações / 29% retornos. Discriminação racial direta explica ~29% do gap do homem negro.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 Negra: gap=96,4% — maior gap de todos os grupos. Penalidade adicional por interseccionalidade: +9,5 p.p. além da soma de raça + gênero separados.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interseccionalidade: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Mulher Negra não sofre apenas raça + gênero de forma aditiva — existe uma penalidade adicional de +9,5 p.p. que emerge especificamente da combinação dos dois eixos de opressão. Isso é a interseccionalidade no sentido de Crenshaw (1989): os eixos interagem, não se somam. O HLM confirma com β_neg×fem=+0,069 (***) — a discriminação racial é estatisticamente menor para mulheres negras do que se esperaria da soma linear.'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'Gap de 96,4% para mulher negra vs 40,3% para homem negro: a mulher negra experimenta uma dupla desvantagem que quase dobra o gap. Políticas de gênero e raça precisam ser desenhadas conjuntamente para esse grupo.'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10 — SHAP Values: Importância das Variáveis no XGBoost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366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mportance_xg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3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Importância média dos SHAP values por variável. R²=0,6162.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importância média absoluta dos SHAP values — quanto cada variável 'move' a predição de renda em média, independente de direção.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maiores = variáveis mais determinantes para a renda prevista pelo modelo.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Variáveis em vermelho/negativo = associadas a menores rendas. Variáveis em azul/positivo = associadas a maiores rendas.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Ranking esperado e o que significa: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 Renda média da UPA (|SHAP|≈0,272): onde você mora supera o quanto você estudou como determinante de renda — confirma Wilson (1987) e justifica o HLM.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#2 Horas trabalhadas (|SHAP|≈0,166): nova variável extraída dos ZIPs brutos. Volume de trabalho é o segundo maior determinante.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#3–#4 CBO e emprego formal: variáveis também extraídas dos ZIPs — sua contribuição metodológica principal. Sem elas, o modelo subestimaria o papel da ocupação.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#11 Raça/negro (|SHAP|≈0,029): após todos os controles, a raça ainda move a predição em −2,5%. Não é o maior fator — mas é o fator que não deveria existir em um mercado de trabalho não discriminatório.</w:t>
      </w:r>
    </w:p>
    <w:p>
      <w:pPr>
        <w:spacing w:before="80" w:after="40"/>
      </w:pPr>
      <w:r>
        <w:rPr>
          <w:rFonts w:ascii="Calibri" w:hAnsi="Calibri"/>
          <w:b/>
          <w:i w:val="0"/>
          <w:color w:val="1565C0"/>
          <w:sz w:val="22"/>
        </w:rPr>
        <w:t>▌ O que dizer se perguntarem sobre interpretabilidade do XGBoost: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SHAP resolve o problema black-box do XGBoost. Ele decompõe a predição de cada observação individualmente, garantindo aditividade e consistência (propriedades de Shapley). Um simples gráfico de feature importance do XGBoost não teria essas garantias — o SHAP é o gold standard atual para interpretabilidade de modelos de ML.'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11 — Rede Social Ocupacional: Betweenness por Raça e Escolaridade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694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_rede_demografic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6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Rede de co-ocupação. Nós = grupos de raça × educação. Tamanho do nó = betweenness centrality.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Nós: cada nó representa um grupo (ex: 'negro + superior completo', 'branco + médio').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Arestas: conexão = co-ocorrência na mesma ocupação/setor.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Tamanho do nó: proporcional à betweenness centrality — quão central o grupo é como ponte entre diferentes clusters da rede.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Cor/posição: grupos brancos tendem a ocupar o centro da rede; grupos negros ficam na periferia independente do nível educacional.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Brancos com pós-graduação têm alta betweenness: são brokers que conectam grupos diferentes — acesso a vagas, informação e promoções (Burt, 2004).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Negros com pós-graduação têm betweenness ≈ 0: mesmo com as mesmas credenciais, não ocupam posições de ponte na rede. As credenciais 'valem menos' porque não convertem em acesso às redes de conversão.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SNA adiciona uma dimensão que o HLM e o logit não capturam: o capital social estrutural. Mesmo que um negro consiga entrar em uma ocupação qualificada, sua betweenness=0 significa que ele não tem acesso às redes informais que geram promoção, mentoria e informação antecipada sobre vagas. Isso explica parte do gap residual de 6,2% do HLM M4.'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12 — Gini por Setor (H1): Estado como Indutor de Desigualdade?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12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1_gin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1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Gini por setor (público vs privado) e decomposição de Theil T.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Gráfico de barras: Gini total (0,4879), público (0,4662) e privado (0,4715).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Gini menor no público = distribuição de renda mais igualitária dentro do setor público.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Decomposição de Theil T: 7,8% da desigualdade total é ENTRE os dois setores. Isso significa que a diferença de renda médio entre público e privado gera 7,8% da desigualdade agregada.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Interpretação da hipótese H1: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estado REDUZ a desigualdade interna (Gini público &lt; privado), mas o prêmio salarial do servidor (+99,6% vs privado) cria uma divisão ENTRE setores que contribui 7,8% para a desigualdade total.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Conclusão de H1: o estado é simultaneamente redutor de desigualdade interna e gerador de desigualdade interssetorial. A resposta é 'ambos' — depende da perspectiva.</w:t>
      </w:r>
    </w:p>
    <w:p/>
    <w:p>
      <w:pPr>
        <w:pStyle w:val="Heading2"/>
      </w:pPr>
      <w:r>
        <w:rPr>
          <w:rFonts w:ascii="Calibri" w:hAnsi="Calibri"/>
          <w:color w:val="1F3864"/>
        </w:rPr>
        <w:t>Figura 13 — Gaps Racial e de Gênero por Setor (H2/H3)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388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2h3_gap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3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Gaps salariais controlados por raça e gênero no setor público vs privado.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agrupadas: cada par compara o gap no setor privado vs público, para raça (H2) e gênero (H3).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Valores são coeficientes de regressão controlada (β do dummy negro ou sexo_fem), não diferenças brutas.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racial bruto: privado −44,1% / público −33,3%. Controlado: privado −29,2% / público −25,2%.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de gênero: privado −16,9% / público −18,8% (após controles). O setor público tem gap de GÊNERO maior que o privado — o paradoxo H3.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Interpretação do paradoxo H3: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concurso público iguala a entrada (não há discriminação no acesso ao cargo), mas a progressão de carreira e os cargos de confiança (DAS, cargos militares seniores, judiciário de topo) são preenchidos por nomeação e promoção, onde o viés de gênero persiste.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Resultado: dentro do setor público, mulheres ficam presas nos cargos de entrada enquanto homens avançam — gap maior que no setor privado onde não há esse 'teto de vidro institucionalizado'.</w:t>
      </w:r>
    </w:p>
    <w:p/>
    <w:p>
      <w:pPr>
        <w:pStyle w:val="Heading2"/>
      </w:pPr>
      <w:r>
        <w:rPr>
          <w:rFonts w:ascii="Calibri" w:hAnsi="Calibri"/>
          <w:color w:val="1F3864"/>
        </w:rPr>
        <w:t>Figura 14 — Renda Real e Emprego 2016–2025 (H4)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23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4_tendenci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2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Renda real mediana (base IPCA 2016=100) e taxa de emprego 2016–2025.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 esquerdo (linha): renda real mediana em R$ de 2016.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 direito (barra ou linha pontilhada): taxa de emprego (% da PEA).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Dois eixos no mesmo gráfico permitem ver a co-evolução das duas séries.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Emprego sobe consistentemente de 87–88% (2017–2020) para 94,4% em 2025 — máxima histórica.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Renda real cai de R$1.200 (2016) para R$1.106 (2022 — mínima), recupera para R$1.345 (2024) e recua novamente para R$1.283 em 2025.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Divergência entre emprego e renda real: confirma H4 — o crescimento do emprego no governo atual não se traduziu em prosperidade equivalente em termos reais.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renda nominal sobe (R$1.200→R$2.000), mas deflacionada pelo IPCA (base 2016=100) o ganho real é modesto e volátil.</w:t>
      </w:r>
    </w:p>
    <w:p/>
    <w:p>
      <w:pPr>
        <w:pStyle w:val="Heading2"/>
      </w:pPr>
      <w:r>
        <w:rPr>
          <w:rFonts w:ascii="Calibri" w:hAnsi="Calibri"/>
          <w:color w:val="1F3864"/>
        </w:rPr>
        <w:t>Figura 15 — Simulação de Inclusão Produtiva (H4)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1758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4_inclusa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17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Ganho potencial de renda se negros tivessem a mesma distribuição CBO que brancos.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Duas barras: renda média negra ATUAL vs renda CONTRAFACTUAL (se negros tivessem a mesma distribuição de CBO que brancos).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diferença entre as barras = +127,3% = ganho potencial de renda se a segregação ocupacional fosse eliminada.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Premissas da simulação: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Mantém os salários de cada grupo CBO constantes — só redistribui negros pelos grupos como se tivessem o perfil CBO dos brancos.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Proxy conservador: não considera mudança de produtividade, apenas redistribuição.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proxy de PIB (+74,3 p.p.) assume que negros representam 58% da força de trabalho e que o ganho de renda se traduz proporcionalmente em demanda agregada.</w:t>
      </w:r>
    </w:p>
    <w:p/>
    <w:p>
      <w:pPr>
        <w:pStyle w:val="Heading2"/>
      </w:pPr>
      <w:r>
        <w:rPr>
          <w:rFonts w:ascii="Calibri" w:hAnsi="Calibri"/>
          <w:color w:val="1F3864"/>
        </w:rPr>
        <w:t>Figura 16 — Gap de Qualificação 2016–2025 (H5: Armadilha da Renda Média)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004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5_armadilh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0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% de trabalhadores com alta qualificação por raça ao longo do tempo.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anos (2016–2025).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% de trabalhadores com alta qualificação (CBO grupos 1 e 2, ou superior completo com função compatível).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Três linhas: total, brancos e negros.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Brancos: 19,7% (2016) → 22,4% (2025) — crescimento de +2,7 p.p. em 10 anos.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Negros: 9,6% (2016) → 11,0% (2025) — crescimento de +1,4 p.p. em 10 anos.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As três linhas sobem em paralelo: o gap absoluto permanece praticamente constante (≈10 p.p.). Não há convergência.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é a armadilha da renda média: o Brasil eleva a qualificação geral, mas a desigualdade racial na qualificação não diminui — e sem quebrar essa barreira, o país não consegue sair da armadilha de renda média (Hsieh et al., 2019).</w:t>
      </w:r>
    </w:p>
    <w:p/>
    <w:p>
      <w:pPr>
        <w:pStyle w:val="Heading2"/>
      </w:pPr>
      <w:r>
        <w:rPr>
          <w:rFonts w:ascii="Calibri" w:hAnsi="Calibri"/>
          <w:color w:val="1F3864"/>
        </w:rPr>
        <w:t>Figura 17 — Comparação de Modelos: Log-Likelihood e AIC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5133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loglik_a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51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LL e AIC para 10 modelos. Quanto menor o AIC, melhor o ajuste penalizado por complexidade.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Log-Likelihood (LL): quanto mais próximo de zero (menos negativo), melhor o ajuste. Mais parâmetros sempre melhoram o LL — por isso o AIC penaliza.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AIC = −2×LL + 2×k, onde k = número de parâmetros. Modelos mais simples com ajuste equivalente são preferidos.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os 10 modelos em ordem de complexidade crescente (OLS Nulo → OLS Individual → OLS+FE → HLM Nulo → ... → HLM Ocupação).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Colunas/barras com dois painéis: LL (painel superior) e AIC (painel inferior).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OLS+FE(UF) tem AIC = 3.684.833 — PIOR que OLS Individual (3.660.787). Adicionar dummies de UF não ajuda porque os estados são unidades muito grandes para capturar a variação real.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 Contextual tem AIC = 3.588.684 — o melhor ajuste penalizado entre os modelos intermediários. Demonstra que a estrutura hierárquica compensa o custo dos parâmetros adicionais.</w:t>
      </w:r>
    </w:p>
    <w:p/>
    <w:p>
      <w:pPr>
        <w:pStyle w:val="Heading2"/>
      </w:pPr>
      <w:r>
        <w:rPr>
          <w:rFonts w:ascii="Calibri" w:hAnsi="Calibri"/>
          <w:color w:val="1F3864"/>
        </w:rPr>
        <w:t>Figura 18 — LRT Waterfall e Trajetória do ICC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93805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lrt_icc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38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LRT (Likelihood Ratio Test) entre modelos encadeados e trajetória do ICC por modelo.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Painel esquerdo (waterfall de LRT): cada barra mostra o χ² do teste de razão de verossimilhança ao adicionar um nível ao modelo. Barras positivas = o modelo mais complexo é estatisticamente superior.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LRT HLM Nulo vs OLS Nulo: χ²=191.625 (Δk=1) — vastamente significativo. Isso prova que existe estrutura hierárquica nos dados: as rendas dentro de uma mesma UPA são mais parecidas entre si do que entre UPAs diferentes.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Painel direito (ICC): Intra-Class Correlation por modelo — % da variância total que se deve às diferenças entre UPAs. ICC=9,83% em M0.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Por que o ICC &gt; 5% importa: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Se o ICC fosse &lt; 5%, o OLS seria suficiente (Raudenbush &amp; Bryk, 2002). Com 9,83%, ignorar a hierarquia produz erros padrão subestimados — e inferência estatística inválida.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LRT χ²=191.625 com Δk=1 prova que o componente de variância aleatória da UPA não é zero: hierarquia não é apenas conveniência, é estrutura real dos dados.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 sobre a escolha do HLM: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'Não escolhi HLM por ser mais sofisticado — escolhi porque os dados me obrigaram. O ICC=9,83% e o LRT χ²=191.625 mostram que a estrutura hierárquica é real e significativa. Ignorar isso com OLS produziria inferência inválida — erros padrão subestimados e p-valores inflados. A escolha foi ditada pelos dados, não pela preferência metodológica.'</w:t>
      </w:r>
    </w:p>
    <w:p/>
    <w:p>
      <w:pPr>
        <w:pStyle w:val="Heading2"/>
      </w:pPr>
      <w:r>
        <w:rPr>
          <w:rFonts w:ascii="Calibri" w:hAnsi="Calibri"/>
          <w:color w:val="1F3864"/>
        </w:rPr>
        <w:t>Análises de Sensibilidade — Konfound, E-values e Oster δ*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Konfound (pkonfound): quantos casos precisariam ser trocados de trat./controle, ou qual % dos casos precisaria estar mal alocado, para reverter a conclusão. Quanto maior, mais robusto.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E-value (VanderWeele &amp; Ding, 2017): qual a magnitude mínima de uma variável omitida (como razão de risco) para anular o efeito observado. E-value ≥ 2 indica boa resistência.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Oster δ*: qual proporção da variação total dos controles observados seria necessária nos não-observados para anular o efeito. δ* negativo confirma robustez (variáveis omitidas teriam que atuar na direção contrária).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Resultados: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Konfound HLM: M1=99,5%; M2=M3=98,8%; M4=98,5% — quase 100% dos casos precisariam ser mal alocados para reverter a conclusão de discriminação.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OLS subestima: gap OLS=43,8%–48,5% vs HLM=50,8%–53,0% (Δ=5,4–9,7 p.p.) — o viés de subestimação do OLS fica em torno de 9,7 p.p. em M1 e 5,4 p.p. em M4.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E-values GLMM lme4 (PEA completa): M1=2,331; M2=2,254 — variável omitida precisaria ter associação ≥2,3× com raça E com acesso a ocupações para eliminar o 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Oster δ*: M1=−0,48; M2=−0,43; M4=−0,39 — todos negativos, confirmando que variáveis omitidas teriam que atenuar (não amplificar) para anular o gap.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 sobre endogeneidade ou variáveis omitidas: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'Testei três frameworks de sensibilidade independentes. O pkonfound mostra que seria necessário reclassificar ~99% das observações para reverter a conclusão — impossível dado o N=7,7 milhões. O E-value ≥2,0 exige que uma variável omitida tenha associação dobrada com raça E com renda simultaneamente — sem candidato plausível. E o Oster δ* negativo significa que a seleção nas variáveis omitidas teria que ser na direção oposta à seleção observada. Os três convergem: o resultado é robusto.'</w:t>
      </w:r>
    </w:p>
    <w:p/>
    <w:p>
      <w:pPr>
        <w:pStyle w:val="Heading2"/>
      </w:pPr>
      <w:r>
        <w:rPr>
          <w:rFonts w:ascii="Calibri" w:hAnsi="Calibri"/>
          <w:color w:val="1F3864"/>
        </w:rPr>
        <w:t>Análises Complementares — Heckman, Tendência Temporal e Event Study COVID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Correção de Seleção Amostral (Heckman):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Problema: analisamos apenas quem tem renda (PEA ocupada). A seleção para participar do mercado de trabalho pode ser endógena — se negros participam menos, o gap observado é subestimado.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Modelo de seleção (Probit 1ª etapa): educação, idade, número de filhos, presença de cônjuge → gera lambda de Mills (λ).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Resultado: λ=−1,985 (***) — seleção amostral significativa e negativa. Gap OLS=−9,71% → Gap Heckman=−7,41% (Δ=+2,3 p.p.): o gap bruto estava SUBESTIMADO; negros mais excluídos do mercado atenuavam o gap aparente.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Tendência Temporal e Teste de Chow: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anual estimado: a discriminação racial mantém-se estável ao longo do período (tendência linear δ=0,0008/ano, não significativa).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Teste de Chow (2020): F(2,6)=7,012; p=0,027 — quebra estrutural significativa em 2020 (pandemia). O gap racial NÃO teve convergência pré-COVID.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Event Study COVID (DiD):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Tratamento: pós-2020 (COVID). Estimativa: τ=+0,015; SE=0,007; p=0,025.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Interpretação: τ=+0,015 indica **convergência aparente** de curto prazo — o gap reduziu-se 1,5 p.p. após 2020. Provável seleção de saída: negros de menor renda saíram do mercado formal, elevando a renda relativa dos que ficaram.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 sobre essas análises: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Heckman resolve a crítica de que estamos vendo apenas os 'bem-sucedidos'. O resultado (λ negativo e gap que cresce com a correção) indica que a exclusão racial do mercado de trabalho é real e que os excluídos estariam em situação ainda pior.'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Chow mostra quebra estrutural em 2020. O DiD mostra convergência aparente de curto prazo (τ=+0.015): negros sofreram menos no diferencial salarial, mas provavelmente por seleção de saída — não por melhora real. O gap de longo prazo permanece estável.'</w:t>
      </w:r>
    </w:p>
    <w:p/>
    <w:p>
      <w:pPr>
        <w:pStyle w:val="Heading2"/>
      </w:pPr>
      <w:r>
        <w:rPr>
          <w:rFonts w:ascii="Calibri" w:hAnsi="Calibri"/>
          <w:color w:val="1F3864"/>
        </w:rPr>
        <w:t>Pesquisa Operacional — Priorização de Políticas (TOPSIS, AHP, LP)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é e por que está na dissertação: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 (Pesquisa Operacional) transforma o diagnóstico empírico em recomendações de política priorizadas objetivamente. Sem PO, a dissertação terminaria com 'há discriminação' — com PO, termina com 'e aqui está a política mais custo-eficaz para combatê-la, formalmente justificada'.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Métodos: TOPSIS (ranking multicritério), AHP (pesos dos critérios, CR=0,004 ← consistente), LP (Programação Linear com restrição orçamentária), Pareto frontier (eficiência custo × impacto).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TOPSIS — Ranking de Políticas (critérios: impacto no gap, custo, viabilidade, prazo):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 Cotas em CBO 1–4 (P1): CC=0,835 — política mais próxima da 'solução ideal'. Ataca diretamente o mecanismo de exclusão de acesso a ocupações qualificadas que explica 84% do gap via dotações.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#2 Equidade Educacional (P2): CC=0,588 — segunda mais eficiente. Reduz o componente de dotações educacionais.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#3 Mentoria e Redes (P3): CC=0,396 — responde diretamente ao achado da SNA (betweenness=0 para negros = sem capital social estrutural).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#4 Transparência Salarial (P4): CC=0,342 — ataca os retornos diferenciais (16%).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PL-1 (Cotas CBO): projeta redução de 25,1% do gap bruto em simulações de LP.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AHP — Consistência dos Pesos: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CR=0,004 (&lt; 0,10 = aceitável). A matriz de comparação por pares de critérios é consistente — os pesos refletem preferências racionais e transitivas.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PO: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PO não é um método avaliativo adicional — é a tradução dos resultados empíricos em ação. A decomposição OB mostra que 84% do gap é de dotações → isso informa os pesos do TOPSIS. A SNA mostra que betweenness=0 → isso entra no critério de viabilidade da política P3. Os métodos são encadeados: diagnóstico → priorização → simulação.'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TOPSIS é um método multi-critério MCDM clássico (Hwang &amp; Yoon, 1981). Ele ranqueia alternativas pela distância relativa à solução ideal e à pior solução. CR&lt;0,10 no AHP é o padrão de consistência de Saaty (1980) — garantia de que os pesos derivados da comparação por pares são internamente consistentes.'</w:t>
      </w:r>
    </w:p>
    <w:p/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3 — EQUAÇÕES PARA MEMORIZAR NA DEFESA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sz w:val="22"/>
        </w:rPr>
        <w:t>Não é necessário decorar todas as equações — mas saber nomear e descrever cada componente dos 3 principais modelos demonstra domínio metodológico.</w:t>
      </w:r>
    </w:p>
    <w:p>
      <w:pPr>
        <w:pStyle w:val="Heading2"/>
      </w:pPr>
      <w:r>
        <w:rPr>
          <w:rFonts w:ascii="Calibri" w:hAnsi="Calibri"/>
          <w:color w:val="1F3864"/>
        </w:rPr>
        <w:t>3.1  Modelo HLM M4 (equação de dois níveis simplificada)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Nível 1 (indivíduo i na UPA j):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222222"/>
          <w:sz w:val="21"/>
        </w:rPr>
        <w:t>log(renda_ij) = β₀j + β₁(negro_i) + β₂(sexo_fem_i) + β₃(horas_c_i) + β₄(emprego_formal_i) + β₅(edu_anos_i) + β₆(idade_c_i) + β₇(ocp_grupo_cbo_i) + ε_ij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Nível 2 (UPA j dentro de UF k):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222222"/>
          <w:sz w:val="21"/>
        </w:rPr>
        <w:t>β₀j = γ₀₀ + γ₀₁(renda_media_upa_j) + γ₀₂(edu_media_upa_j) + u₀j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666666"/>
          <w:sz w:val="21"/>
        </w:rPr>
        <w:t>Onde u₀j ~ N(0, τ₀₀) é o efeito aleatório da UPA — fonte do ICC.</w:t>
      </w:r>
    </w:p>
    <w:p>
      <w:pPr>
        <w:spacing w:before="120" w:after="120"/>
        <w:jc w:val="left"/>
      </w:pPr>
      <w:r>
        <w:rPr>
          <w:rFonts w:ascii="Calibri" w:hAnsi="Calibri"/>
          <w:b w:val="0"/>
          <w:i w:val="0"/>
          <w:sz w:val="22"/>
        </w:rPr>
        <w:t>O interesse é em β₁: o gap racial líquido após todos os controles. Em M4, β₁ ≈ −0,0644 (−6,2%). O sinal negativo confirma que negros ganham menos, tudo o mais constante.</w:t>
      </w:r>
    </w:p>
    <w:p>
      <w:pPr>
        <w:pStyle w:val="Heading2"/>
      </w:pPr>
      <w:r>
        <w:rPr>
          <w:rFonts w:ascii="Calibri" w:hAnsi="Calibri"/>
          <w:color w:val="1F3864"/>
        </w:rPr>
        <w:t>3.2  Decomposição de Oaxaca-Blinder (two-fold)</w:t>
      </w:r>
    </w:p>
    <w:p>
      <w:pPr>
        <w:spacing w:before="0" w:after="120"/>
        <w:jc w:val="left"/>
      </w:pPr>
      <w:r>
        <w:rPr>
          <w:rFonts w:ascii="Calibri" w:hAnsi="Calibri"/>
          <w:b/>
          <w:i/>
          <w:color w:val="1565C0"/>
          <w:sz w:val="24"/>
        </w:rPr>
        <w:t>Ȳ_B − Ȳ_N  =  (X̄_B − X̄_N)·β_B  +  X̄_N·(β_B − β_N)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Ȳ_B e Ȳ_N: renda média de brancos e negros (em log).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X̄_B − X̄_N: diferença nas características médias (dotações).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β_B: vetor de retornos estimado para brancos (grupo de referência).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β_B − β_N: diferença nos retornos às mesmas características (discriminação de remuneração).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84% do gap vem do primeiro termo (dotações); 16% do segundo (retornos).</w:t>
      </w:r>
    </w:p>
    <w:p>
      <w:pPr>
        <w:pStyle w:val="Heading2"/>
      </w:pPr>
      <w:r>
        <w:rPr>
          <w:rFonts w:ascii="Calibri" w:hAnsi="Calibri"/>
          <w:color w:val="1F3864"/>
        </w:rPr>
        <w:t>3.3  GLMM — Modelo Linear Generalizado Misto (lme4::glmer)</w:t>
      </w:r>
    </w:p>
    <w:p>
      <w:pPr>
        <w:spacing w:before="0" w:after="120"/>
        <w:jc w:val="left"/>
      </w:pPr>
      <w:r>
        <w:rPr>
          <w:rFonts w:ascii="Calibri" w:hAnsi="Calibri"/>
          <w:b/>
          <w:i/>
          <w:color w:val="FF8F00"/>
          <w:sz w:val="24"/>
        </w:rPr>
        <w:t>P(ocp_qualif_ij = 1) = Λ(β₀j + β₁·negro_i + X_i·γ + u₀j)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444444"/>
          <w:sz w:val="22"/>
        </w:rPr>
        <w:t>β₀j = γ₀₀ + u₀j,  u₀j ~ N(0, σ²ᵤ)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Λ(·): função logística — transforma o preditor linear em probabilidade [0,1].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β₁ (negro): log-odds de negro vs branco. OR M1=0,674 (sem contexto); OR M2=0,691 (com efeito aleatório de UPA). N=7.694.198 (PEA completa).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u₀j: efeito aleatório de UPA j — capta a heterogeneidade entre bairros. ICC M1=22,2% | ICC M2=10,8%.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Implementação: lme4::glmer (Python equivalente via statsmodels/pymer4), nAGQ=0 (aproximação de Laplace) para viabilidade computacional, otimizador bobyqa.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M1=−5,16 p.p. | AME M2=−4,84 p.p.: interpretados como diferença de probabilidade de ocupação qualificada atribuída à raça, todas as demais características iguais.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Termos de interação (Tabela 4): negro×sexo_fem β=+0.0416 (***); negro×experiência β=−0.0019 (***); negro×educ_alto/med ns.</w:t>
      </w:r>
    </w:p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/>
        <w:jc w:val="center"/>
      </w:pPr>
      <w:r>
        <w:rPr>
          <w:rFonts w:ascii="Calibri" w:hAnsi="Calibri"/>
          <w:b/>
          <w:i/>
          <w:color w:val="1F3864"/>
          <w:sz w:val="26"/>
        </w:rPr>
        <w:t>Boa defesa, Ricardo.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