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9,80%,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0,693.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OR=0,676 — negros têm 32,4% menos chance. ICC M1=21,6%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OR=0,693 — após controlar o contexto local, negros têm 30,7% menos chance. ICC M2=10,7%.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−5,04 p.p.: sem controle de contexto, negros têm 5,04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−4,73 p.p.: com efeito aleatório de UPA, o efeito líquido de ser negro é −4,73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ICC=21,6%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36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9d — Interseccionalidade GLMM (grupo_rg): o teto de vidro recai sobre a mulher negra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OR dos 4 grupos raça×gênero vs. homem branco em 3 desfechos. A mulher negra é alçada no acesso à categoria, mas a mais excluída no topo da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GLMM com fator de 4 grupos (homem branco = referência) + interação negro×sexo_fem, em 3 desfechos: acesso a CBO 1–4, renda no top 20% e no top 10%.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ACESSO (CBO 1–4): mulher negra OR=1,33 (ACIMA do homem branco — profissões feminizadas são CBO 1–4); o mais penalizado é o homem negro (OR=0,65).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TOPO da renda (top 10%): INVERTE — a mulher negra é a MAIS excluída (OR=0,34), abaixo da mulher branca (0,49) e do homem negro (0,65).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Interação sub-aditiva (OR=1,14 no acesso): a penalidade racial é um pouco menor entre mulheres — mas a negra acumula raça + teto de vidro de gênero no topo.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 (GLMM):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efeito não é uniforme entre desfechos. No ACESSO à categoria qualificada, a mulher negra é até alçada (OR 1,33), porque profissões feminizadas — magistério, enfermagem, administrativo — são CBO 1–4; o mais barrado é o homem negro. Mas no TOPO da renda o quadro inverte: a mulher negra é a mais excluída de todas (OR 0,34 no decil superior). O teto de vidro não é racial nem sexualmente neutro — recai com força máxima sobre ela.'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interação é sub-aditiva (não é soma simples), mas isso não a protege: ela pode ENTRAR em ocupações qualificadas, mas é sistematicamente barrada de CHEGAR AO TOPO da remuneração — raça e gênero se combinam exatamente onde mais importa para a ascensão.'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O Papel do Machine Learning no Trabalho (o que dizer na defesa)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ML prediz e por que está no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Prediz a RENDA (log_renda) a partir de 28 variáveis (individuais, ocupação/CBO e contexto de UPA/UF). Desempenho: XGBoost R²=0,62; Random Forest R²=0,57.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NÃO é o motor causal (isso é HLM/GLMM/Oaxaca/Heckman/Oster). Cumpre TRÊS funções: (1) triangulação/robustez — método não-paramétrico, sem supor linearidade, confirma o sinal econométrico; (2) interpretabilidade via SHAP — quantifica a contribuição de cada variável e suas interações; (3) mecanismo tangível — waterfalls de casos individuais.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central do SHAP (forte para a defesa):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preditor nº 1 é a RENDA MÉDIA DA UPA (bairro) — acima da escolaridade e de qualquer traço individual. A variável 'negro' tem importância DIRETA modesta (abaixo do top-12).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CONFIRMA a tese (não contradiz): a raça tem efeito direto pequeno porque opera POR MEIO dos mediadores (onde mora, ocupação, formalidade), que são moldados pela barreira racial — a tradução computacional do Oaxaca-Blinder (a maior parte do gap é 'dotações', mas dotações são produto de segregação e exclusão de acesso).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conecta com o resto do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HLM: o domínio do contexto no SHAP espelha a mediação contextual do HLM (~52% via UPA). Oaxaca: importância direta pequena da raça ↔ gap majoritariamente de dotações. GLMM: o ML modela RENDA, o GLMM modela ACESSO (faces complementares). SNA: a parcela residual da raça + betweenness=0 explicam por que o diploma negro rende menos. PO: a importância SHAP ajuda a calibrar as prioridades das políticas.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Explicar vs. prever: a heterogeneidade geográfica (random slope) é inferencialmente real, mas adicionar UF ao ML não muda o R² (testado: ΔR²≈0) — o contexto já está nas features. Use essa distinção se questionarem.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Se perguntarem 'por que ML se já tem econometria?':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ML não substitui a econometria — triangula. Se um modelo flexível, livre de supor linearidade e capaz de captar qualquer interação, chega ao MESMO diagnóstico (o contexto domina, a raça opera via mediadores), o achado deixa de ser artefato de especificação. E o SHAP mostra COMO a desigualdade atua: o bairro prediz mais que o diploma — desigualdade estrutural e territorial.'</w:t>
      </w:r>
    </w:p>
    <w:p/>
    <w:p>
      <w:r>
        <w:br w:type="page"/>
      </w:r>
    </w:p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Contexto macro recente do IBGE (POF + Gini 2025) — o que dizer se a banca perguntar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2"/>
        </w:rPr>
        <w:t>A banca pode citar notícias recentes do IBGE. Distinga o que melhorou (qualidade de vida) do que NÃO melhorou (desigualdade de renda):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A) QUALIDADE DE VIDA melhorou (POF 2017–2018): o Índice de Perda de Qualidade de Vida caiu ~30%, MAS o gap racial persiste (chefes pretos/pardos 0,183 vs brancos 0,122) e o territorial também (Norte 0,223 / Nordeste 0,207 vs Sul 0,114).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B) DESIGUALDADE DE RENDA subiu: o Gini do rendimento domiciliar per capita subiu de 0,487 (2024) para 0,491 (2025), puxado pelo topo — 10% mais ricos +8,7% vs 10% mais pobres +3,1% (PNAD Contínua, Rendimento de Todas as Fontes 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RESSALVA METODOLÓGICA (importante): o Gini calculado no trabalho (~0,48) é da RENDA DO TRABALHO entre OCUPADOS — conceito DIFERENTE do Gini domiciliar per capita de todas as fontes do IBGE (~0,49). Níveis próximos, mas medidas distintas; podem divergir em tendência (a alta de 2025 vem de renda não-trabalho do topo).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'o Gini do IBGE não bate com o seu?' ou 'o Brasil não melhorou?':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que melhorou foi a QUALIDADE DE VIDA (POF), não o Gini de renda — que, aliás, SUBIU em 2025 (0,491), puxado pelo topo. Meu trabalho é coerente com isso: documenta uma barreira racial que persiste apesar do avanço social agregado.'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'Meu Gini (~0,48) e o do IBGE (~0,49) medem coisas diferentes: o meu é da renda do TRABALHO entre OCUPADOS; o do IBGE é da renda DOMICILIAR PER CAPITA de TODAS as fontes (inclui aposentadorias, transferências, capital e pessoas sem renda). Níveis próximos, mas não diretamente comparáveis — por isso não os comparo como se fossem a mesma métrica.'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contraste territorial reforça minha tese: o IBGE mostra o DF com a maior renda per capita do país, enquanto meus modelos mostram o DF com a MAIOR penalidade racial salarial — riqueza média e desigualdade racial convivem no mesmo território.'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−32,4%. Controlado: privado −34,3% / público −28,1%.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−18,9% / público −21,2%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ICC=9,80%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9,80%,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ICC=9,80%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M1=2,319; M2=2,243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−20,8% → MG −1,5%.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ρ=0,45),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854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8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Random slope também no GLMM (acesso) — versão real (lme4), não proxy: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random slope de negro foi estimado de verdade (lme4::glmer, população completa) nos três desfechos de acesso/teto. O LRT rejeita τ²=0 em todos (p&lt;0,001): a barreira de ACESSO varia entre estados, como o salário — os dois mecanismos da discriminação são geográficos.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a destacar: o gap salarial é MAIOR nos estados ricos (ρ=−0,37), mas a barreira de acesso a cargos qualificados é MENOR neles (ρ=0,65) — acesso mais fácil onde há mais empregos qualificados, porém gap salarial maior uma vez dentro.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Setor: o concurso público NÃO dissolve a barreira de acesso (OR público=0,705 ≈ privado=0,698) nem a homogeneíza entre UFs — refina 'o Estado ajuda, mas não resolve'.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SALÁRIO × ACESSO (HLM por setor): no salário o público ATENUA o gap racial (7,7% vs 11,1% privado) e o homogeneíza entre UFs; no acesso, não. Frase de defesa: 'o concurso equaliza o pagamento de quem entra, não a entrada'.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Nível de gênero (HLM): o gap de gênero também varia entre estados (LRT p&lt;0,001), com dispersão MAIOR que o racial (DP 0,064 vs 0,049); ρ negativo (−0,46) — onde a penalidade racial é maior, a de gênero tende a ser menor.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Gênero no GLMM (acesso): mulheres têm MAIS acesso a ocupações qualificadas (OR=1,99&gt;1, profissões feminizadas), mas MUITO MENOS ao topo da renda (OR top10=0,518). Frase: 'o teto de vidro de gênero é de REMUNERAÇÃO, não de categoria' — e varia mais entre estados que o racial no topo (~10×).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M1=0,676 (sem contexto); OR M2=0,693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M1=21,6% | ICC M2=10,7%.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M1=−5,04 p.p. | AME M2=−4,73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