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19.1% a menos que brancos comparáveis. Desse diferencial bruto, 52.5% é mediado pelo contexto de moradia (duplo disadvantage) e 17.3%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OR=0,693 de acesso a ocupações qualificadas (AME=−4,73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(R²=0.6169)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19.1% less than comparable White workers after controlling for education, sex, and age experience. Of this gross differential, 52.5% is mediated by residential context (local networking, Level 2), leaving a residual net gap of 9.6%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(|SHAP|=0.269),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24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Esse hiato convive com um quadro macroestrutural recente de avanço social com desigualdade persistente. De um lado, a qualidade de vida avançou: entre as edições 2008 e 2018 da Pesquisa de Orçamentos Familiares (POF), o Índice de Perda de Qualidade de Vida recuou cerca de 30%, mas a melhora foi proporcional entre os grupos e não fechou o hiato racial nem o territorial — famílias chefiadas por pessoas pretas ou pardas mantêm índice de 0,183 contra 0,122 das brancas, e o Nordeste (0,207) e o Norte (0,223) seguem muito acima do Sul (0,114) (IBGE, POF 2017–2018). De outro lado, no rendimento, a desigualdade voltou a crescer: o Gini do rendimento domiciliar per capita subiu de 0,487 (2024) para 0,491 (2025), puxado pelo distanciamento do topo — a renda dos 10% mais ricos cresceu 8,7% no ano, contra 3,1% dos 10% mais pobres (IBGE/PNAD Contínua, Rendimento de Todas as Fontes 2025). É precisamente esse padrão — progresso agregado que não dissolve a barreira racial — que este trabalho disseca no mercado de trabalho.</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9,80%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0,7665 (variância individual) e τ̂²_UF = 0,0833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0,0833</m:t>
              </m:r>
            </m:num>
            <m:den>
              <m:r>
                <m:t xml:space="preserve">0,0833 + 0,7665</m:t>
              </m:r>
            </m:den>
          </m:f>
          <m:r>
            <m:t xml:space="preserve"> = 0,0980   (9,80%)</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9,80% indica que aproximadamente 10% da variância total do log-rendimento é explicada pelo estado de residência — antes de qualquer controle individual. Mesmo após a inclusão de todas as variáveis individuais e contextuais (M3), o ICC reduz para 2,96%,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0,08327 / 0,02314 = 3,60  →  p &lt; 0,001 ***</w:t>
        <w:br/>
        <w:t>M1: z = 0,04002 / 0,01694 = 2,36  →  p &lt; 0,001 ***</w:t>
        <w:br/>
        <w:t>M2: z = 0,02990 / 0,00933 = 3,20  →  p &lt; 0,001 ***</w:t>
        <w:br/>
        <w:t>M3: z = 0,01478 / 0,00694 = 2,13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0,7665</w:t>
            </w:r>
          </w:p>
        </w:tc>
        <w:tc>
          <w:tcPr>
            <w:tcW w:type="dxa" w:w="1567"/>
            <w:shd w:fill="F2F2F2" w:val="clear"/>
          </w:tcPr>
          <w:p>
            <w:pPr>
              <w:jc w:val="center"/>
            </w:pPr>
            <w:r>
              <w:rPr>
                <w:rFonts w:ascii="Arial" w:hAnsi="Arial"/>
                <w:sz w:val="18"/>
              </w:rPr>
              <w:t>0,08327</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3,60</w:t>
            </w:r>
          </w:p>
        </w:tc>
        <w:tc>
          <w:tcPr>
            <w:tcW w:type="dxa" w:w="1567"/>
            <w:shd w:fill="F2F2F2" w:val="clear"/>
          </w:tcPr>
          <w:p>
            <w:pPr>
              <w:jc w:val="center"/>
            </w:pPr>
            <w:r>
              <w:rPr>
                <w:rFonts w:ascii="Arial" w:hAnsi="Arial"/>
                <w:sz w:val="18"/>
              </w:rPr>
              <w:t>9,80%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0,5101</w:t>
            </w:r>
          </w:p>
        </w:tc>
        <w:tc>
          <w:tcPr>
            <w:tcW w:type="dxa" w:w="1567"/>
            <w:shd w:fill="FFFFFF" w:val="clear"/>
          </w:tcPr>
          <w:p>
            <w:pPr>
              <w:jc w:val="center"/>
            </w:pPr>
            <w:r>
              <w:rPr>
                <w:rFonts w:ascii="Arial" w:hAnsi="Arial"/>
                <w:sz w:val="18"/>
              </w:rPr>
              <w:t>0,04002</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7,27%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0,4844</w:t>
            </w:r>
          </w:p>
        </w:tc>
        <w:tc>
          <w:tcPr>
            <w:tcW w:type="dxa" w:w="1567"/>
            <w:shd w:fill="F2F2F2" w:val="clear"/>
          </w:tcPr>
          <w:p>
            <w:pPr>
              <w:jc w:val="center"/>
            </w:pPr>
            <w:r>
              <w:rPr>
                <w:rFonts w:ascii="Arial" w:hAnsi="Arial"/>
                <w:sz w:val="18"/>
              </w:rPr>
              <w:t>0,02990</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3,20</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0,4844</w:t>
            </w:r>
          </w:p>
        </w:tc>
        <w:tc>
          <w:tcPr>
            <w:tcW w:type="dxa" w:w="1567"/>
            <w:shd w:fill="FFFFFF" w:val="clear"/>
          </w:tcPr>
          <w:p>
            <w:pPr>
              <w:jc w:val="center"/>
            </w:pPr>
            <w:r>
              <w:rPr>
                <w:rFonts w:ascii="Arial" w:hAnsi="Arial"/>
                <w:sz w:val="18"/>
              </w:rPr>
              <w:t>0,01478</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2,13</w:t>
            </w:r>
          </w:p>
        </w:tc>
        <w:tc>
          <w:tcPr>
            <w:tcW w:type="dxa" w:w="1567"/>
            <w:shd w:fill="FFFFFF" w:val="clear"/>
          </w:tcPr>
          <w:p>
            <w:pPr>
              <w:jc w:val="center"/>
            </w:pPr>
            <w:r>
              <w:rPr>
                <w:rFonts w:ascii="Arial" w:hAnsi="Arial"/>
                <w:sz w:val="18"/>
              </w:rPr>
              <w:t>2,96%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9,80%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ICC_UF=9,80%,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24 preditores analisados, VIF máximo = 22,25 (Educ.: não registrada); 2 variáveis críticas (VIF &gt; 10); 1 variáveis altas (5–10); 1 moderada (2–5); 20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VIF=22.25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-0.2123 (p&lt;0,001), indicando que profissionais negros recebem em média 19.1% a menos que brancos com mesma escolaridade, sexo e faixa etária — o gap racial bruto. Após a inclusão das variáveis de contexto da UPA (M2), o coeficiente reduz para -0.1009, implicando mediação contextual de 52.5% do gap bruto pelo local de moradia (duplo disadvantage). O modelo completo M3 produz β̂₁ = -0.1009: o gap líquido de 9.6%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-0.0641 (gap residual de 6.2%). A inclusão dessas variáveis explica adicionalmente 17.3%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4.2052*** (0.0387)</w:t>
            </w:r>
          </w:p>
        </w:tc>
        <w:tc>
          <w:tcPr>
            <w:tcW w:type="dxa" w:w="1304"/>
            <w:shd w:fill="FFFFFF" w:val="clear"/>
          </w:tcPr>
          <w:p>
            <w:pPr>
              <w:jc w:val="center"/>
            </w:pPr>
            <w:r>
              <w:rPr>
                <w:rFonts w:ascii="Arial" w:hAnsi="Arial"/>
                <w:sz w:val="18"/>
              </w:rPr>
              <w:t>4.2469*** (0.0335)</w:t>
            </w:r>
          </w:p>
        </w:tc>
        <w:tc>
          <w:tcPr>
            <w:tcW w:type="dxa" w:w="1304"/>
            <w:shd w:fill="FFFFFF" w:val="clear"/>
          </w:tcPr>
          <w:p>
            <w:pPr>
              <w:jc w:val="center"/>
            </w:pPr>
            <w:r>
              <w:rPr>
                <w:rFonts w:ascii="Arial" w:hAnsi="Arial"/>
                <w:sz w:val="18"/>
              </w:rPr>
              <w:t>4.2042*** (0.0253)</w:t>
            </w:r>
          </w:p>
        </w:tc>
        <w:tc>
          <w:tcPr>
            <w:tcW w:type="dxa" w:w="1304"/>
            <w:shd w:fill="FFFFFF" w:val="clear"/>
          </w:tcPr>
          <w:p>
            <w:pPr>
              <w:jc w:val="center"/>
            </w:pPr>
            <w:r>
              <w:rPr>
                <w:rFonts w:ascii="Arial" w:hAnsi="Arial"/>
                <w:sz w:val="18"/>
              </w:rPr>
              <w:t>4.4152***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-0.2123*** (0.0006)</w:t>
            </w:r>
          </w:p>
        </w:tc>
        <w:tc>
          <w:tcPr>
            <w:tcW w:type="dxa" w:w="1304"/>
            <w:shd w:fill="F2F2F2" w:val="clear"/>
          </w:tcPr>
          <w:p>
            <w:pPr>
              <w:jc w:val="center"/>
            </w:pPr>
            <w:r>
              <w:rPr>
                <w:rFonts w:ascii="Arial" w:hAnsi="Arial"/>
                <w:sz w:val="18"/>
              </w:rPr>
              <w:t>-0.1009*** (0.0006)</w:t>
            </w:r>
          </w:p>
        </w:tc>
        <w:tc>
          <w:tcPr>
            <w:tcW w:type="dxa" w:w="1304"/>
            <w:shd w:fill="F2F2F2" w:val="clear"/>
          </w:tcPr>
          <w:p>
            <w:pPr>
              <w:jc w:val="center"/>
            </w:pPr>
            <w:r>
              <w:rPr>
                <w:rFonts w:ascii="Arial" w:hAnsi="Arial"/>
                <w:sz w:val="18"/>
              </w:rPr>
              <w:t>-0.1009*** (0.0006)</w:t>
            </w:r>
          </w:p>
        </w:tc>
        <w:tc>
          <w:tcPr>
            <w:tcW w:type="dxa" w:w="1304"/>
            <w:shd w:fill="F2F2F2" w:val="clear"/>
          </w:tcPr>
          <w:p>
            <w:pPr>
              <w:jc w:val="center"/>
            </w:pPr>
            <w:r>
              <w:rPr>
                <w:rFonts w:ascii="Arial" w:hAnsi="Arial"/>
                <w:sz w:val="18"/>
              </w:rPr>
              <w:t>-0.0641***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-0.1844*** (0.0005)</w:t>
            </w:r>
          </w:p>
        </w:tc>
        <w:tc>
          <w:tcPr>
            <w:tcW w:type="dxa" w:w="1304"/>
            <w:shd w:fill="FFFFFF" w:val="clear"/>
          </w:tcPr>
          <w:p>
            <w:pPr>
              <w:jc w:val="center"/>
            </w:pPr>
            <w:r>
              <w:rPr>
                <w:rFonts w:ascii="Arial" w:hAnsi="Arial"/>
                <w:sz w:val="18"/>
              </w:rPr>
              <w:t>-0.1852*** (0.0005)</w:t>
            </w:r>
          </w:p>
        </w:tc>
        <w:tc>
          <w:tcPr>
            <w:tcW w:type="dxa" w:w="1304"/>
            <w:shd w:fill="FFFFFF" w:val="clear"/>
          </w:tcPr>
          <w:p>
            <w:pPr>
              <w:jc w:val="center"/>
            </w:pPr>
            <w:r>
              <w:rPr>
                <w:rFonts w:ascii="Arial" w:hAnsi="Arial"/>
                <w:sz w:val="18"/>
              </w:rPr>
              <w:t>-0.1852*** (0.0005)</w:t>
            </w:r>
          </w:p>
        </w:tc>
        <w:tc>
          <w:tcPr>
            <w:tcW w:type="dxa" w:w="1304"/>
            <w:shd w:fill="FFFFFF" w:val="clear"/>
          </w:tcPr>
          <w:p>
            <w:pPr>
              <w:jc w:val="center"/>
            </w:pPr>
            <w:r>
              <w:rPr>
                <w:rFonts w:ascii="Arial" w:hAnsi="Arial"/>
                <w:sz w:val="18"/>
              </w:rPr>
              <w:t>-0.2239***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0.0121*** (0.0000)</w:t>
            </w:r>
          </w:p>
        </w:tc>
        <w:tc>
          <w:tcPr>
            <w:tcW w:type="dxa" w:w="1304"/>
            <w:shd w:fill="F2F2F2" w:val="clear"/>
          </w:tcPr>
          <w:p>
            <w:pPr>
              <w:jc w:val="center"/>
            </w:pPr>
            <w:r>
              <w:rPr>
                <w:rFonts w:ascii="Arial" w:hAnsi="Arial"/>
                <w:sz w:val="18"/>
              </w:rPr>
              <w:t>0.0106*** (0.0000)</w:t>
            </w:r>
          </w:p>
        </w:tc>
        <w:tc>
          <w:tcPr>
            <w:tcW w:type="dxa" w:w="1304"/>
            <w:shd w:fill="F2F2F2" w:val="clear"/>
          </w:tcPr>
          <w:p>
            <w:pPr>
              <w:jc w:val="center"/>
            </w:pPr>
            <w:r>
              <w:rPr>
                <w:rFonts w:ascii="Arial" w:hAnsi="Arial"/>
                <w:sz w:val="18"/>
              </w:rPr>
              <w:t>0.0106*** (0.0000)</w:t>
            </w:r>
          </w:p>
        </w:tc>
        <w:tc>
          <w:tcPr>
            <w:tcW w:type="dxa" w:w="1304"/>
            <w:shd w:fill="F2F2F2" w:val="clear"/>
          </w:tcPr>
          <w:p>
            <w:pPr>
              <w:jc w:val="center"/>
            </w:pPr>
            <w:r>
              <w:rPr>
                <w:rFonts w:ascii="Arial" w:hAnsi="Arial"/>
                <w:sz w:val="18"/>
              </w:rPr>
              <w:t>0.0103***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-0.2631*** (0.0041)</w:t>
            </w:r>
          </w:p>
        </w:tc>
        <w:tc>
          <w:tcPr>
            <w:tcW w:type="dxa" w:w="1304"/>
            <w:shd w:fill="F2F2F2" w:val="clear"/>
          </w:tcPr>
          <w:p>
            <w:pPr>
              <w:jc w:val="center"/>
            </w:pPr>
            <w:r>
              <w:rPr>
                <w:rFonts w:ascii="Arial" w:hAnsi="Arial"/>
                <w:sz w:val="18"/>
              </w:rPr>
              <w:t>-0.2540*** (0.0040)</w:t>
            </w:r>
          </w:p>
        </w:tc>
        <w:tc>
          <w:tcPr>
            <w:tcW w:type="dxa" w:w="1304"/>
            <w:shd w:fill="F2F2F2" w:val="clear"/>
          </w:tcPr>
          <w:p>
            <w:pPr>
              <w:jc w:val="center"/>
            </w:pPr>
            <w:r>
              <w:rPr>
                <w:rFonts w:ascii="Arial" w:hAnsi="Arial"/>
                <w:sz w:val="18"/>
              </w:rPr>
              <w:t>-0.2540*** (0.0040)</w:t>
            </w:r>
          </w:p>
        </w:tc>
        <w:tc>
          <w:tcPr>
            <w:tcW w:type="dxa" w:w="1304"/>
            <w:shd w:fill="F2F2F2" w:val="clear"/>
          </w:tcPr>
          <w:p>
            <w:pPr>
              <w:jc w:val="center"/>
            </w:pPr>
            <w:r>
              <w:rPr>
                <w:rFonts w:ascii="Arial" w:hAnsi="Arial"/>
                <w:sz w:val="18"/>
              </w:rPr>
              <w:t>-0.2293*** (0.0036)</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-0.0685*** (0.0029)</w:t>
            </w:r>
          </w:p>
        </w:tc>
        <w:tc>
          <w:tcPr>
            <w:tcW w:type="dxa" w:w="1304"/>
            <w:shd w:fill="FFFFFF" w:val="clear"/>
          </w:tcPr>
          <w:p>
            <w:pPr>
              <w:jc w:val="center"/>
            </w:pPr>
            <w:r>
              <w:rPr>
                <w:rFonts w:ascii="Arial" w:hAnsi="Arial"/>
                <w:sz w:val="18"/>
              </w:rPr>
              <w:t>-0.0652*** (0.0028)</w:t>
            </w:r>
          </w:p>
        </w:tc>
        <w:tc>
          <w:tcPr>
            <w:tcW w:type="dxa" w:w="1304"/>
            <w:shd w:fill="FFFFFF" w:val="clear"/>
          </w:tcPr>
          <w:p>
            <w:pPr>
              <w:jc w:val="center"/>
            </w:pPr>
            <w:r>
              <w:rPr>
                <w:rFonts w:ascii="Arial" w:hAnsi="Arial"/>
                <w:sz w:val="18"/>
              </w:rPr>
              <w:t>-0.0652*** (0.0028)</w:t>
            </w:r>
          </w:p>
        </w:tc>
        <w:tc>
          <w:tcPr>
            <w:tcW w:type="dxa" w:w="1304"/>
            <w:shd w:fill="FFFFFF" w:val="clear"/>
          </w:tcPr>
          <w:p>
            <w:pPr>
              <w:jc w:val="center"/>
            </w:pPr>
            <w:r>
              <w:rPr>
                <w:rFonts w:ascii="Arial" w:hAnsi="Arial"/>
                <w:sz w:val="18"/>
              </w:rPr>
              <w:t>-0.0356*** (0.0025)</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0.0735*** (0.0027)</w:t>
            </w:r>
          </w:p>
        </w:tc>
        <w:tc>
          <w:tcPr>
            <w:tcW w:type="dxa" w:w="1304"/>
            <w:shd w:fill="F2F2F2" w:val="clear"/>
          </w:tcPr>
          <w:p>
            <w:pPr>
              <w:jc w:val="center"/>
            </w:pPr>
            <w:r>
              <w:rPr>
                <w:rFonts w:ascii="Arial" w:hAnsi="Arial"/>
                <w:sz w:val="18"/>
              </w:rPr>
              <w:t>0.0703*** (0.0027)</w:t>
            </w:r>
          </w:p>
        </w:tc>
        <w:tc>
          <w:tcPr>
            <w:tcW w:type="dxa" w:w="1304"/>
            <w:shd w:fill="F2F2F2" w:val="clear"/>
          </w:tcPr>
          <w:p>
            <w:pPr>
              <w:jc w:val="center"/>
            </w:pPr>
            <w:r>
              <w:rPr>
                <w:rFonts w:ascii="Arial" w:hAnsi="Arial"/>
                <w:sz w:val="18"/>
              </w:rPr>
              <w:t>0.0703*** (0.0027)</w:t>
            </w:r>
          </w:p>
        </w:tc>
        <w:tc>
          <w:tcPr>
            <w:tcW w:type="dxa" w:w="1304"/>
            <w:shd w:fill="F2F2F2" w:val="clear"/>
          </w:tcPr>
          <w:p>
            <w:pPr>
              <w:jc w:val="center"/>
            </w:pPr>
            <w:r>
              <w:rPr>
                <w:rFonts w:ascii="Arial" w:hAnsi="Arial"/>
                <w:sz w:val="18"/>
              </w:rPr>
              <w:t>0.0679*** (0.0024)</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-0.0020 (0.0040)</w:t>
            </w:r>
          </w:p>
        </w:tc>
        <w:tc>
          <w:tcPr>
            <w:tcW w:type="dxa" w:w="1304"/>
            <w:shd w:fill="FFFFFF" w:val="clear"/>
          </w:tcPr>
          <w:p>
            <w:pPr>
              <w:jc w:val="center"/>
            </w:pPr>
            <w:r>
              <w:rPr>
                <w:rFonts w:ascii="Arial" w:hAnsi="Arial"/>
                <w:sz w:val="18"/>
              </w:rPr>
              <w:t>0.0038 (0.0039)</w:t>
            </w:r>
          </w:p>
        </w:tc>
        <w:tc>
          <w:tcPr>
            <w:tcW w:type="dxa" w:w="1304"/>
            <w:shd w:fill="FFFFFF" w:val="clear"/>
          </w:tcPr>
          <w:p>
            <w:pPr>
              <w:jc w:val="center"/>
            </w:pPr>
            <w:r>
              <w:rPr>
                <w:rFonts w:ascii="Arial" w:hAnsi="Arial"/>
                <w:sz w:val="18"/>
              </w:rPr>
              <w:t>0.0038 (0.0039)</w:t>
            </w:r>
          </w:p>
        </w:tc>
        <w:tc>
          <w:tcPr>
            <w:tcW w:type="dxa" w:w="1304"/>
            <w:shd w:fill="FFFFFF" w:val="clear"/>
          </w:tcPr>
          <w:p>
            <w:pPr>
              <w:jc w:val="center"/>
            </w:pPr>
            <w:r>
              <w:rPr>
                <w:rFonts w:ascii="Arial" w:hAnsi="Arial"/>
                <w:sz w:val="18"/>
              </w:rPr>
              <w:t>-0.0036 (0.0034)</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-0.2689*** (0.0005)</w:t>
            </w:r>
          </w:p>
        </w:tc>
        <w:tc>
          <w:tcPr>
            <w:tcW w:type="dxa" w:w="1304"/>
            <w:shd w:fill="F2F2F2" w:val="clear"/>
          </w:tcPr>
          <w:p>
            <w:pPr>
              <w:jc w:val="center"/>
            </w:pPr>
            <w:r>
              <w:rPr>
                <w:rFonts w:ascii="Arial" w:hAnsi="Arial"/>
                <w:sz w:val="18"/>
              </w:rPr>
              <w:t>-0.2689*** (0.0005)</w:t>
            </w:r>
          </w:p>
        </w:tc>
        <w:tc>
          <w:tcPr>
            <w:tcW w:type="dxa" w:w="1304"/>
            <w:shd w:fill="F2F2F2" w:val="clear"/>
          </w:tcPr>
          <w:p>
            <w:pPr>
              <w:jc w:val="center"/>
            </w:pPr>
            <w:r>
              <w:rPr>
                <w:rFonts w:ascii="Arial" w:hAnsi="Arial"/>
                <w:sz w:val="18"/>
              </w:rPr>
              <w:t>-0.1852***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-0.0403*** (0.0004)</w:t>
            </w:r>
          </w:p>
        </w:tc>
        <w:tc>
          <w:tcPr>
            <w:tcW w:type="dxa" w:w="1304"/>
            <w:shd w:fill="FFFFFF" w:val="clear"/>
          </w:tcPr>
          <w:p>
            <w:pPr>
              <w:jc w:val="center"/>
            </w:pPr>
            <w:r>
              <w:rPr>
                <w:rFonts w:ascii="Arial" w:hAnsi="Arial"/>
                <w:sz w:val="18"/>
              </w:rPr>
              <w:t>-0.0403*** (0.0004)</w:t>
            </w:r>
          </w:p>
        </w:tc>
        <w:tc>
          <w:tcPr>
            <w:tcW w:type="dxa" w:w="1304"/>
            <w:shd w:fill="FFFFFF" w:val="clear"/>
          </w:tcPr>
          <w:p>
            <w:pPr>
              <w:jc w:val="center"/>
            </w:pPr>
            <w:r>
              <w:rPr>
                <w:rFonts w:ascii="Arial" w:hAnsi="Arial"/>
                <w:sz w:val="18"/>
              </w:rPr>
              <w:t>-0.0300***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-0.0041*** (0.0003)</w:t>
            </w:r>
          </w:p>
        </w:tc>
        <w:tc>
          <w:tcPr>
            <w:tcW w:type="dxa" w:w="1304"/>
            <w:shd w:fill="F2F2F2" w:val="clear"/>
          </w:tcPr>
          <w:p>
            <w:pPr>
              <w:jc w:val="center"/>
            </w:pPr>
            <w:r>
              <w:rPr>
                <w:rFonts w:ascii="Arial" w:hAnsi="Arial"/>
                <w:sz w:val="18"/>
              </w:rPr>
              <w:t>-0.0041*** (0.0003)</w:t>
            </w:r>
          </w:p>
        </w:tc>
        <w:tc>
          <w:tcPr>
            <w:tcW w:type="dxa" w:w="1304"/>
            <w:shd w:fill="F2F2F2" w:val="clear"/>
          </w:tcPr>
          <w:p>
            <w:pPr>
              <w:jc w:val="center"/>
            </w:pPr>
            <w:r>
              <w:rPr>
                <w:rFonts w:ascii="Arial" w:hAnsi="Arial"/>
                <w:sz w:val="18"/>
              </w:rPr>
              <w:t>0.0091***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0.0645 (0.0336)</w:t>
            </w:r>
          </w:p>
        </w:tc>
        <w:tc>
          <w:tcPr>
            <w:tcW w:type="dxa" w:w="1304"/>
            <w:shd w:fill="FFFFFF" w:val="clear"/>
          </w:tcPr>
          <w:p>
            <w:pPr>
              <w:jc w:val="center"/>
            </w:pPr>
            <w:r>
              <w:rPr>
                <w:rFonts w:ascii="Arial" w:hAnsi="Arial"/>
                <w:sz w:val="18"/>
              </w:rPr>
              <w:t>0.0218 (0.0292)</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-0.0543 (0.0282)</w:t>
            </w:r>
          </w:p>
        </w:tc>
        <w:tc>
          <w:tcPr>
            <w:tcW w:type="dxa" w:w="1304"/>
            <w:shd w:fill="F2F2F2" w:val="clear"/>
          </w:tcPr>
          <w:p>
            <w:pPr>
              <w:jc w:val="center"/>
            </w:pPr>
            <w:r>
              <w:rPr>
                <w:rFonts w:ascii="Arial" w:hAnsi="Arial"/>
                <w:sz w:val="18"/>
              </w:rPr>
              <w:t>-0.0659** (0.0245)</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0.0819*** (0.0210)</w:t>
            </w:r>
          </w:p>
        </w:tc>
        <w:tc>
          <w:tcPr>
            <w:tcW w:type="dxa" w:w="1304"/>
            <w:shd w:fill="FFFFFF" w:val="clear"/>
          </w:tcPr>
          <w:p>
            <w:pPr>
              <w:jc w:val="center"/>
            </w:pPr>
            <w:r>
              <w:rPr>
                <w:rFonts w:ascii="Arial" w:hAnsi="Arial"/>
                <w:sz w:val="18"/>
              </w:rPr>
              <w:t>0.0721***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0.5101</w:t>
            </w:r>
          </w:p>
        </w:tc>
        <w:tc>
          <w:tcPr>
            <w:tcW w:type="dxa" w:w="1304"/>
            <w:shd w:fill="F2F2F2" w:val="clear"/>
          </w:tcPr>
          <w:p>
            <w:pPr>
              <w:jc w:val="center"/>
            </w:pPr>
            <w:r>
              <w:rPr>
                <w:rFonts w:ascii="Arial" w:hAnsi="Arial"/>
                <w:sz w:val="18"/>
              </w:rPr>
              <w:t>0.4844</w:t>
            </w:r>
          </w:p>
        </w:tc>
        <w:tc>
          <w:tcPr>
            <w:tcW w:type="dxa" w:w="1304"/>
            <w:shd w:fill="F2F2F2" w:val="clear"/>
          </w:tcPr>
          <w:p>
            <w:pPr>
              <w:jc w:val="center"/>
            </w:pPr>
            <w:r>
              <w:rPr>
                <w:rFonts w:ascii="Arial" w:hAnsi="Arial"/>
                <w:sz w:val="18"/>
              </w:rPr>
              <w:t>0.4844</w:t>
            </w:r>
          </w:p>
        </w:tc>
        <w:tc>
          <w:tcPr>
            <w:tcW w:type="dxa" w:w="1304"/>
            <w:shd w:fill="F2F2F2" w:val="clear"/>
          </w:tcPr>
          <w:p>
            <w:pPr>
              <w:jc w:val="center"/>
            </w:pPr>
            <w:r>
              <w:rPr>
                <w:rFonts w:ascii="Arial" w:hAnsi="Arial"/>
                <w:sz w:val="18"/>
              </w:rPr>
              <w:t>0.3784</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0.04002</w:t>
            </w:r>
          </w:p>
        </w:tc>
        <w:tc>
          <w:tcPr>
            <w:tcW w:type="dxa" w:w="1304"/>
            <w:shd w:fill="FFFFFF" w:val="clear"/>
          </w:tcPr>
          <w:p>
            <w:pPr>
              <w:jc w:val="center"/>
            </w:pPr>
            <w:r>
              <w:rPr>
                <w:rFonts w:ascii="Arial" w:hAnsi="Arial"/>
                <w:sz w:val="18"/>
              </w:rPr>
              <w:t>0.02990</w:t>
            </w:r>
          </w:p>
        </w:tc>
        <w:tc>
          <w:tcPr>
            <w:tcW w:type="dxa" w:w="1304"/>
            <w:shd w:fill="FFFFFF" w:val="clear"/>
          </w:tcPr>
          <w:p>
            <w:pPr>
              <w:jc w:val="center"/>
            </w:pPr>
            <w:r>
              <w:rPr>
                <w:rFonts w:ascii="Arial" w:hAnsi="Arial"/>
                <w:sz w:val="18"/>
              </w:rPr>
              <w:t>0.01478</w:t>
            </w:r>
          </w:p>
        </w:tc>
        <w:tc>
          <w:tcPr>
            <w:tcW w:type="dxa" w:w="1304"/>
            <w:shd w:fill="FFFFFF" w:val="clear"/>
          </w:tcPr>
          <w:p>
            <w:pPr>
              <w:jc w:val="center"/>
            </w:pPr>
            <w:r>
              <w:rPr>
                <w:rFonts w:ascii="Arial" w:hAnsi="Arial"/>
                <w:sz w:val="18"/>
              </w:rPr>
              <w:t>0.01116</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0.0727</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0.0296</w:t>
            </w:r>
          </w:p>
        </w:tc>
        <w:tc>
          <w:tcPr>
            <w:tcW w:type="dxa" w:w="1304"/>
            <w:shd w:fill="F2F2F2" w:val="clear"/>
          </w:tcPr>
          <w:p>
            <w:pPr>
              <w:jc w:val="center"/>
            </w:pPr>
            <w:r>
              <w:rPr>
                <w:rFonts w:ascii="Arial" w:hAnsi="Arial"/>
                <w:sz w:val="18"/>
              </w:rPr>
              <w:t>0.0287</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população completa (N=7.689.426).</w:t>
      </w:r>
    </w:p>
    <w:p>
      <w:pPr>
        <w:spacing w:after="120" w:lineRule="auto" w:line="360"/>
        <w:ind w:firstLine="709"/>
        <w:jc w:val="both"/>
      </w:pPr>
      <w:r>
        <w:rPr>
          <w:rFonts w:ascii="Times New Roman" w:hAnsi="Times New Roman"/>
          <w:b w:val="0"/>
          <w:i w:val="0"/>
          <w:sz w:val="24"/>
        </w:rPr>
        <w:t>O LRT boundary test (Stram &amp; Lee, 1994) rejeita H₀: τ²(negro)=0 com LR=7547,7, p&lt;0,001 ***: a discriminação racial varia significativamente entre estados brasileiros. O efeito fixo médio nacional é β̂₁=-0.1206 (gap de 11.4%), com variância entre UFs de τ²₁=0.002548 (DP=0.0505 log-pontos). Em 95% dos estados, o gap situa-se no intervalo [-19.7%; -2.1%].</w:t>
      </w:r>
    </w:p>
    <w:p>
      <w:pPr>
        <w:spacing w:after="120" w:lineRule="auto" w:line="360"/>
        <w:ind w:firstLine="709"/>
        <w:jc w:val="both"/>
      </w:pPr>
      <w:r>
        <w:rPr>
          <w:rFonts w:ascii="Times New Roman" w:hAnsi="Times New Roman"/>
          <w:b w:val="0"/>
          <w:i w:val="0"/>
          <w:sz w:val="24"/>
        </w:rPr>
        <w:t>A correlação entre intercepto e slope é ρ=-0.367 (negativa — em estados com menor renda média, o gap racial é maior, indicando que discriminação salarial se concentra nas regiões mais pobres). O ICC do efeito racial (proporção da variância do gap explicada pelo estado) é de 0.52% — pequeno em termos absolutos, mas estatisticamente robusto (LRT p&lt;0,001), pois o intervalo [-19.7%; -2.1%] representa variação substantiva de política: a distância entre o estado com menor e maior discriminação é de 17.6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-0.1206</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0.002548</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0.0505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-0.3670</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0,4840</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0.52%</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7547,7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11.4%</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[-19.7%; -2.1%]</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pPr>
        <w:pStyle w:val="Heading2"/>
        <w:spacing w:before="240" w:after="120"/>
      </w:pPr>
      <w:r>
        <w:rPr>
          <w:rFonts w:ascii="Arial" w:hAnsi="Arial"/>
          <w:b/>
          <w:color w:val="000000"/>
          <w:sz w:val="26"/>
        </w:rPr>
        <w:t>4.1d PO Regionalizada: Focalização Territorial da Política</w:t>
      </w:r>
    </w:p>
    <w:p>
      <w:pPr>
        <w:spacing w:after="120" w:lineRule="auto" w:line="360"/>
        <w:ind w:firstLine="709"/>
        <w:jc w:val="both"/>
      </w:pPr>
      <w:r>
        <w:rPr>
          <w:rFonts w:ascii="Times New Roman" w:hAnsi="Times New Roman"/>
          <w:b w:val="0"/>
          <w:i w:val="0"/>
          <w:sz w:val="24"/>
        </w:rPr>
        <w:t>A heterogeneidade geográfica estabelecida em 4.1c tem consequência prescritiva direta. Usando os BLUPs do MixedLM como gap específico de cada uma das 27 UFs, formulou-se um programa linear que aloca o orçamento priorizando os estados de maior penalidade racial (severidade × população negra afetada), em contraste com a alocação uniforme entre todas as UFs. O resultado é inequívoco: concentrar recursos nas UFs mais críticas reduz o gap agregado 68,2% acima da alocação uniforme com orçamento intermediário (B=9 UFs) — e até 125,5% quando o orçamento é escasso (B=3). O ganho decorre exclusivamente da focalização, mantida constante a efetividade da política entre estados.</w:t>
      </w:r>
    </w:p>
    <w:p>
      <w:pPr>
        <w:spacing w:after="120" w:lineRule="auto" w:line="360"/>
        <w:ind w:firstLine="709"/>
        <w:jc w:val="both"/>
      </w:pPr>
      <w:r>
        <w:rPr>
          <w:rFonts w:ascii="Times New Roman" w:hAnsi="Times New Roman"/>
          <w:b w:val="0"/>
          <w:i w:val="0"/>
          <w:sz w:val="24"/>
        </w:rPr>
        <w:t>As unidades prioritárias (DF, AM, TO, PA, AC) combinam alta penalidade — liderada pelo DF (20.8%) — e elevada população negra afetada, enquanto MG registra o menor diferencial (1.5%). A concentração das maiores penalidades no Distrito Federal e nos estados do Norte indica que a política de equidade racial salarial deve ter desenho federativo diferenciado, e não uniforme.</w:t>
      </w:r>
    </w:p>
    <w:p>
      <w:pPr>
        <w:spacing w:after="120" w:lineRule="auto" w:line="360"/>
        <w:ind w:firstLine="709"/>
        <w:jc w:val="both"/>
      </w:pPr>
      <w:r>
        <w:rPr>
          <w:rFonts w:ascii="Times New Roman" w:hAnsi="Times New Roman"/>
          <w:b w:val="0"/>
          <w:i/>
          <w:sz w:val="24"/>
        </w:rPr>
        <w:t>Nota metodológica: adotou-se o BLUP do modelo misto como base oficial, e não a aproximação rápida por OLS estadual com encolhimento empirical Bayes. A comparação formal mostrou que os dois estimadores divergem (Spearman ρ=0,45; sobreposição de apenas 2 das 5 UFs prioritárias), pois o BLUP mantém os coeficientes de controle agrupados nacionalmente enquanto o OLS estadual os libera — não sendo, portanto, intercambiáveis.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r>
              <w:rPr>
                <w:rFonts w:ascii="Arial" w:hAnsi="Arial"/>
                <w:b/>
                <w:color w:val="FFFFFF"/>
                <w:sz w:val="20"/>
              </w:rPr>
              <w:t>Orçamento (UFs)</w:t>
            </w:r>
          </w:p>
        </w:tc>
        <w:tc>
          <w:tcPr>
            <w:tcW w:type="dxa" w:w="2351"/>
            <w:shd w:fill="1F3864" w:val="clear"/>
          </w:tcPr>
          <w:p>
            <w:r>
              <w:rPr>
                <w:rFonts w:ascii="Arial" w:hAnsi="Arial"/>
                <w:b/>
                <w:color w:val="FFFFFF"/>
                <w:sz w:val="20"/>
              </w:rPr>
              <w:t>Redução focalizada</w:t>
            </w:r>
          </w:p>
        </w:tc>
        <w:tc>
          <w:tcPr>
            <w:tcW w:type="dxa" w:w="2351"/>
            <w:shd w:fill="1F3864" w:val="clear"/>
          </w:tcPr>
          <w:p>
            <w:r>
              <w:rPr>
                <w:rFonts w:ascii="Arial" w:hAnsi="Arial"/>
                <w:b/>
                <w:color w:val="FFFFFF"/>
                <w:sz w:val="20"/>
              </w:rPr>
              <w:t>Redução uniforme</w:t>
            </w:r>
          </w:p>
        </w:tc>
        <w:tc>
          <w:tcPr>
            <w:tcW w:type="dxa" w:w="2351"/>
            <w:shd w:fill="1F3864" w:val="clear"/>
          </w:tcPr>
          <w:p>
            <w:r>
              <w:rPr>
                <w:rFonts w:ascii="Arial" w:hAnsi="Arial"/>
                <w:b/>
                <w:color w:val="FFFFFF"/>
                <w:sz w:val="20"/>
              </w:rPr>
              <w:t>Ganho</w:t>
            </w:r>
          </w:p>
        </w:tc>
      </w:tr>
      <w:tr>
        <w:tc>
          <w:tcPr>
            <w:tcW w:type="dxa" w:w="2351"/>
            <w:shd w:fill="D9E1F2" w:val="clear"/>
          </w:tcPr>
          <w:p>
            <w:r>
              <w:rPr>
                <w:rFonts w:ascii="Times New Roman" w:hAnsi="Times New Roman"/>
                <w:sz w:val="20"/>
              </w:rPr>
              <w:t>3</w:t>
            </w:r>
          </w:p>
        </w:tc>
        <w:tc>
          <w:tcPr>
            <w:tcW w:type="dxa" w:w="2351"/>
            <w:shd w:fill="D9E1F2" w:val="clear"/>
          </w:tcPr>
          <w:p>
            <w:r>
              <w:rPr>
                <w:rFonts w:ascii="Times New Roman" w:hAnsi="Times New Roman"/>
                <w:sz w:val="20"/>
              </w:rPr>
              <w:t>0,00832</w:t>
            </w:r>
          </w:p>
        </w:tc>
        <w:tc>
          <w:tcPr>
            <w:tcW w:type="dxa" w:w="2351"/>
            <w:shd w:fill="D9E1F2" w:val="clear"/>
          </w:tcPr>
          <w:p>
            <w:r>
              <w:rPr>
                <w:rFonts w:ascii="Times New Roman" w:hAnsi="Times New Roman"/>
                <w:sz w:val="20"/>
              </w:rPr>
              <w:t>0,00369</w:t>
            </w:r>
          </w:p>
        </w:tc>
        <w:tc>
          <w:tcPr>
            <w:tcW w:type="dxa" w:w="2351"/>
            <w:shd w:fill="D9E1F2" w:val="clear"/>
          </w:tcPr>
          <w:p>
            <w:r>
              <w:rPr>
                <w:rFonts w:ascii="Times New Roman" w:hAnsi="Times New Roman"/>
                <w:sz w:val="20"/>
              </w:rPr>
              <w:t>125,5%</w:t>
            </w:r>
          </w:p>
        </w:tc>
      </w:tr>
      <w:tr>
        <w:tc>
          <w:tcPr>
            <w:tcW w:type="dxa" w:w="2351"/>
            <w:shd w:fill="EBF0F9" w:val="clear"/>
          </w:tcPr>
          <w:p>
            <w:r>
              <w:rPr>
                <w:rFonts w:ascii="Times New Roman" w:hAnsi="Times New Roman"/>
                <w:sz w:val="20"/>
              </w:rPr>
              <w:t>6</w:t>
            </w:r>
          </w:p>
        </w:tc>
        <w:tc>
          <w:tcPr>
            <w:tcW w:type="dxa" w:w="2351"/>
            <w:shd w:fill="EBF0F9" w:val="clear"/>
          </w:tcPr>
          <w:p>
            <w:r>
              <w:rPr>
                <w:rFonts w:ascii="Times New Roman" w:hAnsi="Times New Roman"/>
                <w:sz w:val="20"/>
              </w:rPr>
              <w:t>0,01456</w:t>
            </w:r>
          </w:p>
        </w:tc>
        <w:tc>
          <w:tcPr>
            <w:tcW w:type="dxa" w:w="2351"/>
            <w:shd w:fill="EBF0F9" w:val="clear"/>
          </w:tcPr>
          <w:p>
            <w:r>
              <w:rPr>
                <w:rFonts w:ascii="Times New Roman" w:hAnsi="Times New Roman"/>
                <w:sz w:val="20"/>
              </w:rPr>
              <w:t>0,00738</w:t>
            </w:r>
          </w:p>
        </w:tc>
        <w:tc>
          <w:tcPr>
            <w:tcW w:type="dxa" w:w="2351"/>
            <w:shd w:fill="EBF0F9" w:val="clear"/>
          </w:tcPr>
          <w:p>
            <w:r>
              <w:rPr>
                <w:rFonts w:ascii="Times New Roman" w:hAnsi="Times New Roman"/>
                <w:sz w:val="20"/>
              </w:rPr>
              <w:t>97,4%</w:t>
            </w:r>
          </w:p>
        </w:tc>
      </w:tr>
      <w:tr>
        <w:tc>
          <w:tcPr>
            <w:tcW w:type="dxa" w:w="2351"/>
            <w:shd w:fill="D9E1F2" w:val="clear"/>
          </w:tcPr>
          <w:p>
            <w:r>
              <w:rPr>
                <w:rFonts w:ascii="Times New Roman" w:hAnsi="Times New Roman"/>
                <w:sz w:val="20"/>
              </w:rPr>
              <w:t>9</w:t>
            </w:r>
          </w:p>
        </w:tc>
        <w:tc>
          <w:tcPr>
            <w:tcW w:type="dxa" w:w="2351"/>
            <w:shd w:fill="D9E1F2" w:val="clear"/>
          </w:tcPr>
          <w:p>
            <w:r>
              <w:rPr>
                <w:rFonts w:ascii="Times New Roman" w:hAnsi="Times New Roman"/>
                <w:sz w:val="20"/>
              </w:rPr>
              <w:t>0,01862</w:t>
            </w:r>
          </w:p>
        </w:tc>
        <w:tc>
          <w:tcPr>
            <w:tcW w:type="dxa" w:w="2351"/>
            <w:shd w:fill="D9E1F2" w:val="clear"/>
          </w:tcPr>
          <w:p>
            <w:r>
              <w:rPr>
                <w:rFonts w:ascii="Times New Roman" w:hAnsi="Times New Roman"/>
                <w:sz w:val="20"/>
              </w:rPr>
              <w:t>0,01107</w:t>
            </w:r>
          </w:p>
        </w:tc>
        <w:tc>
          <w:tcPr>
            <w:tcW w:type="dxa" w:w="2351"/>
            <w:shd w:fill="D9E1F2" w:val="clear"/>
          </w:tcPr>
          <w:p>
            <w:r>
              <w:rPr>
                <w:rFonts w:ascii="Times New Roman" w:hAnsi="Times New Roman"/>
                <w:sz w:val="20"/>
              </w:rPr>
              <w:t>68,2%</w:t>
            </w:r>
          </w:p>
        </w:tc>
      </w:tr>
      <w:tr>
        <w:tc>
          <w:tcPr>
            <w:tcW w:type="dxa" w:w="2351"/>
            <w:shd w:fill="EBF0F9" w:val="clear"/>
          </w:tcPr>
          <w:p>
            <w:r>
              <w:rPr>
                <w:rFonts w:ascii="Times New Roman" w:hAnsi="Times New Roman"/>
                <w:sz w:val="20"/>
              </w:rPr>
              <w:t>12</w:t>
            </w:r>
          </w:p>
        </w:tc>
        <w:tc>
          <w:tcPr>
            <w:tcW w:type="dxa" w:w="2351"/>
            <w:shd w:fill="EBF0F9" w:val="clear"/>
          </w:tcPr>
          <w:p>
            <w:r>
              <w:rPr>
                <w:rFonts w:ascii="Times New Roman" w:hAnsi="Times New Roman"/>
                <w:sz w:val="20"/>
              </w:rPr>
              <w:t>0,02220</w:t>
            </w:r>
          </w:p>
        </w:tc>
        <w:tc>
          <w:tcPr>
            <w:tcW w:type="dxa" w:w="2351"/>
            <w:shd w:fill="EBF0F9" w:val="clear"/>
          </w:tcPr>
          <w:p>
            <w:r>
              <w:rPr>
                <w:rFonts w:ascii="Times New Roman" w:hAnsi="Times New Roman"/>
                <w:sz w:val="20"/>
              </w:rPr>
              <w:t>0,01476</w:t>
            </w:r>
          </w:p>
        </w:tc>
        <w:tc>
          <w:tcPr>
            <w:tcW w:type="dxa" w:w="2351"/>
            <w:shd w:fill="EBF0F9" w:val="clear"/>
          </w:tcPr>
          <w:p>
            <w:r>
              <w:rPr>
                <w:rFonts w:ascii="Times New Roman" w:hAnsi="Times New Roman"/>
                <w:sz w:val="20"/>
              </w:rPr>
              <w:t>50,5%</w:t>
            </w:r>
          </w:p>
        </w:tc>
      </w:tr>
      <w:tr>
        <w:tc>
          <w:tcPr>
            <w:tcW w:type="dxa" w:w="2351"/>
            <w:shd w:fill="D9E1F2" w:val="clear"/>
          </w:tcPr>
          <w:p>
            <w:r>
              <w:rPr>
                <w:rFonts w:ascii="Times New Roman" w:hAnsi="Times New Roman"/>
                <w:sz w:val="20"/>
              </w:rPr>
              <w:t>15</w:t>
            </w:r>
          </w:p>
        </w:tc>
        <w:tc>
          <w:tcPr>
            <w:tcW w:type="dxa" w:w="2351"/>
            <w:shd w:fill="D9E1F2" w:val="clear"/>
          </w:tcPr>
          <w:p>
            <w:r>
              <w:rPr>
                <w:rFonts w:ascii="Times New Roman" w:hAnsi="Times New Roman"/>
                <w:sz w:val="20"/>
              </w:rPr>
              <w:t>0,02519</w:t>
            </w:r>
          </w:p>
        </w:tc>
        <w:tc>
          <w:tcPr>
            <w:tcW w:type="dxa" w:w="2351"/>
            <w:shd w:fill="D9E1F2" w:val="clear"/>
          </w:tcPr>
          <w:p>
            <w:r>
              <w:rPr>
                <w:rFonts w:ascii="Times New Roman" w:hAnsi="Times New Roman"/>
                <w:sz w:val="20"/>
              </w:rPr>
              <w:t>0,01845</w:t>
            </w:r>
          </w:p>
        </w:tc>
        <w:tc>
          <w:tcPr>
            <w:tcW w:type="dxa" w:w="2351"/>
            <w:shd w:fill="D9E1F2" w:val="clear"/>
          </w:tcPr>
          <w:p>
            <w:r>
              <w:rPr>
                <w:rFonts w:ascii="Times New Roman" w:hAnsi="Times New Roman"/>
                <w:sz w:val="20"/>
              </w:rPr>
              <w:t>36,6%</w:t>
            </w:r>
          </w:p>
        </w:tc>
      </w:tr>
      <w:tr>
        <w:tc>
          <w:tcPr>
            <w:tcW w:type="dxa" w:w="2351"/>
            <w:shd w:fill="EBF0F9" w:val="clear"/>
          </w:tcPr>
          <w:p>
            <w:r>
              <w:rPr>
                <w:rFonts w:ascii="Times New Roman" w:hAnsi="Times New Roman"/>
                <w:sz w:val="20"/>
              </w:rPr>
              <w:t>18</w:t>
            </w:r>
          </w:p>
        </w:tc>
        <w:tc>
          <w:tcPr>
            <w:tcW w:type="dxa" w:w="2351"/>
            <w:shd w:fill="EBF0F9" w:val="clear"/>
          </w:tcPr>
          <w:p>
            <w:r>
              <w:rPr>
                <w:rFonts w:ascii="Times New Roman" w:hAnsi="Times New Roman"/>
                <w:sz w:val="20"/>
              </w:rPr>
              <w:t>0,02785</w:t>
            </w:r>
          </w:p>
        </w:tc>
        <w:tc>
          <w:tcPr>
            <w:tcW w:type="dxa" w:w="2351"/>
            <w:shd w:fill="EBF0F9" w:val="clear"/>
          </w:tcPr>
          <w:p>
            <w:r>
              <w:rPr>
                <w:rFonts w:ascii="Times New Roman" w:hAnsi="Times New Roman"/>
                <w:sz w:val="20"/>
              </w:rPr>
              <w:t>0,02213</w:t>
            </w:r>
          </w:p>
        </w:tc>
        <w:tc>
          <w:tcPr>
            <w:tcW w:type="dxa" w:w="2351"/>
            <w:shd w:fill="EBF0F9" w:val="clear"/>
          </w:tcPr>
          <w:p>
            <w:r>
              <w:rPr>
                <w:rFonts w:ascii="Times New Roman" w:hAnsi="Times New Roman"/>
                <w:sz w:val="20"/>
              </w:rPr>
              <w:t>25,8%</w:t>
            </w:r>
          </w:p>
        </w:tc>
      </w:tr>
      <w:tr>
        <w:tc>
          <w:tcPr>
            <w:tcW w:type="dxa" w:w="2351"/>
            <w:shd w:fill="D9E1F2" w:val="clear"/>
          </w:tcPr>
          <w:p>
            <w:r>
              <w:rPr>
                <w:rFonts w:ascii="Times New Roman" w:hAnsi="Times New Roman"/>
                <w:sz w:val="20"/>
              </w:rPr>
              <w:t>27</w:t>
            </w:r>
          </w:p>
        </w:tc>
        <w:tc>
          <w:tcPr>
            <w:tcW w:type="dxa" w:w="2351"/>
            <w:shd w:fill="D9E1F2" w:val="clear"/>
          </w:tcPr>
          <w:p>
            <w:r>
              <w:rPr>
                <w:rFonts w:ascii="Times New Roman" w:hAnsi="Times New Roman"/>
                <w:sz w:val="20"/>
              </w:rPr>
              <w:t>0,03320</w:t>
            </w:r>
          </w:p>
        </w:tc>
        <w:tc>
          <w:tcPr>
            <w:tcW w:type="dxa" w:w="2351"/>
            <w:shd w:fill="D9E1F2" w:val="clear"/>
          </w:tcPr>
          <w:p>
            <w:r>
              <w:rPr>
                <w:rFonts w:ascii="Times New Roman" w:hAnsi="Times New Roman"/>
                <w:sz w:val="20"/>
              </w:rPr>
              <w:t>0,03320</w:t>
            </w:r>
          </w:p>
        </w:tc>
        <w:tc>
          <w:tcPr>
            <w:tcW w:type="dxa" w:w="2351"/>
            <w:shd w:fill="D9E1F2" w:val="clear"/>
          </w:tcPr>
          <w:p>
            <w:r>
              <w:rPr>
                <w:rFonts w:ascii="Times New Roman" w:hAnsi="Times New Roman"/>
                <w:sz w:val="20"/>
              </w:rPr>
              <w:t>0,0%</w:t>
            </w:r>
          </w:p>
        </w:tc>
      </w:tr>
    </w:tbl>
    <w:p>
      <w:pPr>
        <w:spacing w:before="40" w:after="200"/>
        <w:jc w:val="center"/>
      </w:pPr>
      <w:r>
        <w:rPr>
          <w:rFonts w:ascii="Arial" w:hAnsi="Arial"/>
          <w:b w:val="0"/>
          <w:sz w:val="20"/>
        </w:rPr>
        <w:t>Tabela – PO regionalizada: ganho da focalização orçamentária sobre a alocação uniforme entre UFs (base oficial: BLUP do MixedLM).</w:t>
      </w:r>
    </w:p>
    <w:p>
      <w:pPr>
        <w:spacing w:before="120"/>
        <w:jc w:val="center"/>
      </w:pPr>
      <w:r>
        <w:drawing>
          <wp:inline xmlns:a="http://schemas.openxmlformats.org/drawingml/2006/main" xmlns:pic="http://schemas.openxmlformats.org/drawingml/2006/picture">
            <wp:extent cx="3960000" cy="3836686"/>
            <wp:docPr id="14" name="Picture 14"/>
            <wp:cNvGraphicFramePr>
              <a:graphicFrameLocks noChangeAspect="1"/>
            </wp:cNvGraphicFramePr>
            <a:graphic>
              <a:graphicData uri="http://schemas.openxmlformats.org/drawingml/2006/picture">
                <pic:pic>
                  <pic:nvPicPr>
                    <pic:cNvPr id="0" name="mapa_po_regional.png"/>
                    <pic:cNvPicPr/>
                  </pic:nvPicPr>
                  <pic:blipFill>
                    <a:blip r:embed="rId22"/>
                    <a:stretch>
                      <a:fillRect/>
                    </a:stretch>
                  </pic:blipFill>
                  <pic:spPr>
                    <a:xfrm>
                      <a:off x="0" y="0"/>
                      <a:ext cx="3960000" cy="3836686"/>
                    </a:xfrm>
                    <a:prstGeom prst="rect"/>
                  </pic:spPr>
                </pic:pic>
              </a:graphicData>
            </a:graphic>
          </wp:inline>
        </w:drawing>
      </w:r>
    </w:p>
    <w:p>
      <w:pPr>
        <w:spacing w:before="40" w:after="200"/>
        <w:jc w:val="center"/>
      </w:pPr>
      <w:r>
        <w:rPr>
          <w:rFonts w:ascii="Arial" w:hAnsi="Arial"/>
          <w:b w:val="0"/>
          <w:sz w:val="20"/>
        </w:rPr>
        <w:t>Figura – Mapa de calor da penalidade racial salarial por UF (BLUP do random slope). Estados mais escuros = maior desvantagem; ★ = prioritários para a focalização.</w:t>
      </w:r>
    </w:p>
    <w:p>
      <w:pPr>
        <w:spacing w:before="120"/>
        <w:jc w:val="center"/>
      </w:pPr>
      <w:r>
        <w:drawing>
          <wp:inline xmlns:a="http://schemas.openxmlformats.org/drawingml/2006/main" xmlns:pic="http://schemas.openxmlformats.org/drawingml/2006/picture">
            <wp:extent cx="5400000" cy="2496956"/>
            <wp:docPr id="15" name="Picture 15"/>
            <wp:cNvGraphicFramePr>
              <a:graphicFrameLocks noChangeAspect="1"/>
            </wp:cNvGraphicFramePr>
            <a:graphic>
              <a:graphicData uri="http://schemas.openxmlformats.org/drawingml/2006/picture">
                <pic:pic>
                  <pic:nvPicPr>
                    <pic:cNvPr id="0" name="po_regional.png"/>
                    <pic:cNvPicPr/>
                  </pic:nvPicPr>
                  <pic:blipFill>
                    <a:blip r:embed="rId23"/>
                    <a:stretch>
                      <a:fillRect/>
                    </a:stretch>
                  </pic:blipFill>
                  <pic:spPr>
                    <a:xfrm>
                      <a:off x="0" y="0"/>
                      <a:ext cx="5400000" cy="2496956"/>
                    </a:xfrm>
                    <a:prstGeom prst="rect"/>
                  </pic:spPr>
                </pic:pic>
              </a:graphicData>
            </a:graphic>
          </wp:inline>
        </w:drawing>
      </w:r>
    </w:p>
    <w:p>
      <w:pPr>
        <w:spacing w:before="40" w:after="200"/>
        <w:jc w:val="center"/>
      </w:pPr>
      <w:r>
        <w:rPr>
          <w:rFonts w:ascii="Arial" w:hAnsi="Arial"/>
          <w:b w:val="0"/>
          <w:sz w:val="20"/>
        </w:rPr>
        <w:t>Figura – Penalidade racial por UF (BLUP do random slope) e valor da focalização orçamentária sobre a alocação uniforme (PO regionalizada).</w:t>
      </w:r>
    </w:p>
    <w:p>
      <w:pPr>
        <w:pStyle w:val="Heading2"/>
        <w:spacing w:before="240" w:after="120"/>
      </w:pPr>
      <w:r>
        <w:rPr>
          <w:rFonts w:ascii="Arial" w:hAnsi="Arial"/>
          <w:b/>
          <w:color w:val="000000"/>
          <w:sz w:val="26"/>
        </w:rPr>
        <w:t>4.1e Random Slope no GLMM: Heterogeneidade Geográfica do Acesso</w:t>
      </w:r>
    </w:p>
    <w:p>
      <w:pPr>
        <w:spacing w:after="120" w:lineRule="auto" w:line="360"/>
        <w:ind w:firstLine="709"/>
        <w:jc w:val="both"/>
      </w:pPr>
      <w:r>
        <w:rPr>
          <w:rFonts w:ascii="Times New Roman" w:hAnsi="Times New Roman"/>
          <w:b w:val="0"/>
          <w:i w:val="0"/>
          <w:sz w:val="24"/>
        </w:rPr>
        <w:t>O random slope de negro foi estendido ao GLMM logístico de acesso (lme4::glmer, população completa, N=7.694.198), em três desfechos. O LRT de fronteira (Stram &amp; Lee, 1994) rejeita H₀: τ²=0 em todos — ocp_qualif (LR=2.406), y_top20 (LR=326) e y_top10 (LR=505), todos p&lt;0,001: a barreira de ACESSO também varia geograficamente, completando a simetria com a penalidade salarial (HLM). A heterogeneidade é maior no acesso a ocupações qualificadas (τ²=0,0113, DP=0,106 log-odds) e o gradiente de teto de vidro se mantém no efeito fixo (OR cai de 0,707 para 0,662 rumo ao decil superior).</w:t>
      </w:r>
    </w:p>
    <w:p>
      <w:pPr>
        <w:spacing w:after="120" w:lineRule="auto" w:line="360"/>
        <w:ind w:firstLine="709"/>
        <w:jc w:val="both"/>
      </w:pPr>
      <w:r>
        <w:rPr>
          <w:rFonts w:ascii="Times New Roman" w:hAnsi="Times New Roman"/>
          <w:b w:val="0"/>
          <w:i w:val="0"/>
          <w:sz w:val="24"/>
        </w:rPr>
        <w:t>Contraste com o salário: enquanto o gap salarial é maior nos estados mais ricos (ρ=−0,37), o acesso a cargos qualificados correlaciona-se positivamente com o nível ocupacional do estado (ρ=0,65) — nas economias desenvolvidas, negros enfrentam acesso relativamente mais fácil, porém maior gap salarial uma vez dentro.</w:t>
      </w:r>
    </w:p>
    <w:p>
      <w:pPr>
        <w:spacing w:after="120" w:lineRule="auto" w:line="360"/>
        <w:ind w:firstLine="709"/>
        <w:jc w:val="both"/>
      </w:pPr>
      <w:r>
        <w:rPr>
          <w:rFonts w:ascii="Times New Roman" w:hAnsi="Times New Roman"/>
          <w:b w:val="0"/>
          <w:i w:val="0"/>
          <w:sz w:val="24"/>
        </w:rPr>
        <w:t>Setor público × privado: a barreira de acesso é praticamente idêntica (OR público=0,705 vs privado=0,698) e igualmente heterogênea entre UFs (τ²=0,0115 vs 0,0109): o concurso público não dissolve a exclusão racial de acesso a ocupações qualificadas — refinando o achado de que o Estado ajuda, mas não resolve.</w:t>
      </w:r>
    </w:p>
    <w:p>
      <w:pPr>
        <w:spacing w:before="120"/>
        <w:jc w:val="center"/>
      </w:pPr>
      <w:r>
        <w:drawing>
          <wp:inline xmlns:a="http://schemas.openxmlformats.org/drawingml/2006/main" xmlns:pic="http://schemas.openxmlformats.org/drawingml/2006/picture">
            <wp:extent cx="5760000" cy="2112000"/>
            <wp:docPr id="16" name="Picture 16"/>
            <wp:cNvGraphicFramePr>
              <a:graphicFrameLocks noChangeAspect="1"/>
            </wp:cNvGraphicFramePr>
            <a:graphic>
              <a:graphicData uri="http://schemas.openxmlformats.org/drawingml/2006/picture">
                <pic:pic>
                  <pic:nvPicPr>
                    <pic:cNvPr id="0" name="glmm_rs_real.png"/>
                    <pic:cNvPicPr/>
                  </pic:nvPicPr>
                  <pic:blipFill>
                    <a:blip r:embed="rId24"/>
                    <a:stretch>
                      <a:fillRect/>
                    </a:stretch>
                  </pic:blipFill>
                  <pic:spPr>
                    <a:xfrm>
                      <a:off x="0" y="0"/>
                      <a:ext cx="5760000" cy="2112000"/>
                    </a:xfrm>
                    <a:prstGeom prst="rect"/>
                  </pic:spPr>
                </pic:pic>
              </a:graphicData>
            </a:graphic>
          </wp:inline>
        </w:drawing>
      </w:r>
    </w:p>
    <w:p>
      <w:pPr>
        <w:spacing w:before="40" w:after="200"/>
        <w:jc w:val="center"/>
      </w:pPr>
      <w:r>
        <w:rPr>
          <w:rFonts w:ascii="Arial" w:hAnsi="Arial"/>
          <w:b w:val="0"/>
          <w:sz w:val="20"/>
        </w:rPr>
        <w:t>Figura – Random slope GLMM (lme4): OR de negro por UF em cada desfecho de acesso e por setor. Dispersão entre UFs = heterogeneidade geográfica (BLUP); OR&lt;1 = barreira.</w:t>
      </w:r>
    </w:p>
    <w:p>
      <w:pPr>
        <w:pStyle w:val="Heading2"/>
        <w:spacing w:before="240" w:after="120"/>
      </w:pPr>
      <w:r>
        <w:rPr>
          <w:rFonts w:ascii="Arial" w:hAnsi="Arial"/>
          <w:b/>
          <w:color w:val="000000"/>
          <w:sz w:val="26"/>
        </w:rPr>
        <w:t>4.1f Setor (Salário) e Nível de Gênero — Extensões do Random Slope</w:t>
      </w:r>
    </w:p>
    <w:p>
      <w:pPr>
        <w:spacing w:after="120" w:lineRule="auto" w:line="360"/>
        <w:ind w:firstLine="709"/>
        <w:jc w:val="both"/>
      </w:pPr>
      <w:r>
        <w:rPr>
          <w:rFonts w:ascii="Times New Roman" w:hAnsi="Times New Roman"/>
          <w:b w:val="0"/>
          <w:i w:val="0"/>
          <w:sz w:val="24"/>
        </w:rPr>
        <w:t>Simetria no salário (HLM por setor): enquanto no ACESSO o setor público não atenua a barreira, no SALÁRIO ele a ATENUA — gap racial de 7,7% no público vs 11,1% no privado — e a HOMOGENEÍZA entre estados (τ²=0,00140 vs 0,00217). O concurso equaliza a remuneração de quem entra, mas não a entrada — precisando o diagnóstico 'o Estado ajuda, mas não resolve': equaliza pagamento, não acesso.</w:t>
      </w:r>
    </w:p>
    <w:p>
      <w:pPr>
        <w:spacing w:after="120" w:lineRule="auto" w:line="360"/>
        <w:ind w:firstLine="709"/>
        <w:jc w:val="both"/>
      </w:pPr>
      <w:r>
        <w:rPr>
          <w:rFonts w:ascii="Times New Roman" w:hAnsi="Times New Roman"/>
          <w:b w:val="0"/>
          <w:i w:val="0"/>
          <w:sz w:val="24"/>
        </w:rPr>
        <w:t>Nível adicional — gênero: estendendo o random slope a sexo_fem (1+negro+sexo_fem|UF), o LRT confirma que o gap salarial de gênero também varia geograficamente (LR=15.584, p&lt;0,001), com dispersão MAIOR que a racial (DP gênero=0,064 vs raça=0,049 log-pontos). A correlação entre as duas inclinações é negativa (ρ=−0,46): nas UFs de maior penalidade racial, a de gênero tende a ser menor (discriminações geograficamente compensatórias).</w:t>
      </w:r>
    </w:p>
    <w:p>
      <w:pPr>
        <w:spacing w:before="120"/>
        <w:jc w:val="center"/>
      </w:pPr>
      <w:r>
        <w:drawing>
          <wp:inline xmlns:a="http://schemas.openxmlformats.org/drawingml/2006/main" xmlns:pic="http://schemas.openxmlformats.org/drawingml/2006/picture">
            <wp:extent cx="5400000" cy="2048372"/>
            <wp:docPr id="17" name="Picture 17"/>
            <wp:cNvGraphicFramePr>
              <a:graphicFrameLocks noChangeAspect="1"/>
            </wp:cNvGraphicFramePr>
            <a:graphic>
              <a:graphicData uri="http://schemas.openxmlformats.org/drawingml/2006/picture">
                <pic:pic>
                  <pic:nvPicPr>
                    <pic:cNvPr id="0" name="hlm_rs_ext.png"/>
                    <pic:cNvPicPr/>
                  </pic:nvPicPr>
                  <pic:blipFill>
                    <a:blip r:embed="rId25"/>
                    <a:stretch>
                      <a:fillRect/>
                    </a:stretch>
                  </pic:blipFill>
                  <pic:spPr>
                    <a:xfrm>
                      <a:off x="0" y="0"/>
                      <a:ext cx="5400000" cy="2048372"/>
                    </a:xfrm>
                    <a:prstGeom prst="rect"/>
                  </pic:spPr>
                </pic:pic>
              </a:graphicData>
            </a:graphic>
          </wp:inline>
        </w:drawing>
      </w:r>
    </w:p>
    <w:p>
      <w:pPr>
        <w:spacing w:before="40" w:after="200"/>
        <w:jc w:val="center"/>
      </w:pPr>
      <w:r>
        <w:rPr>
          <w:rFonts w:ascii="Arial" w:hAnsi="Arial"/>
          <w:b w:val="0"/>
          <w:sz w:val="20"/>
        </w:rPr>
        <w:t>Figura – HLM por setor (gap salarial racial e sua heterogeneidade: público × privado) e heterogeneidade geográfica raça vs gênero (random slope conjunto).</w:t>
      </w:r>
    </w:p>
    <w:p>
      <w:pPr>
        <w:spacing w:after="120" w:lineRule="auto" w:line="360"/>
        <w:ind w:firstLine="709"/>
        <w:jc w:val="both"/>
      </w:pPr>
      <w:r>
        <w:rPr>
          <w:rFonts w:ascii="Times New Roman" w:hAnsi="Times New Roman"/>
          <w:b w:val="0"/>
          <w:i w:val="0"/>
          <w:sz w:val="24"/>
        </w:rPr>
        <w:t>Gênero no acesso (GLMM, lme4): o random slope de sexo_fem confirma heterogeneidade geográfica em todos os desfechos (p&lt;0,001), com uma divergência ausente no caso racial — mulheres têm MAIS acesso a ocupações qualificadas (OR=1,99&gt;1, por profissões credenciadas feminizadas), mas MUITO MENOS acesso ao topo da renda (OR top20=0,562; top10=0,518). O teto de vidro de gênero é de REMUNERAÇÃO, não de categoria ocupacional — e sua heterogeneidade entre UFs supera a racial no topo (τ²=0,0323 no top20 vs ~0,003 racial, ~10×).</w:t>
      </w:r>
    </w:p>
    <w:p>
      <w:pPr>
        <w:spacing w:before="120"/>
        <w:jc w:val="center"/>
      </w:pPr>
      <w:r>
        <w:drawing>
          <wp:inline xmlns:a="http://schemas.openxmlformats.org/drawingml/2006/main" xmlns:pic="http://schemas.openxmlformats.org/drawingml/2006/picture">
            <wp:extent cx="5760000" cy="1920000"/>
            <wp:docPr id="18" name="Picture 18"/>
            <wp:cNvGraphicFramePr>
              <a:graphicFrameLocks noChangeAspect="1"/>
            </wp:cNvGraphicFramePr>
            <a:graphic>
              <a:graphicData uri="http://schemas.openxmlformats.org/drawingml/2006/picture">
                <pic:pic>
                  <pic:nvPicPr>
                    <pic:cNvPr id="0" name="glmm_genero_real.png"/>
                    <pic:cNvPicPr/>
                  </pic:nvPicPr>
                  <pic:blipFill>
                    <a:blip r:embed="rId26"/>
                    <a:stretch>
                      <a:fillRect/>
                    </a:stretch>
                  </pic:blipFill>
                  <pic:spPr>
                    <a:xfrm>
                      <a:off x="0" y="0"/>
                      <a:ext cx="5760000" cy="1920000"/>
                    </a:xfrm>
                    <a:prstGeom prst="rect"/>
                  </pic:spPr>
                </pic:pic>
              </a:graphicData>
            </a:graphic>
          </wp:inline>
        </w:drawing>
      </w:r>
    </w:p>
    <w:p>
      <w:pPr>
        <w:spacing w:before="40" w:after="200"/>
        <w:jc w:val="center"/>
      </w:pPr>
      <w:r>
        <w:rPr>
          <w:rFonts w:ascii="Arial" w:hAnsi="Arial"/>
          <w:b w:val="0"/>
          <w:sz w:val="20"/>
        </w:rPr>
        <w:t>Figura – Random slope GLMM de gênero (lme4): OR de sexo_fem por UF em cada desfecho. OR&gt;1 = vantagem na categoria; OR&lt;1 = desvantagem na renda (teto de remuneração).</w:t>
      </w:r>
    </w:p>
    <w:p>
      <w:pPr>
        <w:pStyle w:val="Heading2"/>
        <w:spacing w:before="240" w:after="120"/>
      </w:pPr>
      <w:r>
        <w:rPr>
          <w:rFonts w:ascii="Arial" w:hAnsi="Arial"/>
          <w:b/>
          <w:color w:val="000000"/>
          <w:sz w:val="26"/>
        </w:rPr>
        <w:t>4.1g Interseccionalidade raça×gênero: acesso vs. topo da renda</w:t>
      </w:r>
    </w:p>
    <w:p>
      <w:pPr>
        <w:spacing w:after="120" w:lineRule="auto" w:line="360"/>
        <w:ind w:firstLine="709"/>
        <w:jc w:val="both"/>
      </w:pPr>
      <w:r>
        <w:rPr>
          <w:rFonts w:ascii="Times New Roman" w:hAnsi="Times New Roman"/>
          <w:b w:val="0"/>
          <w:i w:val="0"/>
          <w:sz w:val="24"/>
        </w:rPr>
        <w:t>Os modelos anteriores tratam raça e gênero de forma aditiva. Uma leitura interseccional pergunta se a desvantagem de ser negra e mulher é a soma das partes. Reespecificamos o GLMM de acesso com um fator de quatro grupos (grupo_rg: homem branco [referência], mulher branca, homem negro, mulher negra) e a interação negro×sexo_fem, em três desfechos: acesso a ocupação qualificada (CBO 1–4), renda no top 20% e no top 10%.</w:t>
      </w:r>
    </w:p>
    <w:p>
      <w:pPr>
        <w:spacing w:before="120"/>
        <w:jc w:val="center"/>
      </w:pPr>
      <w:r>
        <w:drawing>
          <wp:inline xmlns:a="http://schemas.openxmlformats.org/drawingml/2006/main" xmlns:pic="http://schemas.openxmlformats.org/drawingml/2006/picture">
            <wp:extent cx="5040000" cy="3332732"/>
            <wp:docPr id="19" name="Picture 19"/>
            <wp:cNvGraphicFramePr>
              <a:graphicFrameLocks noChangeAspect="1"/>
            </wp:cNvGraphicFramePr>
            <a:graphic>
              <a:graphicData uri="http://schemas.openxmlformats.org/drawingml/2006/picture">
                <pic:pic>
                  <pic:nvPicPr>
                    <pic:cNvPr id="0" name="grupo_rg_interseccional.png"/>
                    <pic:cNvPicPr/>
                  </pic:nvPicPr>
                  <pic:blipFill>
                    <a:blip r:embed="rId27"/>
                    <a:stretch>
                      <a:fillRect/>
                    </a:stretch>
                  </pic:blipFill>
                  <pic:spPr>
                    <a:xfrm>
                      <a:off x="0" y="0"/>
                      <a:ext cx="5040000" cy="3332732"/>
                    </a:xfrm>
                    <a:prstGeom prst="rect"/>
                  </pic:spPr>
                </pic:pic>
              </a:graphicData>
            </a:graphic>
          </wp:inline>
        </w:drawing>
      </w:r>
    </w:p>
    <w:p>
      <w:pPr>
        <w:spacing w:before="40" w:after="200"/>
        <w:jc w:val="center"/>
      </w:pPr>
      <w:r>
        <w:rPr>
          <w:rFonts w:ascii="Arial" w:hAnsi="Arial"/>
          <w:b w:val="0"/>
          <w:sz w:val="20"/>
        </w:rPr>
        <w:t>Figura – Razões de chance dos quatro grupos raça×gênero vs. homem branco, em três desfechos. A mulher negra é alçada no acesso à categoria, mas torna-se a mais excluída no topo da renda.</w:t>
      </w:r>
    </w:p>
    <w:p>
      <w:pPr>
        <w:spacing w:after="120" w:lineRule="auto" w:line="360"/>
        <w:ind w:firstLine="709"/>
        <w:jc w:val="both"/>
      </w:pPr>
      <w:r>
        <w:rPr>
          <w:rFonts w:ascii="Times New Roman" w:hAnsi="Times New Roman"/>
          <w:b w:val="0"/>
          <w:i w:val="0"/>
          <w:sz w:val="24"/>
        </w:rPr>
        <w:t>O resultado revela uma inversão. No acesso à categoria qualificada, a mulher negra tem OR=1,33 — acima do homem branco —, porque o efeito de gênero é positivo nesse desfecho (profissões credenciadas feminizadas, em CBO 1–4); o grupo mais penalizado é o homem negro (OR=0,65). No topo da renda, porém, o quadro inverte: a mulher negra passa a ser a mais excluída de todos — OR=0,34 no decil superior, abaixo da mulher branca (0,49) e do homem negro (0,65). A interação negro×sexo_fem é sub-aditiva em todos os desfechos (OR=1,14 no acesso; 1,07 no top 10%): a penalidade racial é ligeiramente menor entre mulheres, mas isso não impede que a mulher negra acumule a barreira racial e o teto de vidro de gênero exatamente onde mais importa para a ascensão — o topo da distribuição. O teto de vidro, portanto, não é racial nem sexualmente neutro: recai com força máxima sobre a mulher negra, que pode entrar em ocupações qualificadas, mas é sistematicamente barrada de chegar ao topo da remuneração.</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20" name="Picture 20"/>
            <wp:cNvGraphicFramePr>
              <a:graphicFrameLocks noChangeAspect="1"/>
            </wp:cNvGraphicFramePr>
            <a:graphic>
              <a:graphicData uri="http://schemas.openxmlformats.org/drawingml/2006/picture">
                <pic:pic>
                  <pic:nvPicPr>
                    <pic:cNvPr id="0" name="kmeans_perfis_k3.png"/>
                    <pic:cNvPicPr/>
                  </pic:nvPicPr>
                  <pic:blipFill>
                    <a:blip r:embed="rId28"/>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21" name="Picture 21"/>
            <wp:cNvGraphicFramePr>
              <a:graphicFrameLocks noChangeAspect="1"/>
            </wp:cNvGraphicFramePr>
            <a:graphic>
              <a:graphicData uri="http://schemas.openxmlformats.org/drawingml/2006/picture">
                <pic:pic>
                  <pic:nvPicPr>
                    <pic:cNvPr id="0" name="kmeans_gap_racial_k3.png"/>
                    <pic:cNvPicPr/>
                  </pic:nvPicPr>
                  <pic:blipFill>
                    <a:blip r:embed="rId29"/>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0.5743</w:t>
            </w:r>
          </w:p>
        </w:tc>
        <w:tc>
          <w:tcPr>
            <w:tcW w:type="dxa" w:w="2351"/>
            <w:shd w:fill="F2F2F2" w:val="clear"/>
          </w:tcPr>
          <w:p>
            <w:pPr>
              <w:jc w:val="center"/>
            </w:pPr>
            <w:r>
              <w:rPr>
                <w:rFonts w:ascii="Arial" w:hAnsi="Arial"/>
                <w:b w:val="0"/>
                <w:sz w:val="20"/>
              </w:rPr>
              <w:t>0.4523</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0.6169</w:t>
            </w:r>
          </w:p>
        </w:tc>
        <w:tc>
          <w:tcPr>
            <w:tcW w:type="dxa" w:w="2351"/>
            <w:shd w:fill="FFFFFF" w:val="clear"/>
          </w:tcPr>
          <w:p>
            <w:pPr>
              <w:jc w:val="center"/>
            </w:pPr>
            <w:r>
              <w:rPr>
                <w:rFonts w:ascii="Arial" w:hAnsi="Arial"/>
                <w:b/>
                <w:sz w:val="20"/>
              </w:rPr>
              <w:t>0.4283</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R²=0.6169 — ganho expressivo em relação ao modelo sem variáveis ocupacionais (anterior R²≈0,44), explicável pela adição de horas trabalhadas, emprego formal e grupos CBO, que respondem coletivamente por grande parte da variância de rendimento individual. O Random Forest obtém R²=0.5743.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0.32872</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0.26938</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0.17613</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0.16362</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0.11208</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0.11665</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0.13965</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0.11006</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0.09079</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0.10083</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0.06466</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0.10055</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Educ.: não registrada</w:t>
            </w:r>
          </w:p>
        </w:tc>
        <w:tc>
          <w:tcPr>
            <w:tcW w:type="dxa" w:w="1417"/>
            <w:shd w:fill="F2F2F2" w:val="clear"/>
          </w:tcPr>
          <w:p>
            <w:pPr>
              <w:jc w:val="center"/>
            </w:pPr>
            <w:r>
              <w:rPr>
                <w:rFonts w:ascii="Arial" w:hAnsi="Arial"/>
                <w:b w:val="0"/>
                <w:sz w:val="18"/>
              </w:rPr>
              <w:t>0.02108</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0.07063</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Conta própria</w:t>
            </w:r>
          </w:p>
        </w:tc>
        <w:tc>
          <w:tcPr>
            <w:tcW w:type="dxa" w:w="1417"/>
            <w:shd w:fill="FFFFFF" w:val="clear"/>
          </w:tcPr>
          <w:p>
            <w:pPr>
              <w:jc w:val="center"/>
            </w:pPr>
            <w:r>
              <w:rPr>
                <w:rFonts w:ascii="Arial" w:hAnsi="Arial"/>
                <w:b w:val="0"/>
                <w:sz w:val="18"/>
              </w:rPr>
              <w:t>0.02049</w:t>
            </w:r>
          </w:p>
        </w:tc>
        <w:tc>
          <w:tcPr>
            <w:tcW w:type="dxa" w:w="1134"/>
            <w:shd w:fill="FFFFFF" w:val="clear"/>
          </w:tcPr>
          <w:p>
            <w:pPr>
              <w:jc w:val="center"/>
            </w:pPr>
            <w:r>
              <w:rPr>
                <w:rFonts w:ascii="Arial" w:hAnsi="Arial"/>
                <w:b w:val="0"/>
                <w:sz w:val="18"/>
              </w:rPr>
              <w:t>10</w:t>
            </w:r>
          </w:p>
        </w:tc>
        <w:tc>
          <w:tcPr>
            <w:tcW w:type="dxa" w:w="1417"/>
            <w:shd w:fill="FFFFFF" w:val="clear"/>
          </w:tcPr>
          <w:p>
            <w:pPr>
              <w:jc w:val="center"/>
            </w:pPr>
            <w:r>
              <w:rPr>
                <w:rFonts w:ascii="Arial" w:hAnsi="Arial"/>
                <w:b w:val="0"/>
                <w:sz w:val="18"/>
              </w:rPr>
              <w:t>0.06345</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0.03577</w:t>
            </w:r>
          </w:p>
        </w:tc>
        <w:tc>
          <w:tcPr>
            <w:tcW w:type="dxa" w:w="1134"/>
            <w:shd w:fill="F2F2F2" w:val="clear"/>
          </w:tcPr>
          <w:p>
            <w:pPr>
              <w:jc w:val="center"/>
            </w:pPr>
            <w:r>
              <w:rPr>
                <w:rFonts w:ascii="Arial" w:hAnsi="Arial"/>
                <w:b w:val="0"/>
                <w:sz w:val="18"/>
              </w:rPr>
              <w:t>8</w:t>
            </w:r>
          </w:p>
        </w:tc>
        <w:tc>
          <w:tcPr>
            <w:tcW w:type="dxa" w:w="1417"/>
            <w:shd w:fill="F2F2F2" w:val="clear"/>
          </w:tcPr>
          <w:p>
            <w:pPr>
              <w:jc w:val="center"/>
            </w:pPr>
            <w:r>
              <w:rPr>
                <w:rFonts w:ascii="Arial" w:hAnsi="Arial"/>
                <w:b w:val="0"/>
                <w:sz w:val="18"/>
              </w:rPr>
              <w:t>0.04579</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0.03673</w:t>
            </w:r>
          </w:p>
        </w:tc>
        <w:tc>
          <w:tcPr>
            <w:tcW w:type="dxa" w:w="1134"/>
            <w:shd w:fill="FFFFFF" w:val="clear"/>
          </w:tcPr>
          <w:p>
            <w:pPr>
              <w:jc w:val="center"/>
            </w:pPr>
            <w:r>
              <w:rPr>
                <w:rFonts w:ascii="Arial" w:hAnsi="Arial"/>
                <w:b w:val="0"/>
                <w:sz w:val="18"/>
              </w:rPr>
              <w:t>7</w:t>
            </w:r>
          </w:p>
        </w:tc>
        <w:tc>
          <w:tcPr>
            <w:tcW w:type="dxa" w:w="1417"/>
            <w:shd w:fill="FFFFFF" w:val="clear"/>
          </w:tcPr>
          <w:p>
            <w:pPr>
              <w:jc w:val="center"/>
            </w:pPr>
            <w:r>
              <w:rPr>
                <w:rFonts w:ascii="Arial" w:hAnsi="Arial"/>
                <w:b w:val="0"/>
                <w:sz w:val="18"/>
              </w:rPr>
              <w:t>0.03903</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0.00033</w:t>
            </w:r>
          </w:p>
        </w:tc>
        <w:tc>
          <w:tcPr>
            <w:tcW w:type="dxa" w:w="1134"/>
            <w:shd w:fill="FFF2CC" w:val="clear"/>
          </w:tcPr>
          <w:p>
            <w:pPr>
              <w:jc w:val="center"/>
            </w:pPr>
            <w:r>
              <w:rPr>
                <w:rFonts w:ascii="Arial" w:hAnsi="Arial"/>
                <w:b/>
                <w:sz w:val="18"/>
              </w:rPr>
              <w:t>23</w:t>
            </w:r>
          </w:p>
        </w:tc>
        <w:tc>
          <w:tcPr>
            <w:tcW w:type="dxa" w:w="1417"/>
            <w:shd w:fill="FFF2CC" w:val="clear"/>
          </w:tcPr>
          <w:p>
            <w:pPr>
              <w:jc w:val="center"/>
            </w:pPr>
            <w:r>
              <w:rPr>
                <w:rFonts w:ascii="Arial" w:hAnsi="Arial"/>
                <w:b/>
                <w:sz w:val="18"/>
              </w:rPr>
              <w:t>0.02940</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0.00121</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0.02915</w:t>
            </w:r>
          </w:p>
        </w:tc>
        <w:tc>
          <w:tcPr>
            <w:tcW w:type="dxa" w:w="1134"/>
            <w:shd w:fill="FFFFFF" w:val="clear"/>
          </w:tcPr>
          <w:p>
            <w:pPr>
              <w:jc w:val="center"/>
            </w:pPr>
            <w:r>
              <w:rPr>
                <w:rFonts w:ascii="Arial" w:hAnsi="Arial"/>
                <w:b w:val="0"/>
                <w:sz w:val="18"/>
              </w:rPr>
              <w:t>12</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0.00152</w:t>
            </w:r>
          </w:p>
        </w:tc>
        <w:tc>
          <w:tcPr>
            <w:tcW w:type="dxa" w:w="1134"/>
            <w:shd w:fill="FFF2CC" w:val="clear"/>
          </w:tcPr>
          <w:p>
            <w:pPr>
              <w:jc w:val="center"/>
            </w:pPr>
            <w:r>
              <w:rPr>
                <w:rFonts w:ascii="Arial" w:hAnsi="Arial"/>
                <w:b/>
                <w:sz w:val="18"/>
              </w:rPr>
              <w:t>15</w:t>
            </w:r>
          </w:p>
        </w:tc>
        <w:tc>
          <w:tcPr>
            <w:tcW w:type="dxa" w:w="1417"/>
            <w:shd w:fill="FFF2CC" w:val="clear"/>
          </w:tcPr>
          <w:p>
            <w:pPr>
              <w:jc w:val="center"/>
            </w:pPr>
            <w:r>
              <w:rPr>
                <w:rFonts w:ascii="Arial" w:hAnsi="Arial"/>
                <w:b/>
                <w:sz w:val="18"/>
              </w:rPr>
              <w:t>0.02291</w:t>
            </w:r>
          </w:p>
        </w:tc>
        <w:tc>
          <w:tcPr>
            <w:tcW w:type="dxa" w:w="1134"/>
            <w:shd w:fill="FFF2CC" w:val="clear"/>
          </w:tcPr>
          <w:p>
            <w:pPr>
              <w:jc w:val="center"/>
            </w:pPr>
            <w:r>
              <w:rPr>
                <w:rFonts w:ascii="Arial" w:hAnsi="Arial"/>
                <w:b/>
                <w:sz w:val="18"/>
              </w:rPr>
              <w:t>13</w:t>
            </w:r>
          </w:p>
        </w:tc>
      </w:tr>
      <w:tr>
        <w:tc>
          <w:tcPr>
            <w:tcW w:type="dxa" w:w="3685"/>
            <w:shd w:fill="FFFFFF" w:val="clear"/>
          </w:tcPr>
          <w:p>
            <w:pPr>
              <w:jc w:val="left"/>
            </w:pPr>
            <w:r>
              <w:rPr>
                <w:rFonts w:ascii="Arial" w:hAnsi="Arial"/>
                <w:b w:val="0"/>
                <w:sz w:val="18"/>
              </w:rPr>
              <w:t>CBO: Operários</w:t>
            </w:r>
          </w:p>
        </w:tc>
        <w:tc>
          <w:tcPr>
            <w:tcW w:type="dxa" w:w="1417"/>
            <w:shd w:fill="FFFFFF" w:val="clear"/>
          </w:tcPr>
          <w:p>
            <w:pPr>
              <w:jc w:val="center"/>
            </w:pPr>
            <w:r>
              <w:rPr>
                <w:rFonts w:ascii="Arial" w:hAnsi="Arial"/>
                <w:b w:val="0"/>
                <w:sz w:val="18"/>
              </w:rPr>
              <w:t>0.00068</w:t>
            </w:r>
          </w:p>
        </w:tc>
        <w:tc>
          <w:tcPr>
            <w:tcW w:type="dxa" w:w="1134"/>
            <w:shd w:fill="FFFFFF" w:val="clear"/>
          </w:tcPr>
          <w:p>
            <w:pPr>
              <w:jc w:val="center"/>
            </w:pPr>
            <w:r>
              <w:rPr>
                <w:rFonts w:ascii="Arial" w:hAnsi="Arial"/>
                <w:b w:val="0"/>
                <w:sz w:val="18"/>
              </w:rPr>
              <w:t>18</w:t>
            </w:r>
          </w:p>
        </w:tc>
        <w:tc>
          <w:tcPr>
            <w:tcW w:type="dxa" w:w="1417"/>
            <w:shd w:fill="FFFFFF" w:val="clear"/>
          </w:tcPr>
          <w:p>
            <w:pPr>
              <w:jc w:val="center"/>
            </w:pPr>
            <w:r>
              <w:rPr>
                <w:rFonts w:ascii="Arial" w:hAnsi="Arial"/>
                <w:b w:val="0"/>
                <w:sz w:val="18"/>
              </w:rPr>
              <w:t>0.02181</w:t>
            </w:r>
          </w:p>
        </w:tc>
        <w:tc>
          <w:tcPr>
            <w:tcW w:type="dxa" w:w="1134"/>
            <w:shd w:fill="FFFFFF" w:val="clear"/>
          </w:tcPr>
          <w:p>
            <w:pPr>
              <w:jc w:val="center"/>
            </w:pPr>
            <w:r>
              <w:rPr>
                <w:rFonts w:ascii="Arial" w:hAnsi="Arial"/>
                <w:b w:val="0"/>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0.00043</w:t>
            </w:r>
          </w:p>
        </w:tc>
        <w:tc>
          <w:tcPr>
            <w:tcW w:type="dxa" w:w="1134"/>
            <w:shd w:fill="F2F2F2" w:val="clear"/>
          </w:tcPr>
          <w:p>
            <w:pPr>
              <w:jc w:val="center"/>
            </w:pPr>
            <w:r>
              <w:rPr>
                <w:rFonts w:ascii="Arial" w:hAnsi="Arial"/>
                <w:b w:val="0"/>
                <w:sz w:val="18"/>
              </w:rPr>
              <w:t>21</w:t>
            </w:r>
          </w:p>
        </w:tc>
        <w:tc>
          <w:tcPr>
            <w:tcW w:type="dxa" w:w="1417"/>
            <w:shd w:fill="F2F2F2" w:val="clear"/>
          </w:tcPr>
          <w:p>
            <w:pPr>
              <w:jc w:val="center"/>
            </w:pPr>
            <w:r>
              <w:rPr>
                <w:rFonts w:ascii="Arial" w:hAnsi="Arial"/>
                <w:b w:val="0"/>
                <w:sz w:val="18"/>
              </w:rPr>
              <w:t>0.02057</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0.00516</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0.01853</w:t>
            </w:r>
          </w:p>
        </w:tc>
        <w:tc>
          <w:tcPr>
            <w:tcW w:type="dxa" w:w="1134"/>
            <w:shd w:fill="FFFFFF" w:val="clear"/>
          </w:tcPr>
          <w:p>
            <w:pPr>
              <w:jc w:val="center"/>
            </w:pPr>
            <w:r>
              <w:rPr>
                <w:rFonts w:ascii="Arial" w:hAnsi="Arial"/>
                <w:b w:val="0"/>
                <w:sz w:val="18"/>
              </w:rPr>
              <w:t>16</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0.00067</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0.01838</w:t>
            </w:r>
          </w:p>
        </w:tc>
        <w:tc>
          <w:tcPr>
            <w:tcW w:type="dxa" w:w="1134"/>
            <w:shd w:fill="FFF2CC" w:val="clear"/>
          </w:tcPr>
          <w:p>
            <w:pPr>
              <w:jc w:val="center"/>
            </w:pPr>
            <w:r>
              <w:rPr>
                <w:rFonts w:ascii="Arial" w:hAnsi="Arial"/>
                <w:b/>
                <w:sz w:val="18"/>
              </w:rPr>
              <w:t>17</w:t>
            </w:r>
          </w:p>
        </w:tc>
      </w:tr>
      <w:tr>
        <w:tc>
          <w:tcPr>
            <w:tcW w:type="dxa" w:w="3685"/>
            <w:shd w:fill="FFFFFF" w:val="clear"/>
          </w:tcPr>
          <w:p>
            <w:pPr>
              <w:jc w:val="left"/>
            </w:pPr>
            <w:r>
              <w:rPr>
                <w:rFonts w:ascii="Arial" w:hAnsi="Arial"/>
                <w:b w:val="0"/>
                <w:sz w:val="18"/>
              </w:rPr>
              <w:t>CBO: Administrativo</w:t>
            </w:r>
          </w:p>
        </w:tc>
        <w:tc>
          <w:tcPr>
            <w:tcW w:type="dxa" w:w="1417"/>
            <w:shd w:fill="FFFFFF" w:val="clear"/>
          </w:tcPr>
          <w:p>
            <w:pPr>
              <w:jc w:val="center"/>
            </w:pPr>
            <w:r>
              <w:rPr>
                <w:rFonts w:ascii="Arial" w:hAnsi="Arial"/>
                <w:b w:val="0"/>
                <w:sz w:val="18"/>
              </w:rPr>
              <w:t>0.00283</w:t>
            </w:r>
          </w:p>
        </w:tc>
        <w:tc>
          <w:tcPr>
            <w:tcW w:type="dxa" w:w="1134"/>
            <w:shd w:fill="FFFFFF" w:val="clear"/>
          </w:tcPr>
          <w:p>
            <w:pPr>
              <w:jc w:val="center"/>
            </w:pPr>
            <w:r>
              <w:rPr>
                <w:rFonts w:ascii="Arial" w:hAnsi="Arial"/>
                <w:b w:val="0"/>
                <w:sz w:val="18"/>
              </w:rPr>
              <w:t>14</w:t>
            </w:r>
          </w:p>
        </w:tc>
        <w:tc>
          <w:tcPr>
            <w:tcW w:type="dxa" w:w="1417"/>
            <w:shd w:fill="FFFFFF" w:val="clear"/>
          </w:tcPr>
          <w:p>
            <w:pPr>
              <w:jc w:val="center"/>
            </w:pPr>
            <w:r>
              <w:rPr>
                <w:rFonts w:ascii="Arial" w:hAnsi="Arial"/>
                <w:b w:val="0"/>
                <w:sz w:val="18"/>
              </w:rPr>
              <w:t>0.01773</w:t>
            </w:r>
          </w:p>
        </w:tc>
        <w:tc>
          <w:tcPr>
            <w:tcW w:type="dxa" w:w="1134"/>
            <w:shd w:fill="FFFFFF" w:val="clear"/>
          </w:tcPr>
          <w:p>
            <w:pPr>
              <w:jc w:val="center"/>
            </w:pPr>
            <w:r>
              <w:rPr>
                <w:rFonts w:ascii="Arial" w:hAnsi="Arial"/>
                <w:b w:val="0"/>
                <w:sz w:val="18"/>
              </w:rPr>
              <w:t>18</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0.00042</w:t>
            </w:r>
          </w:p>
        </w:tc>
        <w:tc>
          <w:tcPr>
            <w:tcW w:type="dxa" w:w="1134"/>
            <w:shd w:fill="FFF2CC" w:val="clear"/>
          </w:tcPr>
          <w:p>
            <w:pPr>
              <w:jc w:val="center"/>
            </w:pPr>
            <w:r>
              <w:rPr>
                <w:rFonts w:ascii="Arial" w:hAnsi="Arial"/>
                <w:b/>
                <w:sz w:val="18"/>
              </w:rPr>
              <w:t>22</w:t>
            </w:r>
          </w:p>
        </w:tc>
        <w:tc>
          <w:tcPr>
            <w:tcW w:type="dxa" w:w="1417"/>
            <w:shd w:fill="FFF2CC" w:val="clear"/>
          </w:tcPr>
          <w:p>
            <w:pPr>
              <w:jc w:val="center"/>
            </w:pPr>
            <w:r>
              <w:rPr>
                <w:rFonts w:ascii="Arial" w:hAnsi="Arial"/>
                <w:b/>
                <w:sz w:val="18"/>
              </w:rPr>
              <w:t>0.01531</w:t>
            </w:r>
          </w:p>
        </w:tc>
        <w:tc>
          <w:tcPr>
            <w:tcW w:type="dxa" w:w="1134"/>
            <w:shd w:fill="FFF2CC" w:val="clear"/>
          </w:tcPr>
          <w:p>
            <w:pPr>
              <w:jc w:val="center"/>
            </w:pPr>
            <w:r>
              <w:rPr>
                <w:rFonts w:ascii="Arial" w:hAnsi="Arial"/>
                <w:b/>
                <w:sz w:val="18"/>
              </w:rPr>
              <w:t>19</w:t>
            </w:r>
          </w:p>
        </w:tc>
      </w:tr>
      <w:tr>
        <w:tc>
          <w:tcPr>
            <w:tcW w:type="dxa" w:w="3685"/>
            <w:shd w:fill="FFFFFF" w:val="clear"/>
          </w:tcPr>
          <w:p>
            <w:pPr>
              <w:jc w:val="left"/>
            </w:pPr>
            <w:r>
              <w:rPr>
                <w:rFonts w:ascii="Arial" w:hAnsi="Arial"/>
                <w:b w:val="0"/>
                <w:sz w:val="18"/>
              </w:rPr>
              <w:t>CBO: Agropecuária</w:t>
            </w:r>
          </w:p>
        </w:tc>
        <w:tc>
          <w:tcPr>
            <w:tcW w:type="dxa" w:w="1417"/>
            <w:shd w:fill="FFFFFF" w:val="clear"/>
          </w:tcPr>
          <w:p>
            <w:pPr>
              <w:jc w:val="center"/>
            </w:pPr>
            <w:r>
              <w:rPr>
                <w:rFonts w:ascii="Arial" w:hAnsi="Arial"/>
                <w:b w:val="0"/>
                <w:sz w:val="18"/>
              </w:rPr>
              <w:t>0.00117</w:t>
            </w:r>
          </w:p>
        </w:tc>
        <w:tc>
          <w:tcPr>
            <w:tcW w:type="dxa" w:w="1134"/>
            <w:shd w:fill="FFFFFF" w:val="clear"/>
          </w:tcPr>
          <w:p>
            <w:pPr>
              <w:jc w:val="center"/>
            </w:pPr>
            <w:r>
              <w:rPr>
                <w:rFonts w:ascii="Arial" w:hAnsi="Arial"/>
                <w:b w:val="0"/>
                <w:sz w:val="18"/>
              </w:rPr>
              <w:t>17</w:t>
            </w:r>
          </w:p>
        </w:tc>
        <w:tc>
          <w:tcPr>
            <w:tcW w:type="dxa" w:w="1417"/>
            <w:shd w:fill="FFFFFF" w:val="clear"/>
          </w:tcPr>
          <w:p>
            <w:pPr>
              <w:jc w:val="center"/>
            </w:pPr>
            <w:r>
              <w:rPr>
                <w:rFonts w:ascii="Arial" w:hAnsi="Arial"/>
                <w:b w:val="0"/>
                <w:sz w:val="18"/>
              </w:rPr>
              <w:t>0.01510</w:t>
            </w:r>
          </w:p>
        </w:tc>
        <w:tc>
          <w:tcPr>
            <w:tcW w:type="dxa" w:w="1134"/>
            <w:shd w:fill="FFFFFF" w:val="clear"/>
          </w:tcPr>
          <w:p>
            <w:pPr>
              <w:jc w:val="center"/>
            </w:pPr>
            <w:r>
              <w:rPr>
                <w:rFonts w:ascii="Arial" w:hAnsi="Arial"/>
                <w:b w:val="0"/>
                <w:sz w:val="18"/>
              </w:rPr>
              <w:t>20</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0.01083</w:t>
            </w:r>
          </w:p>
        </w:tc>
        <w:tc>
          <w:tcPr>
            <w:tcW w:type="dxa" w:w="1134"/>
            <w:shd w:fill="F2F2F2" w:val="clear"/>
          </w:tcPr>
          <w:p>
            <w:pPr>
              <w:jc w:val="center"/>
            </w:pPr>
            <w:r>
              <w:rPr>
                <w:rFonts w:ascii="Arial" w:hAnsi="Arial"/>
                <w:b w:val="0"/>
                <w:sz w:val="18"/>
              </w:rPr>
              <w:t>11</w:t>
            </w:r>
          </w:p>
        </w:tc>
        <w:tc>
          <w:tcPr>
            <w:tcW w:type="dxa" w:w="1417"/>
            <w:shd w:fill="F2F2F2" w:val="clear"/>
          </w:tcPr>
          <w:p>
            <w:pPr>
              <w:jc w:val="center"/>
            </w:pPr>
            <w:r>
              <w:rPr>
                <w:rFonts w:ascii="Arial" w:hAnsi="Arial"/>
                <w:b w:val="0"/>
                <w:sz w:val="18"/>
              </w:rPr>
              <w:t>0.01276</w:t>
            </w:r>
          </w:p>
        </w:tc>
        <w:tc>
          <w:tcPr>
            <w:tcW w:type="dxa" w:w="1134"/>
            <w:shd w:fill="F2F2F2" w:val="clear"/>
          </w:tcPr>
          <w:p>
            <w:pPr>
              <w:jc w:val="center"/>
            </w:pPr>
            <w:r>
              <w:rPr>
                <w:rFonts w:ascii="Arial" w:hAnsi="Arial"/>
                <w:b w:val="0"/>
                <w:sz w:val="18"/>
              </w:rPr>
              <w:t>21</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0.00507</w:t>
            </w:r>
          </w:p>
        </w:tc>
        <w:tc>
          <w:tcPr>
            <w:tcW w:type="dxa" w:w="1134"/>
            <w:shd w:fill="FFFFFF" w:val="clear"/>
          </w:tcPr>
          <w:p>
            <w:pPr>
              <w:jc w:val="center"/>
            </w:pPr>
            <w:r>
              <w:rPr>
                <w:rFonts w:ascii="Arial" w:hAnsi="Arial"/>
                <w:b w:val="0"/>
                <w:sz w:val="18"/>
              </w:rPr>
              <w:t>13</w:t>
            </w:r>
          </w:p>
        </w:tc>
        <w:tc>
          <w:tcPr>
            <w:tcW w:type="dxa" w:w="1417"/>
            <w:shd w:fill="FFFFFF" w:val="clear"/>
          </w:tcPr>
          <w:p>
            <w:pPr>
              <w:jc w:val="center"/>
            </w:pPr>
            <w:r>
              <w:rPr>
                <w:rFonts w:ascii="Arial" w:hAnsi="Arial"/>
                <w:b w:val="0"/>
                <w:sz w:val="18"/>
              </w:rPr>
              <w:t>0.01153</w:t>
            </w:r>
          </w:p>
        </w:tc>
        <w:tc>
          <w:tcPr>
            <w:tcW w:type="dxa" w:w="1134"/>
            <w:shd w:fill="FFFFFF" w:val="clear"/>
          </w:tcPr>
          <w:p>
            <w:pPr>
              <w:jc w:val="center"/>
            </w:pPr>
            <w:r>
              <w:rPr>
                <w:rFonts w:ascii="Arial" w:hAnsi="Arial"/>
                <w:b w:val="0"/>
                <w:sz w:val="18"/>
              </w:rPr>
              <w:t>22</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0.00033</w:t>
            </w:r>
          </w:p>
        </w:tc>
        <w:tc>
          <w:tcPr>
            <w:tcW w:type="dxa" w:w="1134"/>
            <w:shd w:fill="FFF2CC" w:val="clear"/>
          </w:tcPr>
          <w:p>
            <w:pPr>
              <w:jc w:val="center"/>
            </w:pPr>
            <w:r>
              <w:rPr>
                <w:rFonts w:ascii="Arial" w:hAnsi="Arial"/>
                <w:b/>
                <w:sz w:val="18"/>
              </w:rPr>
              <w:t>23</w:t>
            </w:r>
          </w:p>
        </w:tc>
        <w:tc>
          <w:tcPr>
            <w:tcW w:type="dxa" w:w="1417"/>
            <w:shd w:fill="FFF2CC" w:val="clear"/>
          </w:tcPr>
          <w:p>
            <w:pPr>
              <w:jc w:val="center"/>
            </w:pPr>
            <w:r>
              <w:rPr>
                <w:rFonts w:ascii="Arial" w:hAnsi="Arial"/>
                <w:b/>
                <w:sz w:val="18"/>
              </w:rPr>
              <w:t>0.01145</w:t>
            </w:r>
          </w:p>
        </w:tc>
        <w:tc>
          <w:tcPr>
            <w:tcW w:type="dxa" w:w="1134"/>
            <w:shd w:fill="FFF2CC" w:val="clear"/>
          </w:tcPr>
          <w:p>
            <w:pPr>
              <w:jc w:val="center"/>
            </w:pPr>
            <w:r>
              <w:rPr>
                <w:rFonts w:ascii="Arial" w:hAnsi="Arial"/>
                <w:b/>
                <w:sz w:val="18"/>
              </w:rPr>
              <w:t>23</w:t>
            </w:r>
          </w:p>
        </w:tc>
      </w:tr>
      <w:tr>
        <w:tc>
          <w:tcPr>
            <w:tcW w:type="dxa" w:w="3685"/>
            <w:shd w:fill="FFFFFF" w:val="clear"/>
          </w:tcPr>
          <w:p>
            <w:pPr>
              <w:jc w:val="left"/>
            </w:pPr>
            <w:r>
              <w:rPr>
                <w:rFonts w:ascii="Arial" w:hAnsi="Arial"/>
                <w:b w:val="0"/>
                <w:sz w:val="18"/>
              </w:rPr>
              <w:t>Educ. média UPA</w:t>
            </w:r>
          </w:p>
        </w:tc>
        <w:tc>
          <w:tcPr>
            <w:tcW w:type="dxa" w:w="1417"/>
            <w:shd w:fill="FFFFFF" w:val="clear"/>
          </w:tcPr>
          <w:p>
            <w:pPr>
              <w:jc w:val="center"/>
            </w:pPr>
            <w:r>
              <w:rPr>
                <w:rFonts w:ascii="Arial" w:hAnsi="Arial"/>
                <w:b w:val="0"/>
                <w:sz w:val="18"/>
              </w:rPr>
              <w:t>0.00032</w:t>
            </w:r>
          </w:p>
        </w:tc>
        <w:tc>
          <w:tcPr>
            <w:tcW w:type="dxa" w:w="1134"/>
            <w:shd w:fill="FFFFFF" w:val="clear"/>
          </w:tcPr>
          <w:p>
            <w:pPr>
              <w:jc w:val="center"/>
            </w:pPr>
            <w:r>
              <w:rPr>
                <w:rFonts w:ascii="Arial" w:hAnsi="Arial"/>
                <w:b w:val="0"/>
                <w:sz w:val="18"/>
              </w:rPr>
              <w:t>25</w:t>
            </w:r>
          </w:p>
        </w:tc>
        <w:tc>
          <w:tcPr>
            <w:tcW w:type="dxa" w:w="1417"/>
            <w:shd w:fill="FFFFFF" w:val="clear"/>
          </w:tcPr>
          <w:p>
            <w:pPr>
              <w:jc w:val="center"/>
            </w:pPr>
            <w:r>
              <w:rPr>
                <w:rFonts w:ascii="Arial" w:hAnsi="Arial"/>
                <w:b w:val="0"/>
                <w:sz w:val="18"/>
              </w:rPr>
              <w:t>0.01099</w:t>
            </w:r>
          </w:p>
        </w:tc>
        <w:tc>
          <w:tcPr>
            <w:tcW w:type="dxa" w:w="1134"/>
            <w:shd w:fill="FFFFFF" w:val="clear"/>
          </w:tcPr>
          <w:p>
            <w:pPr>
              <w:jc w:val="center"/>
            </w:pPr>
            <w:r>
              <w:rPr>
                <w:rFonts w:ascii="Arial" w:hAnsi="Arial"/>
                <w:b w:val="0"/>
                <w:sz w:val="18"/>
              </w:rPr>
              <w:t>24</w:t>
            </w:r>
          </w:p>
        </w:tc>
      </w:tr>
      <w:tr>
        <w:tc>
          <w:tcPr>
            <w:tcW w:type="dxa" w:w="3685"/>
            <w:shd w:fill="F2F2F2" w:val="clear"/>
          </w:tcPr>
          <w:p>
            <w:pPr>
              <w:jc w:val="left"/>
            </w:pPr>
            <w:r>
              <w:rPr>
                <w:rFonts w:ascii="Arial" w:hAnsi="Arial"/>
                <w:b w:val="0"/>
                <w:sz w:val="18"/>
              </w:rPr>
              <w:t>Educ. média Estado</w:t>
            </w:r>
          </w:p>
        </w:tc>
        <w:tc>
          <w:tcPr>
            <w:tcW w:type="dxa" w:w="1417"/>
            <w:shd w:fill="F2F2F2" w:val="clear"/>
          </w:tcPr>
          <w:p>
            <w:pPr>
              <w:jc w:val="center"/>
            </w:pPr>
            <w:r>
              <w:rPr>
                <w:rFonts w:ascii="Arial" w:hAnsi="Arial"/>
                <w:b w:val="0"/>
                <w:sz w:val="18"/>
              </w:rPr>
              <w:t>0.00054</w:t>
            </w:r>
          </w:p>
        </w:tc>
        <w:tc>
          <w:tcPr>
            <w:tcW w:type="dxa" w:w="1134"/>
            <w:shd w:fill="F2F2F2" w:val="clear"/>
          </w:tcPr>
          <w:p>
            <w:pPr>
              <w:jc w:val="center"/>
            </w:pPr>
            <w:r>
              <w:rPr>
                <w:rFonts w:ascii="Arial" w:hAnsi="Arial"/>
                <w:b w:val="0"/>
                <w:sz w:val="18"/>
              </w:rPr>
              <w:t>20</w:t>
            </w:r>
          </w:p>
        </w:tc>
        <w:tc>
          <w:tcPr>
            <w:tcW w:type="dxa" w:w="1417"/>
            <w:shd w:fill="F2F2F2" w:val="clear"/>
          </w:tcPr>
          <w:p>
            <w:pPr>
              <w:jc w:val="center"/>
            </w:pPr>
            <w:r>
              <w:rPr>
                <w:rFonts w:ascii="Arial" w:hAnsi="Arial"/>
                <w:b w:val="0"/>
                <w:sz w:val="18"/>
              </w:rPr>
              <w:t>0.00613</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28</w:t>
            </w:r>
          </w:p>
        </w:tc>
        <w:tc>
          <w:tcPr>
            <w:tcW w:type="dxa" w:w="1417"/>
            <w:shd w:fill="FFFFFF" w:val="clear"/>
          </w:tcPr>
          <w:p>
            <w:pPr>
              <w:jc w:val="center"/>
            </w:pPr>
            <w:r>
              <w:rPr>
                <w:rFonts w:ascii="Arial" w:hAnsi="Arial"/>
                <w:b w:val="0"/>
                <w:sz w:val="18"/>
              </w:rPr>
              <w:t>0.00402</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Superior</w:t>
            </w:r>
          </w:p>
        </w:tc>
        <w:tc>
          <w:tcPr>
            <w:tcW w:type="dxa" w:w="1417"/>
            <w:shd w:fill="F2F2F2" w:val="clear"/>
          </w:tcPr>
          <w:p>
            <w:pPr>
              <w:jc w:val="center"/>
            </w:pPr>
            <w:r>
              <w:rPr>
                <w:rFonts w:ascii="Arial" w:hAnsi="Arial"/>
                <w:b w:val="0"/>
                <w:sz w:val="18"/>
              </w:rPr>
              <w:t>0.00002</w:t>
            </w:r>
          </w:p>
        </w:tc>
        <w:tc>
          <w:tcPr>
            <w:tcW w:type="dxa" w:w="1134"/>
            <w:shd w:fill="F2F2F2" w:val="clear"/>
          </w:tcPr>
          <w:p>
            <w:pPr>
              <w:jc w:val="center"/>
            </w:pPr>
            <w:r>
              <w:rPr>
                <w:rFonts w:ascii="Arial" w:hAnsi="Arial"/>
                <w:b w:val="0"/>
                <w:sz w:val="18"/>
              </w:rPr>
              <w:t>26</w:t>
            </w:r>
          </w:p>
        </w:tc>
        <w:tc>
          <w:tcPr>
            <w:tcW w:type="dxa" w:w="1417"/>
            <w:shd w:fill="F2F2F2" w:val="clear"/>
          </w:tcPr>
          <w:p>
            <w:pPr>
              <w:jc w:val="center"/>
            </w:pPr>
            <w:r>
              <w:rPr>
                <w:rFonts w:ascii="Arial" w:hAnsi="Arial"/>
                <w:b w:val="0"/>
                <w:sz w:val="18"/>
              </w:rPr>
              <w:t>0.00258</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Fundamental</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28</w:t>
            </w:r>
          </w:p>
        </w:tc>
        <w:tc>
          <w:tcPr>
            <w:tcW w:type="dxa" w:w="1417"/>
            <w:shd w:fill="FFFFFF" w:val="clear"/>
          </w:tcPr>
          <w:p>
            <w:pPr>
              <w:jc w:val="center"/>
            </w:pPr>
            <w:r>
              <w:rPr>
                <w:rFonts w:ascii="Arial" w:hAnsi="Arial"/>
                <w:b w:val="0"/>
                <w:sz w:val="18"/>
              </w:rPr>
              <w:t>0.00104</w:t>
            </w:r>
          </w:p>
        </w:tc>
        <w:tc>
          <w:tcPr>
            <w:tcW w:type="dxa" w:w="1134"/>
            <w:shd w:fill="FFFFFF" w:val="clear"/>
          </w:tcPr>
          <w:p>
            <w:pPr>
              <w:jc w:val="center"/>
            </w:pPr>
            <w:r>
              <w:rPr>
                <w:rFonts w:ascii="Arial" w:hAnsi="Arial"/>
                <w:b w:val="0"/>
                <w:sz w:val="18"/>
              </w:rPr>
              <w:t>28</w:t>
            </w:r>
          </w:p>
        </w:tc>
      </w:tr>
      <w:tr>
        <w:tc>
          <w:tcPr>
            <w:tcW w:type="dxa" w:w="3685"/>
            <w:shd w:fill="F2F2F2" w:val="clear"/>
          </w:tcPr>
          <w:p>
            <w:pPr>
              <w:jc w:val="left"/>
            </w:pPr>
            <w:r>
              <w:rPr>
                <w:rFonts w:ascii="Arial" w:hAnsi="Arial"/>
                <w:b w:val="0"/>
                <w:sz w:val="18"/>
              </w:rPr>
              <w:t>Educ.: Pós-graduação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28</w:t>
            </w:r>
          </w:p>
        </w:tc>
        <w:tc>
          <w:tcPr>
            <w:tcW w:type="dxa" w:w="1417"/>
            <w:shd w:fill="F2F2F2" w:val="clear"/>
          </w:tcPr>
          <w:p>
            <w:pPr>
              <w:jc w:val="center"/>
            </w:pPr>
            <w:r>
              <w:rPr>
                <w:rFonts w:ascii="Arial" w:hAnsi="Arial"/>
                <w:b w:val="0"/>
                <w:sz w:val="18"/>
              </w:rPr>
              <w:t>0.00002</w:t>
            </w:r>
          </w:p>
        </w:tc>
        <w:tc>
          <w:tcPr>
            <w:tcW w:type="dxa" w:w="1134"/>
            <w:shd w:fill="F2F2F2" w:val="clear"/>
          </w:tcPr>
          <w:p>
            <w:pPr>
              <w:jc w:val="center"/>
            </w:pPr>
            <w:r>
              <w:rPr>
                <w:rFonts w:ascii="Arial" w:hAnsi="Arial"/>
                <w:b w:val="0"/>
                <w:sz w:val="18"/>
              </w:rPr>
              <w:t>29</w:t>
            </w:r>
          </w:p>
        </w:tc>
      </w:tr>
    </w:tbl>
    <w:p>
      <w:pPr>
        <w:spacing w:after="120" w:lineRule="auto" w:line="360"/>
        <w:ind w:firstLine="709"/>
        <w:jc w:val="both"/>
      </w:pPr>
      <w:r>
        <w:rPr>
          <w:rFonts w:ascii="Times New Roman" w:hAnsi="Times New Roman"/>
          <w:b w:val="0"/>
          <w:i w:val="0"/>
          <w:sz w:val="24"/>
        </w:rPr>
        <w:t>A renda média da UPA segue como preditor mais importante (|SHAP| = 0.269),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22" name="Picture 22"/>
            <wp:cNvGraphicFramePr>
              <a:graphicFrameLocks noChangeAspect="1"/>
            </wp:cNvGraphicFramePr>
            <a:graphic>
              <a:graphicData uri="http://schemas.openxmlformats.org/drawingml/2006/picture">
                <pic:pic>
                  <pic:nvPicPr>
                    <pic:cNvPr id="0" name="shap_beeswarm_xgb.png"/>
                    <pic:cNvPicPr/>
                  </pic:nvPicPr>
                  <pic:blipFill>
                    <a:blip r:embed="rId30"/>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23" name="Picture 23"/>
            <wp:cNvGraphicFramePr>
              <a:graphicFrameLocks noChangeAspect="1"/>
            </wp:cNvGraphicFramePr>
            <a:graphic>
              <a:graphicData uri="http://schemas.openxmlformats.org/drawingml/2006/picture">
                <pic:pic>
                  <pic:nvPicPr>
                    <pic:cNvPr id="0" name="shap_dependence_negro_xgb.png"/>
                    <pic:cNvPicPr/>
                  </pic:nvPicPr>
                  <pic:blipFill>
                    <a:blip r:embed="rId31"/>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51032"/>
            <wp:docPr id="24" name="Picture 24"/>
            <wp:cNvGraphicFramePr>
              <a:graphicFrameLocks noChangeAspect="1"/>
            </wp:cNvGraphicFramePr>
            <a:graphic>
              <a:graphicData uri="http://schemas.openxmlformats.org/drawingml/2006/picture">
                <pic:pic>
                  <pic:nvPicPr>
                    <pic:cNvPr id="0" name="shap_waterfall_A_branco_alta_renda_xgb.png"/>
                    <pic:cNvPicPr/>
                  </pic:nvPicPr>
                  <pic:blipFill>
                    <a:blip r:embed="rId32"/>
                    <a:stretch>
                      <a:fillRect/>
                    </a:stretch>
                  </pic:blipFill>
                  <pic:spPr>
                    <a:xfrm>
                      <a:off x="0" y="0"/>
                      <a:ext cx="4680000" cy="4251032"/>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355330"/>
            <wp:docPr id="25" name="Picture 25"/>
            <wp:cNvGraphicFramePr>
              <a:graphicFrameLocks noChangeAspect="1"/>
            </wp:cNvGraphicFramePr>
            <a:graphic>
              <a:graphicData uri="http://schemas.openxmlformats.org/drawingml/2006/picture">
                <pic:pic>
                  <pic:nvPicPr>
                    <pic:cNvPr id="0" name="shap_waterfall_B_negro_alta_renda_xgb.png"/>
                    <pic:cNvPicPr/>
                  </pic:nvPicPr>
                  <pic:blipFill>
                    <a:blip r:embed="rId33"/>
                    <a:stretch>
                      <a:fillRect/>
                    </a:stretch>
                  </pic:blipFill>
                  <pic:spPr>
                    <a:xfrm>
                      <a:off x="0" y="0"/>
                      <a:ext cx="4680000" cy="4355330"/>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244024"/>
            <wp:docPr id="26" name="Picture 26"/>
            <wp:cNvGraphicFramePr>
              <a:graphicFrameLocks noChangeAspect="1"/>
            </wp:cNvGraphicFramePr>
            <a:graphic>
              <a:graphicData uri="http://schemas.openxmlformats.org/drawingml/2006/picture">
                <pic:pic>
                  <pic:nvPicPr>
                    <pic:cNvPr id="0" name="shap_waterfall_C_negro_baixa_renda_xgb.png"/>
                    <pic:cNvPicPr/>
                  </pic:nvPicPr>
                  <pic:blipFill>
                    <a:blip r:embed="rId34"/>
                    <a:stretch>
                      <a:fillRect/>
                    </a:stretch>
                  </pic:blipFill>
                  <pic:spPr>
                    <a:xfrm>
                      <a:off x="0" y="0"/>
                      <a:ext cx="4680000" cy="4244024"/>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7" name="Picture 27"/>
            <wp:cNvGraphicFramePr>
              <a:graphicFrameLocks noChangeAspect="1"/>
            </wp:cNvGraphicFramePr>
            <a:graphic>
              <a:graphicData uri="http://schemas.openxmlformats.org/drawingml/2006/picture">
                <pic:pic>
                  <pic:nvPicPr>
                    <pic:cNvPr id="0" name="sna_expandida_rede.png"/>
                    <pic:cNvPicPr/>
                  </pic:nvPicPr>
                  <pic:blipFill>
                    <a:blip r:embed="rId35"/>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8" name="Picture 28"/>
            <wp:cNvGraphicFramePr>
              <a:graphicFrameLocks noChangeAspect="1"/>
            </wp:cNvGraphicFramePr>
            <a:graphic>
              <a:graphicData uri="http://schemas.openxmlformats.org/drawingml/2006/picture">
                <pic:pic>
                  <pic:nvPicPr>
                    <pic:cNvPr id="0" name="sna_rede_demografica.png"/>
                    <pic:cNvPicPr/>
                  </pic:nvPicPr>
                  <pic:blipFill>
                    <a:blip r:embed="rId36"/>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2955789"/>
            <wp:docPr id="29" name="Picture 29"/>
            <wp:cNvGraphicFramePr>
              <a:graphicFrameLocks noChangeAspect="1"/>
            </wp:cNvGraphicFramePr>
            <a:graphic>
              <a:graphicData uri="http://schemas.openxmlformats.org/drawingml/2006/picture">
                <pic:pic>
                  <pic:nvPicPr>
                    <pic:cNvPr id="0" name="sna_constraint_vs_renda.png"/>
                    <pic:cNvPicPr/>
                  </pic:nvPicPr>
                  <pic:blipFill>
                    <a:blip r:embed="rId37"/>
                    <a:stretch>
                      <a:fillRect/>
                    </a:stretch>
                  </pic:blipFill>
                  <pic:spPr>
                    <a:xfrm>
                      <a:off x="0" y="0"/>
                      <a:ext cx="4320000" cy="2955789"/>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30" name="Picture 30"/>
            <wp:cNvGraphicFramePr>
              <a:graphicFrameLocks noChangeAspect="1"/>
            </wp:cNvGraphicFramePr>
            <a:graphic>
              <a:graphicData uri="http://schemas.openxmlformats.org/drawingml/2006/picture">
                <pic:pic>
                  <pic:nvPicPr>
                    <pic:cNvPr id="0" name="sna_homofilia_por_educ.png"/>
                    <pic:cNvPicPr/>
                  </pic:nvPicPr>
                  <pic:blipFill>
                    <a:blip r:embed="rId38"/>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31" name="Picture 31"/>
            <wp:cNvGraphicFramePr>
              <a:graphicFrameLocks noChangeAspect="1"/>
            </wp:cNvGraphicFramePr>
            <a:graphic>
              <a:graphicData uri="http://schemas.openxmlformats.org/drawingml/2006/picture">
                <pic:pic>
                  <pic:nvPicPr>
                    <pic:cNvPr id="0" name="sna_temporal_gap.png"/>
                    <pic:cNvPicPr/>
                  </pic:nvPicPr>
                  <pic:blipFill>
                    <a:blip r:embed="rId39"/>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32" name="Picture 32"/>
            <wp:cNvGraphicFramePr>
              <a:graphicFrameLocks noChangeAspect="1"/>
            </wp:cNvGraphicFramePr>
            <a:graphic>
              <a:graphicData uri="http://schemas.openxmlformats.org/drawingml/2006/picture">
                <pic:pic>
                  <pic:nvPicPr>
                    <pic:cNvPr id="0" name="predicoes_por_perfil.png"/>
                    <pic:cNvPicPr/>
                  </pic:nvPicPr>
                  <pic:blipFill>
                    <a:blip r:embed="rId40"/>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33" name="Picture 33"/>
            <wp:cNvGraphicFramePr>
              <a:graphicFrameLocks noChangeAspect="1"/>
            </wp:cNvGraphicFramePr>
            <a:graphic>
              <a:graphicData uri="http://schemas.openxmlformats.org/drawingml/2006/picture">
                <pic:pic>
                  <pic:nvPicPr>
                    <pic:cNvPr id="0" name="predicoes_contrafactual.png"/>
                    <pic:cNvPicPr/>
                  </pic:nvPicPr>
                  <pic:blipFill>
                    <a:blip r:embed="rId41"/>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34" name="Picture 34"/>
            <wp:cNvGraphicFramePr>
              <a:graphicFrameLocks noChangeAspect="1"/>
            </wp:cNvGraphicFramePr>
            <a:graphic>
              <a:graphicData uri="http://schemas.openxmlformats.org/drawingml/2006/picture">
                <pic:pic>
                  <pic:nvPicPr>
                    <pic:cNvPr id="0" name="oaxaca_decomposicao.png"/>
                    <pic:cNvPicPr/>
                  </pic:nvPicPr>
                  <pic:blipFill>
                    <a:blip r:embed="rId42"/>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35" name="Picture 35"/>
            <wp:cNvGraphicFramePr>
              <a:graphicFrameLocks noChangeAspect="1"/>
            </wp:cNvGraphicFramePr>
            <a:graphic>
              <a:graphicData uri="http://schemas.openxmlformats.org/drawingml/2006/picture">
                <pic:pic>
                  <pic:nvPicPr>
                    <pic:cNvPr id="0" name="oaxaca_coeficientes.png"/>
                    <pic:cNvPicPr/>
                  </pic:nvPicPr>
                  <pic:blipFill>
                    <a:blip r:embed="rId43"/>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3212"/>
            <wp:docPr id="36" name="Picture 36"/>
            <wp:cNvGraphicFramePr>
              <a:graphicFrameLocks noChangeAspect="1"/>
            </wp:cNvGraphicFramePr>
            <a:graphic>
              <a:graphicData uri="http://schemas.openxmlformats.org/drawingml/2006/picture">
                <pic:pic>
                  <pic:nvPicPr>
                    <pic:cNvPr id="0" name="oaxaca_por_variavel.png"/>
                    <pic:cNvPicPr/>
                  </pic:nvPicPr>
                  <pic:blipFill>
                    <a:blip r:embed="rId44"/>
                    <a:stretch>
                      <a:fillRect/>
                    </a:stretch>
                  </pic:blipFill>
                  <pic:spPr>
                    <a:xfrm>
                      <a:off x="0" y="0"/>
                      <a:ext cx="4680000" cy="2313212"/>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7" name="Picture 37"/>
            <wp:cNvGraphicFramePr>
              <a:graphicFrameLocks noChangeAspect="1"/>
            </wp:cNvGraphicFramePr>
            <a:graphic>
              <a:graphicData uri="http://schemas.openxmlformats.org/drawingml/2006/picture">
                <pic:pic>
                  <pic:nvPicPr>
                    <pic:cNvPr id="0" name="ob_por_sexo.png"/>
                    <pic:cNvPicPr/>
                  </pic:nvPicPr>
                  <pic:blipFill>
                    <a:blip r:embed="rId45"/>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8" name="Picture 38"/>
            <wp:cNvGraphicFramePr>
              <a:graphicFrameLocks noChangeAspect="1"/>
            </wp:cNvGraphicFramePr>
            <a:graphic>
              <a:graphicData uri="http://schemas.openxmlformats.org/drawingml/2006/picture">
                <pic:pic>
                  <pic:nvPicPr>
                    <pic:cNvPr id="0" name="ob_estabilidade_temporal.png"/>
                    <pic:cNvPicPr/>
                  </pic:nvPicPr>
                  <pic:blipFill>
                    <a:blip r:embed="rId46"/>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9,80%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9" name="Picture 39"/>
            <wp:cNvGraphicFramePr>
              <a:graphicFrameLocks noChangeAspect="1"/>
            </wp:cNvGraphicFramePr>
            <a:graphic>
              <a:graphicData uri="http://schemas.openxmlformats.org/drawingml/2006/picture">
                <pic:pic>
                  <pic:nvPicPr>
                    <pic:cNvPr id="0" name="fig4_gap_faixa_etaria.png"/>
                    <pic:cNvPicPr/>
                  </pic:nvPicPr>
                  <pic:blipFill>
                    <a:blip r:embed="rId47"/>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[−39,2%; −38,1%]), intermediário no interior (−36,4% [−36,7%; −36,1%]) e menor nas RMs não capitais (−28,1% [−28,8%; −27,4%]).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40" name="Picture 40"/>
            <wp:cNvGraphicFramePr>
              <a:graphicFrameLocks noChangeAspect="1"/>
            </wp:cNvGraphicFramePr>
            <a:graphic>
              <a:graphicData uri="http://schemas.openxmlformats.org/drawingml/2006/picture">
                <pic:pic>
                  <pic:nvPicPr>
                    <pic:cNvPr id="0" name="segreg_taxa_ocupacao.png"/>
                    <pic:cNvPicPr/>
                  </pic:nvPicPr>
                  <pic:blipFill>
                    <a:blip r:embed="rId48"/>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41" name="Picture 41"/>
            <wp:cNvGraphicFramePr>
              <a:graphicFrameLocks noChangeAspect="1"/>
            </wp:cNvGraphicFramePr>
            <a:graphic>
              <a:graphicData uri="http://schemas.openxmlformats.org/drawingml/2006/picture">
                <pic:pic>
                  <pic:nvPicPr>
                    <pic:cNvPr id="0" name="segreg_renda_por_area.png"/>
                    <pic:cNvPicPr/>
                  </pic:nvPicPr>
                  <pic:blipFill>
                    <a:blip r:embed="rId49"/>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[−39,2%; −38,1%]). Nas RMs não capitais — com predominância de empregos industriais e logísticos de remuneração mais homogênea — o gap é o menor dos três contextos (−28,1%, IC 95%: [−28,8%; −27,4%]). No interior, a combinação de mercados locais informais e menor fiscalização trabalhista sustenta gap intermediário (−36,4%, IC 95%: [−36,7%; −36,1%]),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42" name="Picture 42"/>
            <wp:cNvGraphicFramePr>
              <a:graphicFrameLocks noChangeAspect="1"/>
            </wp:cNvGraphicFramePr>
            <a:graphic>
              <a:graphicData uri="http://schemas.openxmlformats.org/drawingml/2006/picture">
                <pic:pic>
                  <pic:nvPicPr>
                    <pic:cNvPr id="0" name="segreg_gap_por_area.png"/>
                    <pic:cNvPicPr/>
                  </pic:nvPicPr>
                  <pic:blipFill>
                    <a:blip r:embed="rId50"/>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43" name="Picture 43"/>
            <wp:cNvGraphicFramePr>
              <a:graphicFrameLocks noChangeAspect="1"/>
            </wp:cNvGraphicFramePr>
            <a:graphic>
              <a:graphicData uri="http://schemas.openxmlformats.org/drawingml/2006/picture">
                <pic:pic>
                  <pic:nvPicPr>
                    <pic:cNvPr id="0" name="segregacao_gap_area_ci.png"/>
                    <pic:cNvPicPr/>
                  </pic:nvPicPr>
                  <pic:blipFill>
                    <a:blip r:embed="rId51"/>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44" name="Picture 44"/>
            <wp:cNvGraphicFramePr>
              <a:graphicFrameLocks noChangeAspect="1"/>
            </wp:cNvGraphicFramePr>
            <a:graphic>
              <a:graphicData uri="http://schemas.openxmlformats.org/drawingml/2006/picture">
                <pic:pic>
                  <pic:nvPicPr>
                    <pic:cNvPr id="0" name="segreg_temporal_metro_interior.png"/>
                    <pic:cNvPicPr/>
                  </pic:nvPicPr>
                  <pic:blipFill>
                    <a:blip r:embed="rId52"/>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45" name="Picture 45"/>
            <wp:cNvGraphicFramePr>
              <a:graphicFrameLocks noChangeAspect="1"/>
            </wp:cNvGraphicFramePr>
            <a:graphic>
              <a:graphicData uri="http://schemas.openxmlformats.org/drawingml/2006/picture">
                <pic:pic>
                  <pic:nvPicPr>
                    <pic:cNvPr id="0" name="comp_grupo_cbo_capital.png"/>
                    <pic:cNvPicPr/>
                  </pic:nvPicPr>
                  <pic:blipFill>
                    <a:blip r:embed="rId53"/>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6" name="Picture 46"/>
            <wp:cNvGraphicFramePr>
              <a:graphicFrameLocks noChangeAspect="1"/>
            </wp:cNvGraphicFramePr>
            <a:graphic>
              <a:graphicData uri="http://schemas.openxmlformats.org/drawingml/2006/picture">
                <pic:pic>
                  <pic:nvPicPr>
                    <pic:cNvPr id="0" name="comp_razao_grupo_cbo.png"/>
                    <pic:cNvPicPr/>
                  </pic:nvPicPr>
                  <pic:blipFill>
                    <a:blip r:embed="rId54"/>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7" name="Picture 47"/>
            <wp:cNvGraphicFramePr>
              <a:graphicFrameLocks noChangeAspect="1"/>
            </wp:cNvGraphicFramePr>
            <a:graphic>
              <a:graphicData uri="http://schemas.openxmlformats.org/drawingml/2006/picture">
                <pic:pic>
                  <pic:nvPicPr>
                    <pic:cNvPr id="0" name="comp_representacao_topo.png"/>
                    <pic:cNvPicPr/>
                  </pic:nvPicPr>
                  <pic:blipFill>
                    <a:blip r:embed="rId55"/>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8" name="Picture 48"/>
            <wp:cNvGraphicFramePr>
              <a:graphicFrameLocks noChangeAspect="1"/>
            </wp:cNvGraphicFramePr>
            <a:graphic>
              <a:graphicData uri="http://schemas.openxmlformats.org/drawingml/2006/picture">
                <pic:pic>
                  <pic:nvPicPr>
                    <pic:cNvPr id="0" name="comp_formalidade.png"/>
                    <pic:cNvPicPr/>
                  </pic:nvPicPr>
                  <pic:blipFill>
                    <a:blip r:embed="rId56"/>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9" name="Picture 49"/>
            <wp:cNvGraphicFramePr>
              <a:graphicFrameLocks noChangeAspect="1"/>
            </wp:cNvGraphicFramePr>
            <a:graphic>
              <a:graphicData uri="http://schemas.openxmlformats.org/drawingml/2006/picture">
                <pic:pic>
                  <pic:nvPicPr>
                    <pic:cNvPr id="0" name="comp_ratio_renda.png"/>
                    <pic:cNvPicPr/>
                  </pic:nvPicPr>
                  <pic:blipFill>
                    <a:blip r:embed="rId57"/>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50" name="Picture 50"/>
            <wp:cNvGraphicFramePr>
              <a:graphicFrameLocks noChangeAspect="1"/>
            </wp:cNvGraphicFramePr>
            <a:graphic>
              <a:graphicData uri="http://schemas.openxmlformats.org/drawingml/2006/picture">
                <pic:pic>
                  <pic:nvPicPr>
                    <pic:cNvPr id="0" name="logit_gap_bruto.png"/>
                    <pic:cNvPicPr/>
                  </pic:nvPicPr>
                  <pic:blipFill>
                    <a:blip r:embed="rId58"/>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0.555</w:t>
            </w:r>
          </w:p>
        </w:tc>
        <w:tc>
          <w:tcPr>
            <w:tcW w:type="dxa" w:w="1881"/>
            <w:shd w:fill="F2F2F2" w:val="clear"/>
          </w:tcPr>
          <w:p>
            <w:r>
              <w:rPr>
                <w:rFonts w:ascii="Times New Roman" w:hAnsi="Times New Roman"/>
                <w:sz w:val="18"/>
              </w:rPr>
              <w:t>[0.553; 0.557]</w:t>
            </w:r>
          </w:p>
        </w:tc>
        <w:tc>
          <w:tcPr>
            <w:tcW w:type="dxa" w:w="1881"/>
            <w:shd w:fill="F2F2F2" w:val="clear"/>
          </w:tcPr>
          <w:p>
            <w:r>
              <w:rPr>
                <w:rFonts w:ascii="Times New Roman" w:hAnsi="Times New Roman"/>
                <w:sz w:val="18"/>
              </w:rPr>
              <w:t>-8.60</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0.705</w:t>
            </w:r>
          </w:p>
        </w:tc>
        <w:tc>
          <w:tcPr>
            <w:tcW w:type="dxa" w:w="1881"/>
            <w:shd w:fill="FFFFFF" w:val="clear"/>
          </w:tcPr>
          <w:p>
            <w:r>
              <w:rPr>
                <w:rFonts w:ascii="Times New Roman" w:hAnsi="Times New Roman"/>
                <w:sz w:val="18"/>
              </w:rPr>
              <w:t>[0.702; 0.708]</w:t>
            </w:r>
          </w:p>
        </w:tc>
        <w:tc>
          <w:tcPr>
            <w:tcW w:type="dxa" w:w="1881"/>
            <w:shd w:fill="FFFFFF" w:val="clear"/>
          </w:tcPr>
          <w:p>
            <w:r>
              <w:rPr>
                <w:rFonts w:ascii="Times New Roman" w:hAnsi="Times New Roman"/>
                <w:sz w:val="18"/>
              </w:rPr>
              <w:t>-4.72</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0.540</w:t>
            </w:r>
          </w:p>
        </w:tc>
        <w:tc>
          <w:tcPr>
            <w:tcW w:type="dxa" w:w="1881"/>
            <w:shd w:fill="F2F2F2" w:val="clear"/>
          </w:tcPr>
          <w:p>
            <w:r>
              <w:rPr>
                <w:rFonts w:ascii="Times New Roman" w:hAnsi="Times New Roman"/>
                <w:sz w:val="18"/>
              </w:rPr>
              <w:t>[0.538; 0.542]</w:t>
            </w:r>
          </w:p>
        </w:tc>
        <w:tc>
          <w:tcPr>
            <w:tcW w:type="dxa" w:w="1881"/>
            <w:shd w:fill="F2F2F2" w:val="clear"/>
          </w:tcPr>
          <w:p>
            <w:r>
              <w:rPr>
                <w:rFonts w:ascii="Times New Roman" w:hAnsi="Times New Roman"/>
                <w:sz w:val="18"/>
              </w:rPr>
              <w:t>-8.79</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0.691</w:t>
            </w:r>
          </w:p>
        </w:tc>
        <w:tc>
          <w:tcPr>
            <w:tcW w:type="dxa" w:w="1881"/>
            <w:shd w:fill="FFFFFF" w:val="clear"/>
          </w:tcPr>
          <w:p>
            <w:r>
              <w:rPr>
                <w:rFonts w:ascii="Times New Roman" w:hAnsi="Times New Roman"/>
                <w:sz w:val="18"/>
              </w:rPr>
              <w:t>[0.688; 0.694]</w:t>
            </w:r>
          </w:p>
        </w:tc>
        <w:tc>
          <w:tcPr>
            <w:tcW w:type="dxa" w:w="1881"/>
            <w:shd w:fill="FFFFFF" w:val="clear"/>
          </w:tcPr>
          <w:p>
            <w:r>
              <w:rPr>
                <w:rFonts w:ascii="Times New Roman" w:hAnsi="Times New Roman"/>
                <w:sz w:val="18"/>
              </w:rPr>
              <w:t>-4.56</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0.457</w:t>
            </w:r>
          </w:p>
        </w:tc>
        <w:tc>
          <w:tcPr>
            <w:tcW w:type="dxa" w:w="1881"/>
            <w:shd w:fill="F2F2F2" w:val="clear"/>
          </w:tcPr>
          <w:p>
            <w:r>
              <w:rPr>
                <w:rFonts w:ascii="Times New Roman" w:hAnsi="Times New Roman"/>
                <w:sz w:val="18"/>
              </w:rPr>
              <w:t>[0.454; 0.459]</w:t>
            </w:r>
          </w:p>
        </w:tc>
        <w:tc>
          <w:tcPr>
            <w:tcW w:type="dxa" w:w="1881"/>
            <w:shd w:fill="F2F2F2" w:val="clear"/>
          </w:tcPr>
          <w:p>
            <w:r>
              <w:rPr>
                <w:rFonts w:ascii="Times New Roman" w:hAnsi="Times New Roman"/>
                <w:sz w:val="18"/>
              </w:rPr>
              <w:t>-6.33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0.656</w:t>
            </w:r>
          </w:p>
        </w:tc>
        <w:tc>
          <w:tcPr>
            <w:tcW w:type="dxa" w:w="1881"/>
            <w:shd w:fill="FFFFFF" w:val="clear"/>
          </w:tcPr>
          <w:p>
            <w:r>
              <w:rPr>
                <w:rFonts w:ascii="Times New Roman" w:hAnsi="Times New Roman"/>
                <w:sz w:val="18"/>
              </w:rPr>
              <w:t>[0.651; 0.660]</w:t>
            </w:r>
          </w:p>
        </w:tc>
        <w:tc>
          <w:tcPr>
            <w:tcW w:type="dxa" w:w="1881"/>
            <w:shd w:fill="FFFFFF" w:val="clear"/>
          </w:tcPr>
          <w:p>
            <w:r>
              <w:rPr>
                <w:rFonts w:ascii="Times New Roman" w:hAnsi="Times New Roman"/>
                <w:sz w:val="18"/>
              </w:rPr>
              <w:t>-2.88</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M1)=0,676 [ICC_UPA=21,6%] — modelo multinível autorizado. Gradiente (Python UF FE): OR(top20)=0,540 &gt; OR(top10)=0,457 → glass ceiling intensifica no topo.</w:t>
      </w:r>
    </w:p>
    <w:p>
      <w:pPr>
        <w:spacing w:before="120"/>
        <w:jc w:val="center"/>
      </w:pPr>
      <w:r>
        <w:drawing>
          <wp:inline xmlns:a="http://schemas.openxmlformats.org/drawingml/2006/main" xmlns:pic="http://schemas.openxmlformats.org/drawingml/2006/picture">
            <wp:extent cx="5400000" cy="2664935"/>
            <wp:docPr id="51" name="Picture 51"/>
            <wp:cNvGraphicFramePr>
              <a:graphicFrameLocks noChangeAspect="1"/>
            </wp:cNvGraphicFramePr>
            <a:graphic>
              <a:graphicData uri="http://schemas.openxmlformats.org/drawingml/2006/picture">
                <pic:pic>
                  <pic:nvPicPr>
                    <pic:cNvPr id="0" name="glmm_glassceil_forest.png"/>
                    <pic:cNvPicPr/>
                  </pic:nvPicPr>
                  <pic:blipFill>
                    <a:blip r:embed="rId59"/>
                    <a:stretch>
                      <a:fillRect/>
                    </a:stretch>
                  </pic:blipFill>
                  <pic:spPr>
                    <a:xfrm>
                      <a:off x="0" y="0"/>
                      <a:ext cx="5400000" cy="2664935"/>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(M1=0,676; M2=0,693) são menores que os anteriores (M1=0,704; M2=0,747) — reflexo de que a amostra antiga sobrerrepresentava trabalhadores não qualificados, subestimando o gap racial de acesso. O ICC caiu de 26,2% para 21,6% em M1 e de 22,2% para 10,7% em M2 —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OR=0,676 (AME=−5,04 p.p.) de acesso a ocupações CBO 1–4 em M1, e OR=0,540 (AME=−8,79 p.p.) para top 20% de renda. O gradiente confirmado — OR(top20)=0,540 vs OR(top10)=0,457 — prova que a exclusão racial se intensifica no topo da hierarquia: negros não apenas têm menor chance de alcançar os 20% superiores, mas essa desvantagem é ainda mais severa no limiar dos 10%. O ICC de 21,6%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51298"/>
            <wp:docPr id="52" name="Picture 52"/>
            <wp:cNvGraphicFramePr>
              <a:graphicFrameLocks noChangeAspect="1"/>
            </wp:cNvGraphicFramePr>
            <a:graphic>
              <a:graphicData uri="http://schemas.openxmlformats.org/drawingml/2006/picture">
                <pic:pic>
                  <pic:nvPicPr>
                    <pic:cNvPr id="0" name="glmm_glassceil_probpredita.png"/>
                    <pic:cNvPicPr/>
                  </pic:nvPicPr>
                  <pic:blipFill>
                    <a:blip r:embed="rId60"/>
                    <a:stretch>
                      <a:fillRect/>
                    </a:stretch>
                  </pic:blipFill>
                  <pic:spPr>
                    <a:xfrm>
                      <a:off x="0" y="0"/>
                      <a:ext cx="5400000" cy="2151298"/>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53" name="Picture 53"/>
            <wp:cNvGraphicFramePr>
              <a:graphicFrameLocks noChangeAspect="1"/>
            </wp:cNvGraphicFramePr>
            <a:graphic>
              <a:graphicData uri="http://schemas.openxmlformats.org/drawingml/2006/picture">
                <pic:pic>
                  <pic:nvPicPr>
                    <pic:cNvPr id="0" name="logit_decomposicao_gap.png"/>
                    <pic:cNvPicPr/>
                  </pic:nvPicPr>
                  <pic:blipFill>
                    <a:blip r:embed="rId61"/>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−5,04 p.p. (controles individuais); AME M2 = −4,73 p.p. (+ contexto UPA). A redução de 0,31 p.p. de M1 para M2 reflete mediação contextual pelo entorno da UPA (efeito de vizinhança, Wilson 1987). Os 4,73 p.p. residuais constituem discriminação de acesso pura não atribuível a nenhuma característica observável. O coeficiente GLMM (β=−0,369, OR=0,693 em M2) converge com o gap residual do HLM M4 (β=−0,0644 em log-renda), estabelecendo diagnóstico tripartite: discriminação opera (i) nas portas de entrada das ocupações qualificadas (GLMM: OR=0,676),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-8.321</w:t>
            </w:r>
          </w:p>
        </w:tc>
        <w:tc>
          <w:tcPr>
            <w:tcW w:type="dxa" w:w="1176"/>
            <w:shd w:fill="F2F2F2" w:val="clear"/>
          </w:tcPr>
          <w:p>
            <w:r>
              <w:rPr>
                <w:rFonts w:ascii="Times New Roman" w:hAnsi="Times New Roman"/>
                <w:sz w:val="18"/>
              </w:rPr>
              <w:t>-12.347</w:t>
            </w:r>
          </w:p>
        </w:tc>
        <w:tc>
          <w:tcPr>
            <w:tcW w:type="dxa" w:w="1176"/>
            <w:shd w:fill="F2F2F2" w:val="clear"/>
          </w:tcPr>
          <w:p>
            <w:r>
              <w:rPr>
                <w:rFonts w:ascii="Times New Roman" w:hAnsi="Times New Roman"/>
                <w:sz w:val="18"/>
              </w:rPr>
              <w:t>-4.026</w:t>
            </w:r>
          </w:p>
        </w:tc>
        <w:tc>
          <w:tcPr>
            <w:tcW w:type="dxa" w:w="1176"/>
            <w:shd w:fill="F2F2F2" w:val="clear"/>
          </w:tcPr>
          <w:p>
            <w:r>
              <w:rPr>
                <w:rFonts w:ascii="Times New Roman" w:hAnsi="Times New Roman"/>
                <w:sz w:val="18"/>
              </w:rPr>
              <w:t>-5.572</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69.279</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83676"/>
            <wp:docPr id="54" name="Picture 54"/>
            <wp:cNvGraphicFramePr>
              <a:graphicFrameLocks noChangeAspect="1"/>
            </wp:cNvGraphicFramePr>
            <a:graphic>
              <a:graphicData uri="http://schemas.openxmlformats.org/drawingml/2006/picture">
                <pic:pic>
                  <pic:nvPicPr>
                    <pic:cNvPr id="0" name="quantreg_trajetoria.png"/>
                    <pic:cNvPicPr/>
                  </pic:nvPicPr>
                  <pic:blipFill>
                    <a:blip r:embed="rId62"/>
                    <a:stretch>
                      <a:fillRect/>
                    </a:stretch>
                  </pic:blipFill>
                  <pic:spPr>
                    <a:xfrm>
                      <a:off x="0" y="0"/>
                      <a:ext cx="5040000" cy="2683676"/>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top20=0,540 &gt; OR top10=0,457).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55" name="Picture 55"/>
            <wp:cNvGraphicFramePr>
              <a:graphicFrameLocks noChangeAspect="1"/>
            </wp:cNvGraphicFramePr>
            <a:graphic>
              <a:graphicData uri="http://schemas.openxmlformats.org/drawingml/2006/picture">
                <pic:pic>
                  <pic:nvPicPr>
                    <pic:cNvPr id="0" name="quantreg_mediacao_ocp.png"/>
                    <pic:cNvPicPr/>
                  </pic:nvPicPr>
                  <pic:blipFill>
                    <a:blip r:embed="rId63"/>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(OR=0,693, AME=−4,73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6" name="Picture 56"/>
            <wp:cNvGraphicFramePr>
              <a:graphicFrameLocks noChangeAspect="1"/>
            </wp:cNvGraphicFramePr>
            <a:graphic>
              <a:graphicData uri="http://schemas.openxmlformats.org/drawingml/2006/picture">
                <pic:pic>
                  <pic:nvPicPr>
                    <pic:cNvPr id="0" name="qr_kb_test.png"/>
                    <pic:cNvPicPr/>
                  </pic:nvPicPr>
                  <pic:blipFill>
                    <a:blip r:embed="rId64"/>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7" name="Picture 57"/>
            <wp:cNvGraphicFramePr>
              <a:graphicFrameLocks noChangeAspect="1"/>
            </wp:cNvGraphicFramePr>
            <a:graphic>
              <a:graphicData uri="http://schemas.openxmlformats.org/drawingml/2006/picture">
                <pic:pic>
                  <pic:nvPicPr>
                    <pic:cNvPr id="0" name="qr_por_sexo.png"/>
                    <pic:cNvPicPr/>
                  </pic:nvPicPr>
                  <pic:blipFill>
                    <a:blip r:embed="rId65"/>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8" name="Picture 58"/>
            <wp:cNvGraphicFramePr>
              <a:graphicFrameLocks noChangeAspect="1"/>
            </wp:cNvGraphicFramePr>
            <a:graphic>
              <a:graphicData uri="http://schemas.openxmlformats.org/drawingml/2006/picture">
                <pic:pic>
                  <pic:nvPicPr>
                    <pic:cNvPr id="0" name="qr_glassceil_completo.png"/>
                    <pic:cNvPicPr/>
                  </pic:nvPicPr>
                  <pic:blipFill>
                    <a:blip r:embed="rId66"/>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OR=0,540 (top20%) para OR=0,457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(ICC=9,80%),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(OR=0,676): E = 2,319 (IC: 2,304); M2 (OR=0,693): E = 2,243 (IC: 2,229). Um confounder precisaria ter associação ≥ 2,24×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9" name="Picture 59"/>
            <wp:cNvGraphicFramePr>
              <a:graphicFrameLocks noChangeAspect="1"/>
            </wp:cNvGraphicFramePr>
            <a:graphic>
              <a:graphicData uri="http://schemas.openxmlformats.org/drawingml/2006/picture">
                <pic:pic>
                  <pic:nvPicPr>
                    <pic:cNvPr id="0" name="sensibilidade_konfound_evalues.png"/>
                    <pic:cNvPicPr/>
                  </pic:nvPicPr>
                  <pic:blipFill>
                    <a:blip r:embed="rId67"/>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60" name="Picture 60"/>
            <wp:cNvGraphicFramePr>
              <a:graphicFrameLocks noChangeAspect="1"/>
            </wp:cNvGraphicFramePr>
            <a:graphic>
              <a:graphicData uri="http://schemas.openxmlformats.org/drawingml/2006/picture">
                <pic:pic>
                  <pic:nvPicPr>
                    <pic:cNvPr id="0" name="interseccional_ob4grupos.png"/>
                    <pic:cNvPicPr/>
                  </pic:nvPicPr>
                  <pic:blipFill>
                    <a:blip r:embed="rId68"/>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61" name="Picture 61"/>
            <wp:cNvGraphicFramePr>
              <a:graphicFrameLocks noChangeAspect="1"/>
            </wp:cNvGraphicFramePr>
            <a:graphic>
              <a:graphicData uri="http://schemas.openxmlformats.org/drawingml/2006/picture">
                <pic:pic>
                  <pic:nvPicPr>
                    <pic:cNvPr id="0" name="rif_ob_retornos_quantis.png"/>
                    <pic:cNvPicPr/>
                  </pic:nvPicPr>
                  <pic:blipFill>
                    <a:blip r:embed="rId69"/>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Os resultados convergem com o retrato macroestrutural mais recente do IBGE. A melhora multidimensional captada pela POF não eliminou o gap racial de qualidade de vida (0,183 para chefes pretos/pardos vs. 0,122 para brancos), e a renda voltou a concentrar-se no topo em 2025 (Gini do rendimento domiciliar per capita de 0,491). Cabe uma ressalva metodológica: o Gini estimado neste trabalho refere-se ao rendimento do trabalho entre ocupados (em torno de 0,48), conceito distinto do Gini domiciliar per capita de todas as fontes do IBGE — níveis próximos, mas medidas diferentes, que podem divergir em tendência (a alta de 2025 é puxada por renda não-trabalho do topo, que não transita pelo rendimento dos ocupados). O contraste territorial reforça a tese: o Distrito Federal, de maior renda per capita do país, é também a UF de maior penalidade racial salarial em nossos modelos regionais — riqueza média elevada e desigualdade racial aguda coexistem no mesmo território.</w:t>
      </w:r>
    </w:p>
    <w:p>
      <w:pPr>
        <w:spacing w:after="120" w:lineRule="auto" w:line="360"/>
        <w:ind w:firstLine="709"/>
        <w:jc w:val="both"/>
      </w:pPr>
      <w:r>
        <w:rPr>
          <w:rFonts w:ascii="Times New Roman" w:hAnsi="Times New Roman"/>
          <w:b w:val="0"/>
          <w:i w:val="0"/>
          <w:sz w:val="24"/>
        </w:rPr>
        <w:t>Triangulação com o Índice de Progresso Social (IPS). O IPS municipal (Imazon e parceiros, 2026), que avalia a qualidade de vida dos 5.570 municípios a partir de 57 indicadores sociais e ambientais, oferece corroboração externa e multidimensional do eixo territorial. Uma integração fina com o proxy de bairro (UPA) é inviável: a PNAD pública não divulga o município (só UF e capital/RM/interior) e o IPS é municipal — mais agregado que a UPA (sub-municipal). O IPS não valida o achado de bairro (está acima dele na escala), mas ecoa o gradiente macro: as regiões de menor progresso social (Norte e Nordeste) coincidem com as de maior penalidade racial. Usa-se, portanto, como evidência convergente do caráter territorial — não como fonte de dados integrada, e ressalvando que o IPS mede progresso social geral, não desigualdade racial.</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−0,269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19.1% (M1); (ii) mediação contextual pela UPA de 52.5% (M2→M3); (iii) mediação ocupacional de 17.3%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0,001 ponto de log-rendimento por ano (δ = 0,000847, p = 0,077, WLS 2016–2025)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OR=0,676 de acesso a ocupações qualificadas (CBO 1–4) e OR=0,540 ao top 20% de renda em M1 — penalidades persistentes após controle por educação, experiência, sexo e contexto de UPA. O gradiente confirmado — OR(top20)=0,540 vs OR(top10)=0,457 — evidencia que o teto de vidro é progressivamente mais seletivo: a exclusão racial se intensifica exatamente nos limiares mais altos de acesso. O ICC de 21,6% no GLMM de UPA (vs 9,8% no HLM salarial) revela que o acesso a ocupações qualificadas é mais geograficamente determinado do que os salários. A convergência entre o gap residual do M4 (6,2%), o AME GLMM (−4,73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OR=0,676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62" name="Picture 62"/>
            <wp:cNvGraphicFramePr>
              <a:graphicFrameLocks noChangeAspect="1"/>
            </wp:cNvGraphicFramePr>
            <a:graphic>
              <a:graphicData uri="http://schemas.openxmlformats.org/drawingml/2006/picture">
                <pic:pic>
                  <pic:nvPicPr>
                    <pic:cNvPr id="0" name="po_politicas_topsis.png"/>
                    <pic:cNvPicPr/>
                  </pic:nvPicPr>
                  <pic:blipFill>
                    <a:blip r:embed="rId70"/>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(OR=0,676).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OR=0,676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63" name="Picture 63"/>
            <wp:cNvGraphicFramePr>
              <a:graphicFrameLocks noChangeAspect="1"/>
            </wp:cNvGraphicFramePr>
            <a:graphic>
              <a:graphicData uri="http://schemas.openxmlformats.org/drawingml/2006/picture">
                <pic:pic>
                  <pic:nvPicPr>
                    <pic:cNvPr id="0" name="po_politicas_pl2_pareto.png"/>
                    <pic:cNvPicPr/>
                  </pic:nvPicPr>
                  <pic:blipFill>
                    <a:blip r:embed="rId71"/>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(OR=0,693, AME=−4,73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γ̂₀₁=−0,269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(−28,1% vs −34,3%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19.1% (M1) se decompõe em três camadas: mediação contextual de 52.5% pelo bairro de moradia (o coeficiente γ₀₁ = −0,269 para proporção de negros na UPA equivale, em magnitude, à própria penalidade individual de ser negro); mediação ocupacional de 17.3% pelo acesso desigual a grupos CBO de alta remuneração; e gap residual de 6.2% (M4) — discriminação pura pós-ocupação. O GLMM logístico (N=7.694.198) confirma a barreira de acesso: OR=0,676 para CBO 1–4, gradiente progressivo OR(top20)=0,540 → OR(top10)=0,457.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pStyle w:val="Heading2"/>
        <w:spacing w:before="240" w:after="120"/>
      </w:pPr>
      <w:r>
        <w:rPr>
          <w:rFonts w:ascii="Arial" w:hAnsi="Arial"/>
          <w:b/>
          <w:color w:val="000000"/>
          <w:sz w:val="26"/>
        </w:rPr>
        <w:t>Limitações e escopo de validade</w:t>
      </w:r>
    </w:p>
    <w:p>
      <w:pPr>
        <w:spacing w:after="120" w:lineRule="auto" w:line="360"/>
        <w:ind w:firstLine="709"/>
        <w:jc w:val="both"/>
      </w:pPr>
      <w:r>
        <w:rPr>
          <w:rFonts w:ascii="Times New Roman" w:hAnsi="Times New Roman"/>
          <w:b/>
          <w:sz w:val="24"/>
        </w:rPr>
        <w:t xml:space="preserve">Natureza inferencial vs. preditiva dos modelos. </w:t>
      </w:r>
      <w:r>
        <w:rPr>
          <w:rFonts w:ascii="Times New Roman" w:hAnsi="Times New Roman"/>
          <w:sz w:val="24"/>
        </w:rPr>
        <w:t>Os modelos HLM, Oaxaca-Blinder, regressão quantílica e correção de Heckman produzem estimativas de associação condicional — o diferencial racial que persiste sob controle de observáveis —, e não prova causal contrafactual, pois não derivam de desenho experimental ou quase-experimental. O XGBoost e os valores SHAP têm finalidade preditiva e interpretativa: medem a contribuição de cada variável para a previsão do rendimento, não o efeito causal de manipulá-la. A convergência entre os dois regimes confere robustez ao diagnóstico, mas a linguagem causal foi deliberadamente evitada.</w:t>
      </w:r>
    </w:p>
    <w:p>
      <w:pPr>
        <w:spacing w:after="120" w:lineRule="auto" w:line="360"/>
        <w:ind w:firstLine="709"/>
        <w:jc w:val="both"/>
      </w:pPr>
      <w:r>
        <w:rPr>
          <w:rFonts w:ascii="Times New Roman" w:hAnsi="Times New Roman"/>
          <w:b/>
          <w:sz w:val="24"/>
        </w:rPr>
        <w:t xml:space="preserve">Cobertura da variável de escolaridade. </w:t>
      </w:r>
      <w:r>
        <w:rPr>
          <w:rFonts w:ascii="Times New Roman" w:hAnsi="Times New Roman"/>
          <w:sz w:val="24"/>
        </w:rPr>
        <w:t>A escolaridade detalhada está registrada para cerca de 31% da PEA no painel público; os níveis de instrução entram como dummies de conclusão acompanhadas de um indicador explícito de não-registro (educ_missing), de modo que a categoria de referência não confunda baixa escolaridade com dado ausente. Testes de sensibilidade mostram que o coeficiente racial é estável a essa especificação (variação inferior a 1%); ainda assim, os retornos educacionais devem ser interpretados com a cautela própria de uma variável parcialmente observada.</w:t>
      </w:r>
    </w:p>
    <w:p>
      <w:pPr>
        <w:spacing w:after="120" w:lineRule="auto" w:line="360"/>
        <w:ind w:firstLine="709"/>
        <w:jc w:val="both"/>
      </w:pPr>
      <w:r>
        <w:rPr>
          <w:rFonts w:ascii="Times New Roman" w:hAnsi="Times New Roman"/>
          <w:b/>
          <w:sz w:val="24"/>
        </w:rPr>
        <w:t xml:space="preserve">Granularidade macroestrutural da SNA. </w:t>
      </w:r>
      <w:r>
        <w:rPr>
          <w:rFonts w:ascii="Times New Roman" w:hAnsi="Times New Roman"/>
          <w:sz w:val="24"/>
        </w:rPr>
        <w:t>A PNAD Contínua não coleta vínculos sociais interpessoais; a rede é de grupos demográficos (raça × escolaridade × gênero) conectados por co-residência na UPA, não de indivíduos. Betweenness e constraint devem ser lidos como posição estrutural de grupos no espaço da segregação residencial — o andaime macroestrutural da formação de redes —, e não como intermediação interpessoal medida. Uma SNA de laços individuais exigiria dados relacionais (RAIS firma-trabalhador ou surveys egocêntricos) fora do escopo da PNAD.</w:t>
      </w:r>
    </w:p>
    <w:p>
      <w:pPr>
        <w:spacing w:after="120" w:lineRule="auto" w:line="360"/>
        <w:ind w:firstLine="709"/>
        <w:jc w:val="both"/>
      </w:pPr>
      <w:r>
        <w:rPr>
          <w:rFonts w:ascii="Times New Roman" w:hAnsi="Times New Roman"/>
          <w:b/>
          <w:sz w:val="24"/>
        </w:rPr>
        <w:t xml:space="preserve">Caráter normativo da Pesquisa Operacional. </w:t>
      </w:r>
      <w:r>
        <w:rPr>
          <w:rFonts w:ascii="Times New Roman" w:hAnsi="Times New Roman"/>
          <w:sz w:val="24"/>
        </w:rPr>
        <w:t>TOPSIS e programação linear são ferramentas prescritivas, dependentes de pesos de critério e premissas de efetividade marginal das políticas, calibradas com evidência internacional e com os próprios coeficientes estimados; indicam priorização condicional a essas premissas e requerem validação empírica no contexto brasileiro — não são previsões pontuais de impacto.</w:t>
      </w:r>
    </w:p>
    <w:p>
      <w:pPr>
        <w:spacing w:after="120" w:lineRule="auto" w:line="360"/>
        <w:ind w:firstLine="709"/>
        <w:jc w:val="both"/>
      </w:pPr>
      <w:r>
        <w:rPr>
          <w:rFonts w:ascii="Times New Roman" w:hAnsi="Times New Roman"/>
          <w:b/>
          <w:sz w:val="24"/>
        </w:rPr>
        <w:t xml:space="preserve">Desenho transversal e direções futuras. </w:t>
      </w:r>
      <w:r>
        <w:rPr>
          <w:rFonts w:ascii="Times New Roman" w:hAnsi="Times New Roman"/>
          <w:sz w:val="24"/>
        </w:rPr>
        <w:t>O caráter transversal do painel público impede a análise de trajetórias individuais; o painel rotativo completo com microdado identificado e a extensão à RAIS permitiriam investigar mobilidade e o teto de vidro em cargos de liderança com identificação de firma. A SNA poderia ser refinada para grafos bipartidos UPA × grupo, elevando a resolução espacial da medida de segregação.</w:t>
      </w:r>
    </w:p>
    <w:p>
      <w:pPr>
        <w:pStyle w:val="Heading2"/>
        <w:spacing w:before="240" w:after="120"/>
      </w:pPr>
      <w:r>
        <w:rPr>
          <w:rFonts w:ascii="Arial" w:hAnsi="Arial"/>
          <w:b/>
          <w:color w:val="000000"/>
          <w:sz w:val="26"/>
        </w:rPr>
        <w:t>Declaração de uso de inteligência artificial</w:t>
      </w:r>
    </w:p>
    <w:p>
      <w:pPr>
        <w:spacing w:after="120" w:lineRule="auto" w:line="360"/>
        <w:ind w:firstLine="709"/>
        <w:jc w:val="both"/>
      </w:pPr>
      <w:r>
        <w:rPr>
          <w:rFonts w:ascii="Times New Roman" w:hAnsi="Times New Roman"/>
          <w:b w:val="0"/>
          <w:i w:val="0"/>
          <w:sz w:val="24"/>
        </w:rPr>
        <w:t>Na elaboração deste trabalho foram utilizadas ferramentas de inteligência artificial (Claude Code, da Anthropic) como apoio à implementação e depuração de código (Python e R), à geração de figuras e tabelas e à formatação dos documentos. A concepção da pesquisa, a escolha das metodologias, a interpretação dos resultados e a redação final são de responsabilidade do autor, que revisou, validou e responde por todo o conteúdo.</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IBGE – INSTITUTO BRASILEIRO DE GEOGRAFIA E ESTATÍSTICA. Pesquisa de Orçamentos Familiares 2017–2018: análise da qualidade de vida (Índice de Perda de Qualidade de Vida). Rio de Janeiro: IBGE, 2019.</w:t>
      </w:r>
    </w:p>
    <w:p>
      <w:pPr>
        <w:spacing w:after="120" w:lineRule="auto" w:line="360"/>
        <w:ind w:firstLine="0" w:left="0"/>
        <w:jc w:val="both"/>
      </w:pPr>
      <w:r>
        <w:rPr>
          <w:rFonts w:ascii="Times New Roman" w:hAnsi="Times New Roman"/>
          <w:sz w:val="24"/>
        </w:rPr>
        <w:t>IBGE – INSTITUTO BRASILEIRO DE GEOGRAFIA E ESTATÍSTICA. PNAD Contínua: Rendimento de Todas as Fontes 2025. Rio de Janeiro: IBGE, 2025.</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64" name="Picture 64"/>
            <wp:cNvGraphicFramePr>
              <a:graphicFrameLocks noChangeAspect="1"/>
            </wp:cNvGraphicFramePr>
            <a:graphic>
              <a:graphicData uri="http://schemas.openxmlformats.org/drawingml/2006/picture">
                <pic:pic>
                  <pic:nvPicPr>
                    <pic:cNvPr id="0" name="estado_h1_gini.png"/>
                    <pic:cNvPicPr/>
                  </pic:nvPicPr>
                  <pic:blipFill>
                    <a:blip r:embed="rId72"/>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−34,3% no privado e −28,1% no público — uma diferença de 6,2 pontos percentuais favorável ao setor público. A interação negro:setor_publico é positiva e estatisticamente significativa, indicando que o Estado atenua (mas não elimina) o gap racial. O gap de 28,1%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65" name="Picture 65"/>
            <wp:cNvGraphicFramePr>
              <a:graphicFrameLocks noChangeAspect="1"/>
            </wp:cNvGraphicFramePr>
            <a:graphic>
              <a:graphicData uri="http://schemas.openxmlformats.org/drawingml/2006/picture">
                <pic:pic>
                  <pic:nvPicPr>
                    <pic:cNvPr id="0" name="estado_h2h3_gaps.png"/>
                    <pic:cNvPicPr/>
                  </pic:nvPicPr>
                  <pic:blipFill>
                    <a:blip r:embed="rId73"/>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6 pontos percentuais (ver H2). Para gênero, o resultado é contrário ao esperado: o gap de gênero controlado é de −18,9% no setor privado e −21,2% no setor público — 2,3 pontos percentuais maior no setor público. Em termos brutos, o gap de gênero também é maior no público (−24,0%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6" name="Picture 66"/>
            <wp:cNvGraphicFramePr>
              <a:graphicFrameLocks noChangeAspect="1"/>
            </wp:cNvGraphicFramePr>
            <a:graphic>
              <a:graphicData uri="http://schemas.openxmlformats.org/drawingml/2006/picture">
                <pic:pic>
                  <pic:nvPicPr>
                    <pic:cNvPr id="0" name="estado_h4_tendencia.png"/>
                    <pic:cNvPicPr/>
                  </pic:nvPicPr>
                  <pic:blipFill>
                    <a:blip r:embed="rId74"/>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7" name="Picture 67"/>
            <wp:cNvGraphicFramePr>
              <a:graphicFrameLocks noChangeAspect="1"/>
            </wp:cNvGraphicFramePr>
            <a:graphic>
              <a:graphicData uri="http://schemas.openxmlformats.org/drawingml/2006/picture">
                <pic:pic>
                  <pic:nvPicPr>
                    <pic:cNvPr id="0" name="estado_h4_inclusao.png"/>
                    <pic:cNvPicPr/>
                  </pic:nvPicPr>
                  <pic:blipFill>
                    <a:blip r:embed="rId75"/>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8" name="Picture 68"/>
            <wp:cNvGraphicFramePr>
              <a:graphicFrameLocks noChangeAspect="1"/>
            </wp:cNvGraphicFramePr>
            <a:graphic>
              <a:graphicData uri="http://schemas.openxmlformats.org/drawingml/2006/picture">
                <pic:pic>
                  <pic:nvPicPr>
                    <pic:cNvPr id="0" name="estado_h5_armadilha.png"/>
                    <pic:cNvPicPr/>
                  </pic:nvPicPr>
                  <pic:blipFill>
                    <a:blip r:embed="rId76"/>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9" name="Picture 69"/>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70" name="Picture 70"/>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