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 1.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359"/>
        <w:gridCol w:w="1132"/>
        <w:gridCol w:w="1359"/>
        <w:gridCol w:w="1132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d</m:t>
              </m:r>
            </m:oMath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 4),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90" w:name="resultados-e-discus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Resultados e Discussão</w:t>
      </w:r>
    </w:p>
    <w:bookmarkStart w:id="39" w:name="subsec:hl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Esta seção documenta como o território amplifica o gap racial: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de moradia não é apenas contexto — é parte do mecanismo de exclusão.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2 apresenta os cinco degraus da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step-up</w:t>
      </w:r>
      <w:r>
        <w:rPr>
          <w:rFonts w:ascii="Arial" w:hAnsi="Arial"/>
          <w:sz w:val="22"/>
        </w:rPr>
        <w:t xml:space="preserve">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Nota: 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coluna acrescenta um bloco de controles e o coeficiente se aproxima de zero;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linhas de baixo dizem quanto da variância entre bairros cada bloco explica e se o degrau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melhora o ajuste (LR).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Quanto da renda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: o modelo nulo.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M0 estima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 variância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log-rendimento está entre bairros</w:t>
      </w:r>
      <w:r>
        <w:rPr>
          <w:rFonts w:ascii="Arial" w:hAnsi="Arial"/>
          <w:sz w:val="22"/>
        </w:rPr>
        <w:t xml:space="preserve">, muito acima do limiar de 5%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da parcela entre estados (cerca de 10%, no modelo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alternativo com UF aleatória usado como robustez). A estrutura aninhada não é um detalhe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técnico: ignorá-la trataria como independentes pessoas que compartilham o mesmo mercado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agregado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dentro do bairro (M1).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UF; ver a seção Inferência),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 19,1% a menos 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</w:t>
      </w:r>
      <w:r>
        <w:rPr>
          <w:rStyle w:val="FootnoteReference"/>
          <w:rFonts w:ascii="Arial" w:hAnsi="Arial"/>
          <w:sz w:val="22"/>
        </w:rPr>
        <w:footnoteReference w:id="33"/>
      </w:r>
      <w:r>
        <w:rPr>
          <w:rFonts w:ascii="Arial" w:hAnsi="Arial"/>
          <w:sz w:val="22"/>
        </w:rPr>
        <w:t xml:space="preserve">. O M1 acrescenta o intercepto aleatório de UPA e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[−0,1135; −0,1113]),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 a menos</w:t>
      </w:r>
      <w:r>
        <w:rPr>
          <w:rFonts w:ascii="Arial" w:hAnsi="Arial"/>
          <w:sz w:val="22"/>
        </w:rPr>
        <w:t xml:space="preserve">. A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 dois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do gap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é a parcela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que transita pela segregação residencial: negros e brancos com o mesmo capital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humano não moram nos mesmos bairros, e os bairros pagam diferente.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H2. Os controles individuais explicam, além disso, 55,2%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variância entre bairros do M0: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faz de um bairro um bairro (M2).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três covariáveis de nível 2 explicam 40,1% da variância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0,1509 para 0,0903;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19.536, 3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). O coeficiente de composição racial,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 0,0017), indica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negros da UPA reduz o log-rendimento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0,22 pontos — da mesma ordem da penalidade individual — a evidência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. O coeficiente individual mal se move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depende de quem são os vizinhos; o bairro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(onde se consegue morar), não pelo salário de quem já está lá.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líquido (M3).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[−0,1087; −0,1066]):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 de 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observáveis. O ICC cai para 0,144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 explicam 78,9% da variância entre bairros do M0.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(M4).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Acrescentar vínculo e grupo CBO leva 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(7,0%). A queda adicional — 16,6% do gap agregado —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“explicação”</w:t>
      </w:r>
      <w:r>
        <w:rPr>
          <w:rFonts w:ascii="Arial" w:hAnsi="Arial"/>
          <w:sz w:val="22"/>
        </w:rPr>
        <w:t xml:space="preserve">,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canal</w:t>
      </w:r>
      <w:r>
        <w:rPr>
          <w:rFonts w:ascii="Arial" w:hAnsi="Arial"/>
          <w:sz w:val="22"/>
        </w:rPr>
        <w:t xml:space="preserve">: a ocupação é ela própria resultado da 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GLMM logístico), por isso o M4 é um limite inferior descritivo.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varia entre bairros.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inclinação aleatória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 é significativa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, desvio-padrão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log-pontos. Em bairros a um desvio-padrão da média a penalidade vai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−0,280 a 0,063 log-pontos — a discriminação salarial tem geografia,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covariância intercepto–inclinação de −0,0245 indica que a penalidade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nos bairros de renda-base mais alta. A Figura 1 contrasta os efeitos fixos de estado com os interceptos estimados para os bairros.</w:t>
      </w:r>
    </w:p>
    <w:bookmarkStart w:id="37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3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1: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Viés de variável omitida e sensibilidade.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 10)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38" w:name="tab:hlm_resultado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67"/>
        <w:gridCol w:w="494"/>
        <w:gridCol w:w="1550"/>
        <w:gridCol w:w="1653"/>
        <w:gridCol w:w="1653"/>
        <w:gridCol w:w="1653"/>
      </w:tblGrid>
      <w:tr>
        <w:trPr>
          <w:tblHeader w:val="on"/>
        </w:trPr>
        <w:tc>
          <w:tcPr>
            <w:tcW w:type="dxa" w:w="206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>
            <w:tcW w:type="dxa" w:w="49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>
            <w:tcW w:type="dxa" w:w="155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>
            <w:tcW w:type="dxa" w:w="206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>
            <w:tcW w:type="dxa" w:w="49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39"/>
    <w:bookmarkStart w:id="52" w:name="subsec:ml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3 apresenta o desempenho preditivo dos dois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 (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20%).</w:t>
      </w:r>
    </w:p>
    <w:bookmarkStart w:id="40" w:name="tab:ml_perf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61"/>
        <w:gridCol w:w="919"/>
        <w:gridCol w:w="919"/>
        <w:gridCol w:w="919"/>
        <w:gridCol w:w="2452"/>
      </w:tblGrid>
      <w:tr>
        <w:trPr>
          <w:tblHeader w:val="on"/>
        </w:trPr>
        <w:tc>
          <w:tcPr>
            <w:tcW w:type="dxa" w:w="386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>
            <w:tcW w:type="dxa" w:w="245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>
            <w:tcW w:type="dxa" w:w="386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>
            <w:tcW w:type="dxa" w:w="245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4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3: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 4). A configuração escolhida (profundidade 10) alcança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, contra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0,6143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±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0,0007 da profundidade 6 usada na versão anterior deste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trabalho, sem aumentar o sobreajuste. O 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quarta casa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decimal mostra que, com 6.155.355 observações de treino, o desempenho não depende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 parte dos dados é usada para validar — a validação cruzada aqui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1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75"/>
        <w:gridCol w:w="2651"/>
        <w:gridCol w:w="1535"/>
        <w:gridCol w:w="837"/>
        <w:gridCol w:w="837"/>
        <w:gridCol w:w="1535"/>
      </w:tblGrid>
      <w:tr>
        <w:trPr>
          <w:tblHeader w:val="on"/>
        </w:trPr>
        <w:tc>
          <w:tcPr>
            <w:tcW w:type="dxa" w:w="1535"/>
            <w:gridSpan w:val="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>
            <w:tcW w:type="dxa" w:w="16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26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1"/>
    <w:bookmarkStart w:id="42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rPr>
          <w:tblHeader w:val="on"/>
        </w:trPr>
        <w:tc>
          <w:tcPr>
            <w:tcW w:type="dxa" w:w="2268"/>
            <w:gridSpan w:val="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2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Ausência de sobreajuste (população completa).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treino 80%/teste 20%),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método não-paramétrico não apresenta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overfitting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 praticamente coincidem (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XGBoost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Random Forest). Três evidências convergem: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Arial" w:hAnsi="Arial"/>
          <w:sz w:val="22"/>
        </w:rPr>
        <w:t xml:space="preserve">; a razão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complexidade (modelos regularizados sobre 7,7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observações); e a estabilidade do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entre a subamostra de 20%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(praticamente idêntico,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Arial" w:hAnsi="Arial"/>
          <w:sz w:val="22"/>
        </w:rPr>
        <w:t xml:space="preserve">). Em suma,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ampliar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base, de amostral para populacional,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não aumenta — o risco de sobreajuste. A Tabela 5 traz o ranking completo das variáveis nos dois modelos.</w:t>
      </w:r>
    </w:p>
    <w:bookmarkStart w:id="43" w:name="tab:shap_importanc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585"/>
        <w:gridCol w:w="906"/>
        <w:gridCol w:w="1585"/>
        <w:gridCol w:w="906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4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5: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</w:t>
      </w:r>
    </w:p>
    <w:bookmarkStart w:id="47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outputs/figures/shap_beeswarm_xgb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4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2: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5 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(17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 contra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29), 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 3 ilustra como a previsão de um caso individual é composta.</w:t>
      </w:r>
    </w:p>
    <w:bookmarkStart w:id="51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1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3: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2"/>
    <w:bookmarkStart w:id="58" w:name="X03c9c993697b2951d32c364cc1a724101cab21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6 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53" w:name="tab:mediaca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19"/>
        <w:gridCol w:w="1510"/>
        <w:gridCol w:w="1079"/>
        <w:gridCol w:w="863"/>
      </w:tblGrid>
      <w:tr>
        <w:trPr>
          <w:tblHeader w:val="on"/>
        </w:trPr>
        <w:tc>
          <w:tcPr>
            <w:tcW w:type="dxa" w:w="56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>
            <w:tcW w:type="dxa" w:w="15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107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>
            <w:tcW w:type="dxa" w:w="86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>
            <w:tcW w:type="dxa" w:w="15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>
            <w:tcW w:type="dxa" w:w="107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>
            <w:tcW w:type="dxa" w:w="86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5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4 resume a sequência de degraus em barras.</w:t>
      </w:r>
    </w:p>
    <w:bookmarkStart w:id="57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puts/figures/fig_hlm_ga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5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4: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8"/>
    <w:bookmarkStart w:id="64" w:name="X0e69078f56ff2fc58d4b5157c72cc4a5dec12bc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Oaxaca–Blinder: composição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vs.</w:t>
      </w:r>
      <w:r>
        <w:rPr>
          <w:rFonts w:ascii="Arial" w:hAnsi="Arial"/>
          <w:b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 7 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59" w:name="tab:oaxaca_blinder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 10).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 10). População completa da PEA com renda positiva (N = 7.694.198; 40.969 UPAs). Erros-padrão entre parênteses: bootstrap em blocos por UPA (500 réplica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74"/>
        <w:gridCol w:w="1190"/>
        <w:gridCol w:w="1190"/>
        <w:gridCol w:w="1859"/>
        <w:gridCol w:w="1859"/>
      </w:tblGrid>
      <w:tr>
        <w:trPr>
          <w:tblHeader w:val="on"/>
        </w:trPr>
        <w:tc>
          <w:tcPr>
            <w:tcW w:type="dxa" w:w="297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90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tcW w:type="dxa" w:w="1859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>
            <w:tcW w:type="dxa" w:w="297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5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5 apresenta as duas especificações em forma de cascata.</w:t>
      </w:r>
    </w:p>
    <w:bookmarkStart w:id="63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puts/figures/fig_ob_cascat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6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5: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4"/>
    <w:bookmarkStart w:id="71" w:name="subsec:qr_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RIF-OB: teto de vidro e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 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9 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 9,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65" w:name="tab:qr_melhoria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23"/>
        <w:gridCol w:w="1737"/>
        <w:gridCol w:w="1158"/>
        <w:gridCol w:w="772"/>
        <w:gridCol w:w="1158"/>
        <w:gridCol w:w="772"/>
        <w:gridCol w:w="1351"/>
      </w:tblGrid>
      <w:tr>
        <w:trPr>
          <w:tblHeader w:val="on"/>
        </w:trPr>
        <w:tc>
          <w:tcPr>
            <w:tcW w:type="dxa" w:w="212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tcW w:type="dxa" w:w="1351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>
            <w:tcW w:type="dxa" w:w="17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>
            <w:tcW w:type="dxa" w:w="13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</w:tbl>
    <w:bookmarkEnd w:id="6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66" w:name="tab:rif_ob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9"/>
        <w:gridCol w:w="2564"/>
        <w:gridCol w:w="1972"/>
        <w:gridCol w:w="1972"/>
        <w:gridCol w:w="1775"/>
      </w:tblGrid>
      <w:tr>
        <w:trPr>
          <w:tblHeader w:val="on"/>
        </w:trPr>
        <w:tc>
          <w:tcPr>
            <w:tcW w:type="dxa" w:w="7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256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177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>
            <w:tcW w:type="dxa" w:w="256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>
            <w:tcW w:type="dxa" w:w="17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6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6 põe os dois ângulos lado a lado.</w:t>
      </w:r>
    </w:p>
    <w:bookmarkStart w:id="70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fig_qr_rif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7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6: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1"/>
    <w:bookmarkStart w:id="78" w:name="subsec:glm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modelo logístico multinível (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, intercepto aleatório de UPA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UF, estimado por Laplace na população completa) modela a probabilidade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três desfechos — cargo qualificado (CBO 1–4), renda no top 20% e no top 10%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HLM: M1 individual, M2 + contexto do bairro, M3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(formalidade, setor público, conta própria, doméstico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logo limite inferior) e M4 +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10 traz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odds ratios</w:t>
      </w:r>
      <w:r>
        <w:rPr>
          <w:rFonts w:ascii="Arial" w:hAnsi="Arial"/>
          <w:sz w:val="22"/>
        </w:rPr>
        <w:t xml:space="preserve">, efeitos marginais, ICC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E-values; a Tabela 11, o ajuste e o desempenho de classificação.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M1, a correlação intraclasse latente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0,198 para o cargo qualificado e 0,350 para o top 10%: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e 35% da variância latente do acesso está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bairros. O teste de razão de verossimilhança do M2 contra o logit sem efeito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411.007 para o cargo; 337.418 para o top 10%, 1 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que o efeito aleatório de UPA é indispensável — o logit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pooled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independentes pessoas do mesmo mercado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mais ainda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M2,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controlados escolaridade, sexo, idade, horas, estado e contexto do bairro, a chance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 (IC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0,696–0,702) da de um branco do mesmo bairro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 menos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chance</w:t>
      </w:r>
      <w:r>
        <w:rPr>
          <w:rFonts w:ascii="Arial" w:hAnsi="Arial"/>
          <w:sz w:val="22"/>
        </w:rPr>
        <w:t xml:space="preserve">, ou 5,5 pontos percentuais de probabilidade. No top 20% da renda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 é 0,688 e no top 10%, 0,654 (35% menos chance):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se aperta à medida que se sobe. Nota: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desvantagem; o AME traduz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OR em probabilidade e é a medida a reter (MHE, cap. 3).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Descontar o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empregatício (M3) muda pouco o OR do cargo qualificado (0,691) e do top 10%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(0,656): a barreira não é um artefato da informalidade. No M4, a interação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credencial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1,069 para o superior completo e 1,060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pós-graduação: o diploma atenua a penalidade sem eliminá-la, e o OR combinado do negro com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é 0,735 — a credencial não neutraliza a barreira de acesso. A Figura 7 reúne as razões 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Ajuste e classificação.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discrimina bem os desfechos: AUC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0,831 (com efeitos aleatórios) e 0,790 (só efeitos fixos) para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qualificado;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(0,30) a sensibilidade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0,82 e a especificidade 0,68. O teste de Hosmer–Lemeshow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rejeita a calibração perfeita em todos os degraus — inevitável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(MHE, cap. 8) —, mas a estatística cai a cerca de metade quando se acrescenta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(M3), sinal de calibração melhor; entre M1 e M2 ela praticamente não muda. O logit com efeitos fixos de UF e erro-padrão agrupado por UPA (última coluna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Tabela 10) reproduz os OR do GLMM: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</w:t>
      </w:r>
    </w:p>
    <w:bookmarkStart w:id="75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outputs/figures/fig_glmm_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7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7: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6" w:name="tab:glmm_glasscei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81"/>
        <w:gridCol w:w="2731"/>
        <w:gridCol w:w="2101"/>
        <w:gridCol w:w="525"/>
        <w:gridCol w:w="525"/>
        <w:gridCol w:w="491"/>
        <w:gridCol w:w="491"/>
        <w:gridCol w:w="525"/>
      </w:tblGrid>
      <w:tr>
        <w:trPr>
          <w:tblHeader w:val="on"/>
        </w:trPr>
        <w:tc>
          <w:tcPr>
            <w:tcW w:type="dxa" w:w="168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73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210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76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7" w:name="tab:glmm_ajust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98"/>
        <w:gridCol w:w="2434"/>
        <w:gridCol w:w="842"/>
        <w:gridCol w:w="842"/>
        <w:gridCol w:w="655"/>
        <w:gridCol w:w="489"/>
        <w:gridCol w:w="489"/>
        <w:gridCol w:w="489"/>
        <w:gridCol w:w="842"/>
        <w:gridCol w:w="489"/>
      </w:tblGrid>
      <w:tr>
        <w:trPr>
          <w:tblHeader w:val="on"/>
        </w:trPr>
        <w:tc>
          <w:tcPr>
            <w:tcW w:type="dxa" w:w="1498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43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65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>
            <w:tcW w:type="dxa" w:w="149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>
            <w:tcW w:type="dxa" w:w="65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7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12 decompõe o diferencial de cada grupo contra o homem branco.</w:t>
      </w:r>
    </w:p>
    <w:bookmarkEnd w:id="78"/>
    <w:bookmarkStart w:id="85" w:name="X1df7cc4eb0c7cc9fb7ddad12c1316189c49cc50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Interseccionalidade: raça e gênero no acesso e no topo</w:t>
      </w:r>
    </w:p>
    <w:bookmarkStart w:id="79" w:name="tab:intersecciona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396"/>
        <w:gridCol w:w="1396"/>
        <w:gridCol w:w="2210"/>
        <w:gridCol w:w="1047"/>
      </w:tblGrid>
      <w:tr>
        <w:trPr>
          <w:tblHeader w:val="on"/>
        </w:trPr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22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>
            <w:tcW w:type="dxa" w:w="104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>
            <w:tcW w:type="dxa" w:w="22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>
            <w:tcW w:type="dxa" w:w="104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7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80" w:name="subsec:interseccional"/>
      <w:bookmarkEnd w:id="80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modelos anteriores tratam raça e gênero de forma aditiva. Uma leitura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se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partes. Reespecificamos o GLMM de acesso com um fator de quatro grupos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Style w:val="VerbatimChar"/>
          <w:rFonts w:ascii="Arial" w:hAnsi="Arial"/>
          <w:sz w:val="22"/>
        </w:rPr>
        <w:t xml:space="preserve">grupo_rg</w:t>
      </w:r>
      <w:r>
        <w:rPr>
          <w:rFonts w:ascii="Arial" w:hAnsi="Arial"/>
          <w:sz w:val="22"/>
        </w:rPr>
        <w:t xml:space="preserve">: homem branco [referência], mulher branca, homem negro,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negra) e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, em três desfechos: acesso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qualificada (CBO 1–4), renda no top 20% e no top 10%. A Tabela 12 traz a decomposição de Oaxaca–Blinder dos quatro grupos contra o homem branco, e a Figura 8, as razões de chance nos três desfechos.</w:t>
      </w:r>
    </w:p>
    <w:bookmarkStart w:id="84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8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8: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resultado revela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inversão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(Figura 8).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à categoria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homem branco —, porque o efeito de gênero é positivo nesse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desfecho (profissões credenciadas feminizadas, em CBO 1–4); o grupo mais penalizado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topo da renda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porém,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inverte</w:t>
      </w:r>
      <w:r>
        <w:rPr>
          <w:rFonts w:ascii="Arial" w:hAnsi="Arial"/>
          <w:sz w:val="22"/>
        </w:rPr>
        <w:t xml:space="preserve">: a mulher negra passa a ser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superior, abaixo da mulher branca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sub-aditiva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acesso;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 10%):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racial é ligeiramente menor entre mulheres, mas isso não impede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negra acumule a barreira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teto de vidro de gênero exatamente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mais importa para a ascensão — o topo da distribuição.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85"/>
    <w:bookmarkStart w:id="87" w:name="subsec:v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verificar se a inclusão simultânea dos 9 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e das variáveis de vínculo empregatício (</w:t>
      </w:r>
      <w:r>
        <w:rPr>
          <w:rStyle w:val="VerbatimChar"/>
          <w:rFonts w:ascii="Arial" w:hAnsi="Arial"/>
          <w:sz w:val="22"/>
        </w:rPr>
        <w:t xml:space="preserve">emprego_formal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conta_propria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trab_domestico</w:t>
      </w:r>
      <w:r>
        <w:rPr>
          <w:rFonts w:ascii="Arial" w:hAnsi="Arial"/>
          <w:sz w:val="22"/>
        </w:rPr>
        <w:t xml:space="preserve">) introduz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problemática no Modelo M4, calculou-se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subsample de 200.000 observações da PEA com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</w:t>
      </w:r>
      <w:r>
        <w:rPr>
          <w:rFonts w:ascii="Arial" w:hAnsi="Arial"/>
          <w:sz w:val="22"/>
        </w:rPr>
        <w:t xml:space="preserve"> </w:t>
      </w:r>
      <m:oMath>
        <m:r>
          <m:t>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(Educ.: não registrada); 2 variável crítica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); 1 variável alta (</w:t>
      </w:r>
      <m:oMath>
        <m:r>
          <m:t>5</m:t>
        </m:r>
      </m:oMath>
      <w:r>
        <w:rPr>
          <w:rFonts w:ascii="Arial" w:hAnsi="Arial"/>
          <w:sz w:val="22"/>
        </w:rPr>
        <w:t xml:space="preserve">–</w:t>
      </w:r>
      <m:oMath>
        <m:r>
          <m:t>10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 variável moderada (</w:t>
      </w:r>
      <m:oMath>
        <m:r>
          <m:t>2</m:t>
        </m:r>
      </m:oMath>
      <w:r>
        <w:rPr>
          <w:rFonts w:ascii="Arial" w:hAnsi="Arial"/>
          <w:sz w:val="22"/>
        </w:rPr>
        <w:t xml:space="preserve">–</w:t>
      </w:r>
      <m:oMath>
        <m:r>
          <m:t>5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Modelos Hierárquicos Lineares).</w:t>
      </w:r>
    </w:p>
    <w:p>
      <w:pPr>
        <w:pStyle w:val="BodyText"/>
      </w:pPr>
      <w:bookmarkStart w:id="86" w:name="sec:discussao"/>
      <w:bookmarkEnd w:id="86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multidimensional captada pela POF não eliminou o gap racial de qualidade de vida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183 para chefes pretos/pardos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122 para brancos), e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voltou a concentrar-se no topo em 2025 (Gini do rendimento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491) </w:t>
      </w:r>
      <w:r>
        <w:rPr>
          <w:rFonts w:ascii="Arial" w:hAnsi="Arial"/>
          <w:sz w:val="22"/>
        </w:rPr>
        <w:t xml:space="preserve">(IBGE, 2019, 2025)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Cabe uma ressalva metodológica: o Gini estimado neste trabalho refere-se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rendimento do trabalho entre ocupados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(em torno 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48), conceito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distinto do Gini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todas as fontes do IBGE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próximos, mas medidas diferentes que podem divergir em tendência, pois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alta de 2025 é puxada por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-trabalho do topo, que não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rendimento dos ocupados. Nesse mesmo conceito,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Lenta convergência racial.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redução de apenas 2,4%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dez anos — equivalente a 0,001 ponto de log-rendimento por ano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rPr>
          <w:rFonts w:ascii="Arial" w:hAnsi="Arial"/>
          <w:sz w:val="22"/>
        </w:rPr>
        <w:t xml:space="preserve">, WLS 2016–2025)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sugere que, ao ritmo atual, a convergência racial levaria mais de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século para eliminar o diferencial observado em 2016.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constatação não trivializa avanços recentes em políticas de cotas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acesso ao ensino superior, mas evidencia que reformas no campo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educação,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às redes profissionais, são insuficientes.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87"/>
    <w:bookmarkStart w:id="88" w:name="limitações-e-escopo-de-validad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(ver a seção Inferência).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8"/>
    <w:bookmarkStart w:id="89" w:name="X6e5363a2ea64c40705be1be4ad3b57716cacb0d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9"/>
    <w:bookmarkEnd w:id="90"/>
    <w:bookmarkStart w:id="122" w:name="conclu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21" w:name="refs"/>
    <w:bookmarkStart w:id="91" w:name="ref-almeida201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91"/>
    <w:bookmarkStart w:id="92" w:name="ref-angrist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92"/>
    <w:bookmarkStart w:id="93" w:name="ref-arrow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93"/>
    <w:bookmarkStart w:id="94" w:name="ref-becker195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94"/>
    <w:bookmarkStart w:id="95" w:name="ref-bickel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95"/>
    <w:bookmarkStart w:id="96" w:name="ref-blind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96"/>
    <w:bookmarkStart w:id="97" w:name="ref-breiman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97"/>
    <w:bookmarkStart w:id="98" w:name="ref-cameron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98"/>
    <w:bookmarkStart w:id="99" w:name="ref-chen2016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99"/>
    <w:bookmarkStart w:id="100" w:name="ref-duan198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100"/>
    <w:bookmarkStart w:id="101" w:name="ref-firpo201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01"/>
    <w:bookmarkStart w:id="102" w:name="ref-frank201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02"/>
    <w:bookmarkStart w:id="103" w:name="ref-granovett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03"/>
    <w:bookmarkStart w:id="104" w:name="ref-hasenbalg197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04"/>
    <w:bookmarkStart w:id="105" w:name="ref-henriques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05"/>
    <w:bookmarkStart w:id="106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06"/>
    <w:bookmarkStart w:id="107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07"/>
    <w:bookmarkStart w:id="108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08"/>
    <w:bookmarkStart w:id="109" w:name="ref-koenker197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09"/>
    <w:bookmarkStart w:id="110" w:name="ref-lundberg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10"/>
    <w:bookmarkStart w:id="111" w:name="ref-manski199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11"/>
    <w:bookmarkStart w:id="112" w:name="ref-marques2010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12"/>
    <w:bookmarkStart w:id="113" w:name="ref-oaxaca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13"/>
    <w:bookmarkStart w:id="114" w:name="ref-oaxaca_ransom199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14"/>
    <w:bookmarkStart w:id="115" w:name="ref-pager200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15"/>
    <w:bookmarkStart w:id="116" w:name="ref-raudenbush2002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16"/>
    <w:bookmarkStart w:id="117" w:name="ref-sampson199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17"/>
    <w:bookmarkStart w:id="118" w:name="ref-soares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18"/>
    <w:bookmarkStart w:id="119" w:name="ref-vanderweele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19"/>
    <w:bookmarkStart w:id="120" w:name="ref-wilson198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20"/>
    <w:bookmarkEnd w:id="121"/>
    <w:bookmarkEnd w:id="122"/>
    <w:sectPr w:rsidR="00FE14AF" w:rsidRPr="000B508B" w:rsidSect="00346452">
      <w:headerReference r:id="rId11" w:type="default"/>
      <w:footerReference r:id="rId12" w:type="default"/>
      <w:footerReference r:id="rId13" w:type="first"/>
      <w:headerReference w:type="first" r:id="rId1"/>
      <w:headerReference w:type="even" r:id="rId2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Os modelos têm o logaritmo do rendimento como variável dependente, de modo que o coeficiente está em log-pontos. A variação percentual correspondente é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, e não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×</m:t>
        </m:r>
        <m:r>
          <m:t>100</m:t>
        </m:r>
      </m:oMath>
      <w:r>
        <w:t xml:space="preserve">: para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, por exemplo, tem-se</w:t>
      </w:r>
      <w:r>
        <w:t xml:space="preserve"> </w:t>
      </w:r>
      <m:oMath>
        <m:r>
          <m:rPr>
            <m:sty m:val="p"/>
          </m:rPr>
          <m:t>−</m:t>
        </m:r>
        <m:r>
          <m:t>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, e não</w:t>
      </w:r>
      <w:r>
        <w:t xml:space="preserve"> </w:t>
      </w:r>
      <m:oMath>
        <m:r>
          <m:rPr>
            <m:sty m:val="p"/>
          </m:rPr>
          <m:t>−</m:t>
        </m:r>
        <m:r>
          <m:t>21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%</m:t>
        </m:r>
      </m:oMath>
      <w:r>
        <w:t xml:space="preserve">. As duas leituras se aproximam quando o coeficiente é pequeno e divergem à medida que ele cresce em módulo; todos os percentuais de gap deste trabalho usam a primeira forma.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rFonts w:ascii="Arial" w:hAnsi="Arial"/>
        <w:noProof/>
        <w:sz w:val="16"/>
      </w:rPr>
      <w:t>Trabalho de Conclusão de Curso apresentado para obtenção do título de especialista em Data Science e Analytics – 2026</w:t>
    </w:r>
    <w:r>
      <w:rPr>
        <w:sz w:val="16"/>
        <w:szCs w:val="17"/>
      </w:rPr>
    </w:r>
    <w:r w:rsidRPr="00D52F94">
      <w:rPr>
        <w:sz w:val="16"/>
        <w:szCs w:val="17"/>
      </w:rPr>
    </w:r>
    <w:r>
      <w:rPr>
        <w:sz w:val="16"/>
        <w:szCs w:val="17"/>
      </w:rPr>
    </w:r>
    <w:r w:rsidRPr="00D52F94">
      <w:rPr>
        <w:sz w:val="16"/>
        <w:szCs w:val="17"/>
      </w:rPr>
    </w:r>
    <w:r>
      <w:rPr>
        <w:sz w:val="16"/>
        <w:szCs w:val="17"/>
      </w:rPr>
    </w:r>
    <w:r w:rsidRPr="00D52F94">
      <w:rPr>
        <w:sz w:val="16"/>
        <w:szCs w:val="17"/>
      </w:rPr>
    </w:r>
    <w:r>
      <w:rPr>
        <w:sz w:val="16"/>
        <w:szCs w:val="17"/>
      </w:rPr>
    </w:r>
    <w:r w:rsidRPr="004D48C1"/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72" Type="http://schemas.openxmlformats.org/officeDocument/2006/relationships/image" Target="media/rId72.png"/><Relationship Id="rId54" Type="http://schemas.openxmlformats.org/officeDocument/2006/relationships/image" Target="media/rId54.png"/><Relationship Id="rId60" Type="http://schemas.openxmlformats.org/officeDocument/2006/relationships/image" Target="media/rId60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34" Type="http://schemas.openxmlformats.org/officeDocument/2006/relationships/image" Target="media/rId34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1" Type="http://schemas.openxmlformats.org/officeDocument/2006/relationships/header" Target="header2.xml"/><Relationship Id="rId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2026-09-24T01:18:41Z</dcterms:created>
  <dcterms:modified xsi:type="dcterms:W3CDTF">2026-09-24T01:18:41Z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