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71.png" ContentType="image/png"/>
  <Override PartName="/word/media/rId53.png" ContentType="image/png"/>
  <Override PartName="/word/media/rId59.png" ContentType="image/png"/>
  <Override PartName="/word/media/rId66.png" ContentType="image/png"/>
  <Override PartName="/word/media/rId80.png" ContentType="image/png"/>
  <Override PartName="/word/media/rId33.png" ContentType="image/png"/>
  <Override PartName="/word/media/rId43.png" ContentType="image/png"/>
  <Override PartName="/word/media/rId47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Racismo estrutural no mercado de trabalho brasileiro: uma abordagem multinível</w:t>
      </w:r>
      <w:r>
        <w:rPr>
          <w:b/>
          <w:bCs/>
        </w:rPr>
        <w:t xml:space="preserve"> </w:t>
      </w:r>
      <w:r>
        <w:rPr>
          <w:b/>
          <w:bCs/>
        </w:rPr>
        <w:t xml:space="preserve">e de decomposição salarial</w:t>
      </w:r>
    </w:p>
    <w:p>
      <w:pPr>
        <w:pStyle w:val="BodyText"/>
      </w:pPr>
      <w:r>
        <w:t xml:space="preserve">Ricardo Gomes Calheiros</w:t>
      </w:r>
      <w:r>
        <w:rPr>
          <w:vertAlign w:val="superscript"/>
        </w:rPr>
        <w:t xml:space="preserve">1*</w:t>
      </w:r>
      <w:r>
        <w:t xml:space="preserve">; Edilson José Rodrigues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1*</w:t>
      </w:r>
      <w:r>
        <w:t xml:space="preserve"> </w:t>
      </w:r>
      <w:r>
        <w:t xml:space="preserve">Bacharel em Sistemas de Informação. E-mail autor</w:t>
      </w:r>
      <w:r>
        <w:t xml:space="preserve"> </w:t>
      </w:r>
      <w:r>
        <w:t xml:space="preserve">correspondente: rickinrj@gmail.com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Doutor em Engenharia Elétrica. MBA USP/Esalq.</w:t>
      </w:r>
      <w:r>
        <w:t xml:space="preserve"> </w:t>
      </w:r>
      <w:r>
        <w:t xml:space="preserve">E-mail: orientador@usp.br</w:t>
      </w:r>
    </w:p>
    <w:p>
      <w:pPr>
        <w:pStyle w:val="BodyText"/>
      </w:pPr>
      <w:r>
        <w:rPr>
          <w:b/>
          <w:bCs/>
        </w:rPr>
        <w:t xml:space="preserve">Racismo estrutural no mercado de trabalho brasileiro: uma abordagem multinível</w:t>
      </w:r>
      <w:r>
        <w:rPr>
          <w:b/>
          <w:bCs/>
        </w:rPr>
        <w:t xml:space="preserve"> </w:t>
      </w:r>
      <w:r>
        <w:rPr>
          <w:b/>
          <w:bCs/>
        </w:rPr>
        <w:t xml:space="preserve">e de decomposição salarial</w:t>
      </w:r>
    </w:p>
    <w:p>
      <w:pPr>
        <w:pStyle w:val="BodyText"/>
      </w:pPr>
      <w:r>
        <w:rPr>
          <w:b/>
          <w:bCs/>
        </w:rPr>
        <w:t xml:space="preserve">Resumo</w:t>
      </w:r>
    </w:p>
    <w:p>
      <w:pPr>
        <w:pStyle w:val="BodyText"/>
      </w:pPr>
      <w:r>
        <w:t xml:space="preserve">Este trabalho investigou o diferencial racial de rendimentos e as barreiras de</w:t>
      </w:r>
      <w:r>
        <w:t xml:space="preserve"> </w:t>
      </w:r>
      <w:r>
        <w:t xml:space="preserve">acesso ocupacional no Brasil com a série completa da Pesquisa Nacional por</w:t>
      </w:r>
      <w:r>
        <w:t xml:space="preserve"> </w:t>
      </w:r>
      <w:r>
        <w:t xml:space="preserve">Amostra de Domicílios Contínua, de 2016 a 2025, sobre 7.694.198</w:t>
      </w:r>
      <w:r>
        <w:t xml:space="preserve"> </w:t>
      </w:r>
      <w:r>
        <w:t xml:space="preserve">observações da população ocupada com rendimento positivo em</w:t>
      </w:r>
      <w:r>
        <w:t xml:space="preserve"> </w:t>
      </w:r>
      <w:r>
        <w:t xml:space="preserve">40.969 setores de amostragem. Quatro métodos foram aplicados de</w:t>
      </w:r>
      <w:r>
        <w:t xml:space="preserve"> </w:t>
      </w:r>
      <w:r>
        <w:t xml:space="preserve">forma articulada: modelo linear hierárquico de dois níveis, com indivíduos</w:t>
      </w:r>
      <w:r>
        <w:t xml:space="preserve"> </w:t>
      </w:r>
      <w:r>
        <w:t xml:space="preserve">aninhados em bairros e efeitos fixos de estado; decomposição de</w:t>
      </w:r>
      <w:r>
        <w:t xml:space="preserve"> </w:t>
      </w:r>
      <w:r>
        <w:t xml:space="preserve">Oaxaca–Blinder; regressão quantílica com decomposição por função de influência</w:t>
      </w:r>
      <w:r>
        <w:t xml:space="preserve"> </w:t>
      </w:r>
      <w:r>
        <w:t xml:space="preserve">recentrada; e modelo logístico multinível de acesso, estimado por máxima</w:t>
      </w:r>
      <w:r>
        <w:t xml:space="preserve"> </w:t>
      </w:r>
      <w:r>
        <w:t xml:space="preserve">verossimilhança. Um modelo de aprendizado de máquina interpretável serviu de</w:t>
      </w:r>
      <w:r>
        <w:t xml:space="preserve"> </w:t>
      </w:r>
      <w:r>
        <w:t xml:space="preserve">contraprova à forma funcional. O gap agregado foi de 19,1</w:t>
      </w:r>
      <w:r>
        <w:t xml:space="preserve"> </w:t>
      </w:r>
      <w:r>
        <w:t xml:space="preserve">quais 47,0</w:t>
      </w:r>
      <w:r>
        <w:t xml:space="preserve"> </w:t>
      </w:r>
      <w:r>
        <w:t xml:space="preserve">o diferencial que sobreviveu ao controle de capital humano, contexto e estado</w:t>
      </w:r>
      <w:r>
        <w:t xml:space="preserve"> </w:t>
      </w:r>
      <w:r>
        <w:t xml:space="preserve">foi de 10,2</w:t>
      </w:r>
      <w:r>
        <w:t xml:space="preserve"> </w:t>
      </w:r>
      <w:r>
        <w:t xml:space="preserve">ocupação. A decomposição atribuiu 28,4</w:t>
      </w:r>
      <w:r>
        <w:t xml:space="preserve"> </w:t>
      </w:r>
      <w:r>
        <w:t xml:space="preserve">diferenciais. O modelo de acesso estimou razão de chances de 0,699 para</w:t>
      </w:r>
      <w:r>
        <w:t xml:space="preserve"> </w:t>
      </w:r>
      <w:r>
        <w:t xml:space="preserve">cargo qualificado e 0,654 para o décimo superior da renda, indicando</w:t>
      </w:r>
      <w:r>
        <w:t xml:space="preserve"> </w:t>
      </w:r>
      <w:r>
        <w:t xml:space="preserve">barreira que se agrava no topo. A desvantagem da mulher negra excedeu em</w:t>
      </w:r>
      <w:r>
        <w:t xml:space="preserve"> </w:t>
      </w:r>
      <w:r>
        <w:t xml:space="preserve">4,6 pontos percentuais a soma das penalidades de raça</w:t>
      </w:r>
      <w:r>
        <w:t xml:space="preserve"> </w:t>
      </w:r>
      <w:r>
        <w:t xml:space="preserve">e de gênero isoladas. Concluiu-se que a discriminação operou sobretudo no</w:t>
      </w:r>
      <w:r>
        <w:t xml:space="preserve"> </w:t>
      </w:r>
      <w:r>
        <w:t xml:space="preserve">acesso à ocupação, e não apenas no salário, de modo que políticas centradas</w:t>
      </w:r>
      <w:r>
        <w:t xml:space="preserve"> </w:t>
      </w:r>
      <w:r>
        <w:t xml:space="preserve">apenas em escolaridade se mostraram insuficientes.</w:t>
      </w:r>
    </w:p>
    <w:p>
      <w:pPr>
        <w:pStyle w:val="BodyText"/>
      </w:pPr>
      <w:r>
        <w:rPr>
          <w:b/>
          <w:bCs/>
        </w:rPr>
        <w:t xml:space="preserve">Palavras-chave</w:t>
      </w:r>
      <w:r>
        <w:t xml:space="preserve">: diferencial racial de rendimentos;</w:t>
      </w:r>
      <w:r>
        <w:t xml:space="preserve"> </w:t>
      </w:r>
      <w:r>
        <w:t xml:space="preserve">segregação residencial; teto de vidro; decomposição de Oaxaca–Blinder;</w:t>
      </w:r>
      <w:r>
        <w:t xml:space="preserve"> </w:t>
      </w:r>
      <w:r>
        <w:t xml:space="preserve">interseccionalidade.</w:t>
      </w:r>
    </w:p>
    <w:p>
      <w:pPr>
        <w:pStyle w:val="BodyText"/>
      </w:pPr>
      <w:r>
        <w:rPr>
          <w:b/>
          <w:bCs/>
        </w:rPr>
        <w:t xml:space="preserve">Structural racism in the Brazilian labour market: a multilevel and</w:t>
      </w:r>
      <w:r>
        <w:rPr>
          <w:b/>
          <w:bCs/>
        </w:rPr>
        <w:t xml:space="preserve"> </w:t>
      </w:r>
      <w:r>
        <w:rPr>
          <w:b/>
          <w:bCs/>
        </w:rPr>
        <w:t xml:space="preserve">wage-decomposition approach</w:t>
      </w:r>
    </w:p>
    <w:p>
      <w:pPr>
        <w:pStyle w:val="BodyText"/>
      </w:pPr>
      <w:r>
        <w:rPr>
          <w:b/>
          <w:bCs/>
        </w:rPr>
        <w:t xml:space="preserve">Abstract</w:t>
      </w:r>
    </w:p>
    <w:p>
      <w:pPr>
        <w:pStyle w:val="BodyText"/>
      </w:pPr>
      <w:r>
        <w:t xml:space="preserve">This study examined the racial earnings differential and occupational access</w:t>
      </w:r>
      <w:r>
        <w:t xml:space="preserve"> </w:t>
      </w:r>
      <w:r>
        <w:t xml:space="preserve">barriers in Brazil using the complete series of the Brazilian Continuous</w:t>
      </w:r>
      <w:r>
        <w:t xml:space="preserve"> </w:t>
      </w:r>
      <w:r>
        <w:t xml:space="preserve">National Household Sample Survey, from 2016 to 2025, covering</w:t>
      </w:r>
      <w:r>
        <w:t xml:space="preserve"> </w:t>
      </w:r>
      <w:r>
        <w:t xml:space="preserve">7.694.198 observations of employed workers with positive earnings</w:t>
      </w:r>
      <w:r>
        <w:t xml:space="preserve"> </w:t>
      </w:r>
      <w:r>
        <w:t xml:space="preserve">in 40.969 sampling units. Four methods were jointly applied: a</w:t>
      </w:r>
      <w:r>
        <w:t xml:space="preserve"> </w:t>
      </w:r>
      <w:r>
        <w:t xml:space="preserve">two-level hierarchical linear model, with individuals nested in neighbourhoods</w:t>
      </w:r>
      <w:r>
        <w:t xml:space="preserve"> </w:t>
      </w:r>
      <w:r>
        <w:t xml:space="preserve">and state fixed effects; an Oaxaca–Blinder decomposition; quantile regression</w:t>
      </w:r>
      <w:r>
        <w:t xml:space="preserve"> </w:t>
      </w:r>
      <w:r>
        <w:t xml:space="preserve">with recentred influence function decomposition; and a multilevel logistic</w:t>
      </w:r>
      <w:r>
        <w:t xml:space="preserve"> </w:t>
      </w:r>
      <w:r>
        <w:t xml:space="preserve">model of occupational access, estimated by maximum likelihood. An interpretable</w:t>
      </w:r>
      <w:r>
        <w:t xml:space="preserve"> </w:t>
      </w:r>
      <w:r>
        <w:t xml:space="preserve">machine learning model served as a functional-form check. The aggregate gap was</w:t>
      </w:r>
      <w:r>
        <w:t xml:space="preserve"> </w:t>
      </w:r>
      <w:r>
        <w:t xml:space="preserve">19,1</w:t>
      </w:r>
      <w:r>
        <w:t xml:space="preserve"> </w:t>
      </w:r>
      <w:r>
        <w:t xml:space="preserve">neighbourhood of residence; the differential surviving controls for human</w:t>
      </w:r>
      <w:r>
        <w:t xml:space="preserve"> </w:t>
      </w:r>
      <w:r>
        <w:t xml:space="preserve">capital, context and state was 10,2</w:t>
      </w:r>
      <w:r>
        <w:t xml:space="preserve"> </w:t>
      </w:r>
      <w:r>
        <w:t xml:space="preserve">persisted within the same occupation. The decomposition attributed</w:t>
      </w:r>
      <w:r>
        <w:t xml:space="preserve"> </w:t>
      </w:r>
      <w:r>
        <w:t xml:space="preserve">28,4</w:t>
      </w:r>
      <w:r>
        <w:t xml:space="preserve"> </w:t>
      </w:r>
      <w:r>
        <w:t xml:space="preserve">estimated odds ratios of 0,699 for qualified occupations and 0,654 for</w:t>
      </w:r>
      <w:r>
        <w:t xml:space="preserve"> </w:t>
      </w:r>
      <w:r>
        <w:t xml:space="preserve">the top income decile, indicating a barrier that tightens towards the top. The</w:t>
      </w:r>
      <w:r>
        <w:t xml:space="preserve"> </w:t>
      </w:r>
      <w:r>
        <w:t xml:space="preserve">disadvantage faced by Black women exceeded the sum of the separate race and</w:t>
      </w:r>
      <w:r>
        <w:t xml:space="preserve"> </w:t>
      </w:r>
      <w:r>
        <w:t xml:space="preserve">gender penalties by 4,6 percentage points. It was</w:t>
      </w:r>
      <w:r>
        <w:t xml:space="preserve"> </w:t>
      </w:r>
      <w:r>
        <w:t xml:space="preserve">concluded that discrimination operated mainly in access to occupations, not</w:t>
      </w:r>
      <w:r>
        <w:t xml:space="preserve"> </w:t>
      </w:r>
      <w:r>
        <w:t xml:space="preserve">only in wages, so that policies centred solely on schooling proved</w:t>
      </w:r>
      <w:r>
        <w:t xml:space="preserve"> </w:t>
      </w:r>
      <w:r>
        <w:t xml:space="preserve">insufficient.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: racial earnings gap; residential segregation; glass</w:t>
      </w:r>
      <w:r>
        <w:t xml:space="preserve"> </w:t>
      </w:r>
      <w:r>
        <w:t xml:space="preserve">ceiling; Oaxaca–Blinder decomposition; intersectionality.</w:t>
      </w:r>
    </w:p>
    <w:bookmarkStart w:id="22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O Brasil é um dos países com maior desigualdade racial de renda no mundo, e a</w:t>
      </w:r>
      <w:r>
        <w:t xml:space="preserve"> </w:t>
      </w:r>
      <w:r>
        <w:t xml:space="preserve">razão entre o rendimento médio de trabalhadores brancos e negros permanece acima</w:t>
      </w:r>
      <w:r>
        <w:t xml:space="preserve"> </w:t>
      </w:r>
      <w:r>
        <w:t xml:space="preserve">de 1</w:t>
      </w:r>
      <w:r>
        <w:t xml:space="preserve">:</w:t>
      </w:r>
      <w:r>
        <w:t xml:space="preserve">1,5 em toda a série histórica disponível, mesmo quando se controlam</w:t>
      </w:r>
      <w:r>
        <w:t xml:space="preserve"> </w:t>
      </w:r>
      <w:r>
        <w:t xml:space="preserve">escolaridade, experiência e setor de atividade</w:t>
      </w:r>
      <w:r>
        <w:t xml:space="preserve"> </w:t>
      </w:r>
      <w:r>
        <w:t xml:space="preserve">(IBGE, 2023)</w:t>
      </w:r>
      <w:r>
        <w:t xml:space="preserve">. A</w:t>
      </w:r>
      <w:r>
        <w:t xml:space="preserve"> </w:t>
      </w:r>
      <w:r>
        <w:t xml:space="preserve">explicação usual atribui esse hiato a diferenças de qualificação; se ela fosse</w:t>
      </w:r>
      <w:r>
        <w:t xml:space="preserve"> </w:t>
      </w:r>
      <w:r>
        <w:t xml:space="preserve">suficiente, a expansão do acesso ao ensino teria dissolvido o diferencial ao</w:t>
      </w:r>
      <w:r>
        <w:t xml:space="preserve"> </w:t>
      </w:r>
      <w:r>
        <w:t xml:space="preserve">longo das últimas décadas, o que não ocorreu</w:t>
      </w:r>
      <w:r>
        <w:t xml:space="preserve"> </w:t>
      </w:r>
      <w:r>
        <w:t xml:space="preserve">(Hasenbalg, 1979)</w:t>
      </w:r>
      <w:r>
        <w:t xml:space="preserve">. O quadro</w:t>
      </w:r>
      <w:r>
        <w:t xml:space="preserve"> </w:t>
      </w:r>
      <w:r>
        <w:t xml:space="preserve">recente reforça o ponto: a Pesquisa de Orçamentos Familiares [POF] registrou</w:t>
      </w:r>
      <w:r>
        <w:t xml:space="preserve"> </w:t>
      </w:r>
      <w:r>
        <w:t xml:space="preserve">queda de cerca de 30% no Índice de Perda de Qualidade de Vida entre 2008 e</w:t>
      </w:r>
      <w:r>
        <w:t xml:space="preserve"> </w:t>
      </w:r>
      <w:r>
        <w:t xml:space="preserve">2018, sem fechar o hiato racial</w:t>
      </w:r>
      <w:r>
        <w:t xml:space="preserve"> </w:t>
      </w:r>
      <w:r>
        <w:t xml:space="preserve">(IBGE, 2019)</w:t>
      </w:r>
      <w:r>
        <w:t xml:space="preserve">, enquanto o índice de</w:t>
      </w:r>
      <w:r>
        <w:t xml:space="preserve"> </w:t>
      </w:r>
      <w:r>
        <w:t xml:space="preserve">Gini do rendimento domiciliar per capita voltou a subir em 2025, puxado pelo</w:t>
      </w:r>
      <w:r>
        <w:t xml:space="preserve"> </w:t>
      </w:r>
      <w:r>
        <w:t xml:space="preserve">topo da distribuição</w:t>
      </w:r>
      <w:r>
        <w:t xml:space="preserve"> </w:t>
      </w:r>
      <w:r>
        <w:t xml:space="preserve">(IBGE, 2025)</w:t>
      </w:r>
      <w:r>
        <w:t xml:space="preserve">.</w:t>
      </w:r>
    </w:p>
    <w:p>
      <w:pPr>
        <w:pStyle w:val="BodyText"/>
      </w:pPr>
      <w:r>
        <w:t xml:space="preserve">A teoria econômica oferece duas explicações concorrentes para um diferencial que</w:t>
      </w:r>
      <w:r>
        <w:t xml:space="preserve"> </w:t>
      </w:r>
      <w:r>
        <w:t xml:space="preserve">sobrevive ao controle da produtividade observável, e elas implicam políticas</w:t>
      </w:r>
      <w:r>
        <w:t xml:space="preserve"> </w:t>
      </w:r>
      <w:r>
        <w:t xml:space="preserve">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 por preferência, em</w:t>
      </w:r>
      <w:r>
        <w:t xml:space="preserve"> </w:t>
      </w:r>
      <w:r>
        <w:t xml:space="preserve">que o empregador incorre em desutilidade ao contratar o grupo minoritário e, por</w:t>
      </w:r>
      <w:r>
        <w:t xml:space="preserve"> </w:t>
      </w:r>
      <w:r>
        <w:t xml:space="preserve">isso, só o faz a salário menor; nesse modelo, a concorrência tende a erodir a</w:t>
      </w:r>
      <w:r>
        <w:t xml:space="preserve"> </w:t>
      </w:r>
      <w:r>
        <w:t xml:space="preserve">prática.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discriminação estatística, em que</w:t>
      </w:r>
      <w:r>
        <w:t xml:space="preserve"> </w:t>
      </w:r>
      <w:r>
        <w:t xml:space="preserve">a raça é usada como sinal da produtividade média do grupo sob informação</w:t>
      </w:r>
      <w:r>
        <w:t xml:space="preserve"> </w:t>
      </w:r>
      <w:r>
        <w:t xml:space="preserve">imperfeita; aqui o equilíbrio se autoconfirma, porque o menor retorno esperado</w:t>
      </w:r>
      <w:r>
        <w:t xml:space="preserve"> </w:t>
      </w:r>
      <w:r>
        <w:t xml:space="preserve">desestimula o investimento em qualificação. A tradição brasileira acrescenta uma</w:t>
      </w:r>
      <w:r>
        <w:t xml:space="preserve"> </w:t>
      </w:r>
      <w:r>
        <w:t xml:space="preserve">terceira leitura, na qual o racismo é processo estrutural reproduzido pelas</w:t>
      </w:r>
      <w:r>
        <w:t xml:space="preserve"> </w:t>
      </w:r>
      <w:r>
        <w:t xml:space="preserve">instituições independentemente da intenção dos agentes</w:t>
      </w:r>
      <w:r>
        <w:t xml:space="preserve"> </w:t>
      </w:r>
      <w:r>
        <w:t xml:space="preserve">(Almeida, 2019)</w:t>
      </w:r>
      <w:r>
        <w:t xml:space="preserve"> </w:t>
      </w:r>
      <w:r>
        <w:t xml:space="preserve">—</w:t>
      </w:r>
      <w:r>
        <w:t xml:space="preserve"> </w:t>
      </w:r>
      <w:r>
        <w:t xml:space="preserve">leitura que justifica tratar a segregação residencial e a segregação ocupacional</w:t>
      </w:r>
      <w:r>
        <w:t xml:space="preserve"> </w:t>
      </w:r>
      <w:r>
        <w:t xml:space="preserve">como mecanismos, e não como controles estatísticos.</w:t>
      </w:r>
    </w:p>
    <w:p>
      <w:pPr>
        <w:pStyle w:val="BodyText"/>
      </w:pPr>
      <w:r>
        <w:t xml:space="preserve">A literatura empírica identifica três canais de reprodução dessa desigualdade: a</w:t>
      </w:r>
      <w:r>
        <w:t xml:space="preserve"> </w:t>
      </w:r>
      <w:r>
        <w:t xml:space="preserve">discriminação direta em processos de seleção e promoção</w:t>
      </w:r>
      <w:r>
        <w:t xml:space="preserve"> </w:t>
      </w:r>
      <w:r>
        <w:t xml:space="preserve">(Pager, 2007)</w:t>
      </w:r>
      <w:r>
        <w:t xml:space="preserve">; os</w:t>
      </w:r>
      <w:r>
        <w:t xml:space="preserve"> </w:t>
      </w:r>
      <w:r>
        <w:t xml:space="preserve">efeitos de vizinhança, pelos quais a concentração de pobreza em bairros</w:t>
      </w:r>
      <w:r>
        <w:t xml:space="preserve"> </w:t>
      </w:r>
      <w:r>
        <w:t xml:space="preserve">segregados reduz as redes de contato com o mercado formal</w:t>
      </w:r>
      <w:r>
        <w:t xml:space="preserve"> </w:t>
      </w:r>
      <w:r>
        <w:t xml:space="preserve">(Marques, 2010; Sampson; Raudenbush; Earls, 1997; Wilson, 1987)</w:t>
      </w:r>
      <w:r>
        <w:t xml:space="preserve">; e a subvalorização do capital humano negro, pela qual</w:t>
      </w:r>
      <w:r>
        <w:t xml:space="preserve"> </w:t>
      </w:r>
      <w:r>
        <w:t xml:space="preserve">um mesmo nível de escolaridade rende menos</w:t>
      </w:r>
      <w:r>
        <w:t xml:space="preserve"> </w:t>
      </w:r>
      <w:r>
        <w:t xml:space="preserve">(Henriques, 2001; Soares, 2009)</w:t>
      </w:r>
      <w:r>
        <w:t xml:space="preserve">.</w:t>
      </w:r>
      <w:r>
        <w:t xml:space="preserve"> </w:t>
      </w:r>
      <w:r>
        <w:t xml:space="preserve">Tratados isoladamente, esses mecanismos têm sido difíceis de quantificar de forma</w:t>
      </w:r>
      <w:r>
        <w:t xml:space="preserve"> </w:t>
      </w:r>
      <w:r>
        <w:t xml:space="preserve">integrada e em escala nacional, e é essa lacuna que o presente trabalho enfrenta.</w:t>
      </w:r>
    </w:p>
    <w:p>
      <w:pPr>
        <w:pStyle w:val="BodyText"/>
      </w:pPr>
      <w:r>
        <w:t xml:space="preserve">Três hipóteses orientaram a investigação. A primeira supôs que parte relevante do</w:t>
      </w:r>
      <w:r>
        <w:t xml:space="preserve"> </w:t>
      </w:r>
      <w:r>
        <w:t xml:space="preserve">diferencial racial de rendimentos é mediada pelo contexto do bairro de moradia, e</w:t>
      </w:r>
      <w:r>
        <w:t xml:space="preserve"> </w:t>
      </w:r>
      <w:r>
        <w:t xml:space="preserve">não apenas por atributos individuais. A segunda supôs que a penalidade racial não</w:t>
      </w:r>
      <w:r>
        <w:t xml:space="preserve"> </w:t>
      </w:r>
      <w:r>
        <w:t xml:space="preserve">é uniforme ao longo da distribuição de renda, mas se agrava no topo, configurando</w:t>
      </w:r>
      <w:r>
        <w:t xml:space="preserve"> </w:t>
      </w:r>
      <w:r>
        <w:t xml:space="preserve">teto de vidro. A terceira supôs que a barreira opera antes do salário, no acesso</w:t>
      </w:r>
      <w:r>
        <w:t xml:space="preserve"> </w:t>
      </w:r>
      <w:r>
        <w:t xml:space="preserve">às ocupações qualificadas, de modo que trabalhadores negros com o mesmo perfil</w:t>
      </w:r>
      <w:r>
        <w:t xml:space="preserve"> </w:t>
      </w:r>
      <w:r>
        <w:t xml:space="preserve">observável enfrentam menor probabilidade de nelas ingressar.</w:t>
      </w:r>
    </w:p>
    <w:p>
      <w:pPr>
        <w:pStyle w:val="BodyText"/>
      </w:pPr>
      <w:r>
        <w:t xml:space="preserve">O objetivo deste trabalho foi identificar, isolar e quantificar os mecanismos da</w:t>
      </w:r>
      <w:r>
        <w:t xml:space="preserve"> </w:t>
      </w:r>
      <w:r>
        <w:t xml:space="preserve">desigualdade racial de rendimentos e de acesso ocupacional no Brasil,</w:t>
      </w:r>
      <w:r>
        <w:t xml:space="preserve"> </w:t>
      </w:r>
      <w:r>
        <w:t xml:space="preserve">distinguindo a parcela atribuível a diferenças de características da parcela</w:t>
      </w:r>
      <w:r>
        <w:t xml:space="preserve"> </w:t>
      </w:r>
      <w:r>
        <w:t xml:space="preserve">atribuível a retornos diferenciais, e traduzindo o diagnóstico em implicações de</w:t>
      </w:r>
      <w:r>
        <w:t xml:space="preserve"> </w:t>
      </w:r>
      <w:r>
        <w:t xml:space="preserve">política focadas no acesso a ocupações qualificadas.</w:t>
      </w:r>
    </w:p>
    <w:bookmarkEnd w:id="22"/>
    <w:bookmarkStart w:id="32" w:name="Xc75abeba06f5f79ea98bda2c7af6242a0f43a5f"/>
    <w:p>
      <w:pPr>
        <w:pStyle w:val="Heading1"/>
      </w:pPr>
      <w:r>
        <w:t xml:space="preserve">Implementação de Algoritmo(s) de Machine Learning</w:t>
      </w:r>
    </w:p>
    <w:bookmarkStart w:id="24" w:name="base-de-dados-pnad-contínua-20162025"/>
    <w:p>
      <w:pPr>
        <w:pStyle w:val="Ttulo2"/>
      </w:pP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7.694.198 possuem renda positiva</w:t>
      </w:r>
      <w:r>
        <w:t xml:space="preserve"> </w:t>
      </w:r>
      <w:r>
        <w:t xml:space="preserve">declarada e completude nas variáveis do modelo.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−1,18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(−0,30). É esse desequilíbrio que o nível 2 do modelo hierárquico absorve. As</w:t>
      </w:r>
      <w:r>
        <w:t xml:space="preserve"> </w:t>
      </w:r>
      <w:r>
        <w:t xml:space="preserve">dummies</w:t>
      </w:r>
      <w:r>
        <w:t xml:space="preserve"> </w:t>
      </w:r>
      <w:r>
        <w:t xml:space="preserve">de escolaridade, por sua vez, são condicionais ao registro da variável,</w:t>
      </w:r>
      <w:r>
        <w:t xml:space="preserve"> </w:t>
      </w:r>
      <w:r>
        <w:t xml:space="preserve">cuja cobertura difere entre os grupos (73,7% contra 65,3% de não</w:t>
      </w:r>
      <w:r>
        <w:t xml:space="preserve"> </w:t>
      </w:r>
      <w:r>
        <w:t xml:space="preserve">registro); por isso o indicador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entra em todos os modelos e os</w:t>
      </w:r>
      <w:r>
        <w:t xml:space="preserve"> </w:t>
      </w:r>
      <w:r>
        <w:t xml:space="preserve">retornos educacionais são lidos com a cautela registrada nas limitações.</w:t>
      </w:r>
      <w:r>
        <w:t xml:space="preserve"> </w:t>
      </w:r>
      <w:r>
        <w:t xml:space="preserve">O suporte comum é amplo: 97,3%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3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 não registrada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−0,30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97,3%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p>
      <w:pPr>
        <w:pStyle w:val="BodyText"/>
      </w:pPr>
      <w:r>
        <w:t xml:space="preserve">Fonte: Resultados originais da pesquisa.</w:t>
      </w:r>
    </w:p>
    <w:bookmarkEnd w:id="24"/>
    <w:bookmarkStart w:id="25" w:name="subsec:hlm"/>
    <w:p>
      <w:pPr>
        <w:pStyle w:val="Ttulo2"/>
      </w:pP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(H2) é que o</w:t>
      </w:r>
      <w:r>
        <w:t xml:space="preserve"> </w:t>
      </w:r>
      <w: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p>
      <w:pPr>
        <w:pStyle w:val="FirstParagraph"/>
      </w:pP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t xml:space="preserve">independentemente</w:t>
      </w:r>
      <w:r>
        <w:t xml:space="preserve"> </w:t>
      </w:r>
      <w: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mede a fração da variância do log-rendimento que está</w:t>
      </w:r>
      <w:r>
        <w:t xml:space="preserve"> </w:t>
      </w:r>
      <w: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t xml:space="preserve"> </w:t>
      </w:r>
      <w:r>
        <w:t xml:space="preserve">por ML e 0,33699 por REML;</w:t>
      </w:r>
      <w:r>
        <w:t xml:space="preserve"> </w:t>
      </w:r>
      <w:r>
        <w:t xml:space="preserve">ICC idêntico até a quarta casa). A</w:t>
      </w:r>
    </w:p>
    <w:bookmarkEnd w:id="25"/>
    <w:bookmarkStart w:id="26" w:name="subsec:oaxaca_metodo"/>
    <w:p>
      <w:pPr>
        <w:pStyle w:val="Ttulo2"/>
      </w:pP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t xml:space="preserve">twofold</w:t>
      </w:r>
      <w:r>
        <w:t xml:space="preserve"> </w:t>
      </w:r>
      <w:r>
        <w:t xml:space="preserve">(Blinder, 1973; Oaxaca, 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discriminatória:</w:t>
      </w:r>
      <w:r>
        <w:t xml:space="preserve"> </w:t>
      </w:r>
      <m:oMath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‾"/>
              </m:accPr>
              <m:e>
                <m:r>
                  <m:t>W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+</m:t>
        </m:r>
        <m:sSub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apenas capital humano e contexto de bairro, comparável à literatura; e</w:t>
      </w:r>
      <w:r>
        <w:t xml:space="preserve"> </w:t>
      </w:r>
      <w:r>
        <w:t xml:space="preserve">(B) acrescentando horas, formalidade e grupo ocupacional como dotações.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6"/>
    <w:bookmarkStart w:id="27" w:name="regressão-quantílica-e-decomposição-rif"/>
    <w:p>
      <w:pPr>
        <w:pStyle w:val="Ttulo2"/>
      </w:pP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cinco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entre os quantis extremos usa</w:t>
      </w:r>
      <w:r>
        <w:t xml:space="preserve"> </w:t>
      </w:r>
      <w:r>
        <w:t xml:space="preserve">bootstrap</w:t>
      </w:r>
      <w:r>
        <w:t xml:space="preserve"> </w:t>
      </w:r>
      <w: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40.969 UPAs a cada</w:t>
      </w:r>
      <w:r>
        <w:t xml:space="preserve"> </w:t>
      </w:r>
      <w:r>
        <w:t xml:space="preserve">réplica seria proibitivo com 7,7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7"/>
    <w:bookmarkStart w:id="28" w:name="modelo-logístico-multinível-de-acesso"/>
    <w:p>
      <w:pPr>
        <w:pStyle w:val="Ttulo2"/>
      </w:pP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8"/>
    <w:bookmarkStart w:id="29" w:name="sensibilidade-a-variáveis-omitidas"/>
    <w:p>
      <w:pPr>
        <w:pStyle w:val="Ttulo2"/>
      </w:pP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9"/>
    <w:bookmarkStart w:id="30" w:name="subsec:inferencia"/>
    <w:p>
      <w:pPr>
        <w:pStyle w:val="Ttulo2"/>
      </w:pP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t xml:space="preserve">agrupados por UPA</w:t>
      </w:r>
      <w:r>
        <w:t xml:space="preserve"> </w:t>
      </w:r>
      <w: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0,0006 (convencional) para 0,0011 (agrupado por UPA) e 0,0035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51,9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-0,1009 para -0,0967 (gap de 9,6% para 9,2%), diferença sem relevância econômica; os demais resultados são não ponderados.</w:t>
      </w:r>
    </w:p>
    <w:bookmarkEnd w:id="30"/>
    <w:bookmarkStart w:id="31" w:name="random-forest-xgboost-e-shap-values"/>
    <w:p>
      <w:pPr>
        <w:pStyle w:val="Ttulo2"/>
      </w:pP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 e profundidade</w:t>
      </w:r>
      <w:r>
        <w:t xml:space="preserve"> </w:t>
      </w:r>
      <w:r>
        <w:t xml:space="preserve">máxima 10; e (ii) </w:t>
      </w:r>
      <w: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5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sobre um subsample de 50.000 observações para</w:t>
      </w:r>
      <w:r>
        <w:t xml:space="preserve"> </w:t>
      </w:r>
      <w:r>
        <w:t xml:space="preserve">calcular os valores de Shapley de cada feature.</w:t>
      </w:r>
    </w:p>
    <w:bookmarkEnd w:id="31"/>
    <w:bookmarkEnd w:id="32"/>
    <w:bookmarkStart w:id="89" w:name="resultados-e-discussão"/>
    <w:p>
      <w:pPr>
        <w:pStyle w:val="Heading1"/>
      </w:pPr>
      <w:r>
        <w:t xml:space="preserve">Resultados e Discussão</w:t>
      </w:r>
    </w:p>
    <w:bookmarkStart w:id="38" w:name="subsec:hlm_resultados"/>
    <w:p>
      <w:pPr>
        <w:pStyle w:val="Ttulo2"/>
      </w:pPr>
      <w:r>
        <w:t xml:space="preserve">Modelos Hierárquicos Lineares — Mediação Contextual do Gap</w:t>
      </w:r>
    </w:p>
    <w:p>
      <w:pPr>
        <w:pStyle w:val="FirstParagraph"/>
      </w:pPr>
      <w:r>
        <w:t xml:space="preserve">Esta seção documenta como o território amplifica o gap racial:</w:t>
      </w:r>
      <w:r>
        <w:t xml:space="preserve"> </w:t>
      </w:r>
      <w:r>
        <w:t xml:space="preserve">o bairro de moradia não é apenas contexto — é parte do mecanismo de exclusão.</w:t>
      </w:r>
    </w:p>
    <w:p>
      <w:pPr>
        <w:pStyle w:val="BodyText"/>
      </w:pPr>
      <w:r>
        <w:t xml:space="preserve">A Tabela </w:t>
      </w:r>
      <w:hyperlink w:anchor="tab:hlm_resultado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apresenta os cinco degraus da estratégia</w:t>
      </w:r>
      <w:r>
        <w:t xml:space="preserve"> </w:t>
      </w:r>
      <w:r>
        <w:t xml:space="preserve">step-up</w:t>
      </w:r>
      <w:r>
        <w:t xml:space="preserve">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completa.</w:t>
      </w:r>
      <w:r>
        <w:t xml:space="preserve"> </w:t>
      </w:r>
      <w:r>
        <w:t xml:space="preserve">Como ler: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—</w:t>
      </w:r>
      <w:r>
        <w:t xml:space="preserve"> </w:t>
      </w:r>
      <w:r>
        <w:t xml:space="preserve">cada coluna acrescenta um bloco de controles e o coeficiente se aproxima de zero; as</w:t>
      </w:r>
      <w:r>
        <w:t xml:space="preserve"> </w:t>
      </w:r>
      <w:r>
        <w:t xml:space="preserve">linhas de baixo dizem quanto da variância entre bairros cada bloco explica e se o degrau</w:t>
      </w:r>
      <w:r>
        <w:t xml:space="preserve"> </w:t>
      </w:r>
      <w:r>
        <w:t xml:space="preserve">melhora o ajuste (LR).</w:t>
      </w:r>
    </w:p>
    <w:p>
      <w:pPr>
        <w:pStyle w:val="BodyText"/>
      </w:pPr>
      <w:r>
        <w:rPr>
          <w:b/>
          <w:bCs/>
        </w:rPr>
        <w:t xml:space="preserve">Quanto da renda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: o modelo nulo.</w:t>
      </w:r>
      <w:r>
        <w:t xml:space="preserve"> </w:t>
      </w:r>
      <w:r>
        <w:t xml:space="preserve">O M0 estima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t xml:space="preserve">,</w:t>
      </w:r>
      <w:r>
        <w:t xml:space="preserve"> </w:t>
      </w:r>
      <w: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36,9% da variância do</w:t>
      </w:r>
      <w:r>
        <w:rPr>
          <w:b/>
          <w:bCs/>
        </w:rPr>
        <w:t xml:space="preserve"> </w:t>
      </w:r>
      <w:r>
        <w:rPr>
          <w:b/>
          <w:bCs/>
        </w:rPr>
        <w:t xml:space="preserve">log-rendimento está entre bairros</w:t>
      </w:r>
      <w:r>
        <w:t xml:space="preserve">, muito acima do limiar de 5% de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e da parcela entre estados (cerca de 10%, no modelo</w:t>
      </w:r>
      <w:r>
        <w:t xml:space="preserve"> </w:t>
      </w:r>
      <w:r>
        <w:t xml:space="preserve">alternativo com UF aleatória usado como robustez). A estrutura aninhada não é um detalhe</w:t>
      </w:r>
      <w:r>
        <w:t xml:space="preserve"> </w:t>
      </w:r>
      <w:r>
        <w:t xml:space="preserve">técnico: ignorá-la trataria como independentes pessoas que compartilham o mesmo mercado</w:t>
      </w:r>
      <w:r>
        <w:t xml:space="preserve"> </w:t>
      </w:r>
      <w:r>
        <w:t xml:space="preserve">de trabalho local.</w:t>
      </w:r>
    </w:p>
    <w:p>
      <w:pPr>
        <w:pStyle w:val="BodyText"/>
      </w:pPr>
      <w:r>
        <w:rPr>
          <w:b/>
          <w:bCs/>
        </w:rPr>
        <w:t xml:space="preserve">Gap agregado</w:t>
      </w:r>
      <w:r>
        <w:rPr>
          <w:b/>
          <w:bCs/>
        </w:rPr>
        <w:t xml:space="preserve"> </w:t>
      </w:r>
      <w:r>
        <w:rPr>
          <w:b/>
          <w:bCs/>
        </w:rPr>
        <w:t xml:space="preserve">vs.</w:t>
      </w:r>
      <w:r>
        <w:rPr>
          <w:b/>
          <w:bCs/>
        </w:rPr>
        <w:t xml:space="preserve"> </w:t>
      </w:r>
      <w:r>
        <w:rPr>
          <w:b/>
          <w:bCs/>
        </w:rPr>
        <w:t xml:space="preserve">gap dentro do bairro (M1).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[subsec:inferencia]</w:t>
        </w:r>
      </w:hyperlink>
      <w:r>
        <w:t xml:space="preserve">),</w:t>
      </w:r>
      <w:r>
        <w:t xml:space="preserve"> </w:t>
      </w:r>
      <w:r>
        <w:t xml:space="preserve">trabalhadores negros recebem 19,1% a menos 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). O M1 acrescenta o intercepto aleatório de UPA e passa a</w:t>
      </w:r>
      <w:r>
        <w:t xml:space="preserve"> </w:t>
      </w:r>
      <w:r>
        <w:t xml:space="preserve">comparar negros e brancos</w:t>
      </w:r>
      <w:r>
        <w:t xml:space="preserve"> </w:t>
      </w:r>
      <w:r>
        <w:t xml:space="preserve">do mesmo bairro</w:t>
      </w:r>
      <w:r>
        <w:t xml:space="preserve">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t xml:space="preserve"> </w:t>
      </w:r>
      <w:r>
        <w:t xml:space="preserve">(IC 95%: [−0,1135; −0,1113]), ou</w:t>
      </w:r>
      <w:r>
        <w:t xml:space="preserve"> </w:t>
      </w:r>
      <w:r>
        <w:rPr>
          <w:b/>
          <w:bCs/>
        </w:rPr>
        <w:t xml:space="preserve">10,6% a menos</w:t>
      </w:r>
      <w:r>
        <w:t xml:space="preserve">. A diferença</w:t>
      </w:r>
      <w:r>
        <w:t xml:space="preserve"> </w:t>
      </w:r>
      <w:r>
        <w:t xml:space="preserve">entre os dois —</w:t>
      </w:r>
      <w:r>
        <w:t xml:space="preserve"> </w:t>
      </w:r>
      <w:r>
        <w:rPr>
          <w:b/>
          <w:bCs/>
        </w:rPr>
        <w:t xml:space="preserve">47,0% do gap agregado</w:t>
      </w:r>
      <w:r>
        <w:t xml:space="preserve"> </w:t>
      </w:r>
      <w:r>
        <w:t xml:space="preserve">— é a parcela do gap</w:t>
      </w:r>
      <w:r>
        <w:t xml:space="preserve"> </w:t>
      </w:r>
      <w:r>
        <w:t xml:space="preserve">racial que transita pela segregação residencial: negros e brancos com o mesmo capital</w:t>
      </w:r>
      <w:r>
        <w:t xml:space="preserve"> </w:t>
      </w:r>
      <w:r>
        <w:t xml:space="preserve">humano não moram nos mesmos bairros, e os bairros pagam diferente. Esse é o teste da</w:t>
      </w:r>
      <w:r>
        <w:t xml:space="preserve"> </w:t>
      </w:r>
      <w:r>
        <w:t xml:space="preserve">Hipótese H2. Os controles individuais explicam, além disso, 55,2% da</w:t>
      </w:r>
      <w:r>
        <w:t xml:space="preserve"> </w:t>
      </w:r>
      <w:r>
        <w:t xml:space="preserve">variância entre bairros do M0: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</w:t>
      </w:r>
      <w:r>
        <w:t xml:space="preserve"> </w:t>
      </w:r>
      <w:r>
        <w:t xml:space="preserve">nele.</w:t>
      </w:r>
    </w:p>
    <w:p>
      <w:pPr>
        <w:pStyle w:val="BodyText"/>
      </w:pPr>
      <w:r>
        <w:rPr>
          <w:b/>
          <w:bCs/>
        </w:rPr>
        <w:t xml:space="preserve">O que faz de um bairro um bairro (M2).</w:t>
      </w:r>
      <w:r>
        <w:t xml:space="preserve"> </w:t>
      </w:r>
      <w:r>
        <w:t xml:space="preserve">As três covariáveis de nível 2 explicam 40,1% da variância entre</w:t>
      </w:r>
      <w:r>
        <w:t xml:space="preserve"> </w:t>
      </w:r>
      <w: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de 0,1509 para 0,0903;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19.536,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O coeficiente de composição racial,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(SE 0,0017), indica que um desvio-padrão a mais</w:t>
      </w:r>
      <w:r>
        <w:t xml:space="preserve"> </w:t>
      </w:r>
      <w:r>
        <w:t xml:space="preserve">na proporção de negros da UPA reduz o log-rendimento de</w:t>
      </w:r>
      <w:r>
        <w:t xml:space="preserve"> </w:t>
      </w:r>
      <w:r>
        <w:t xml:space="preserve">todos</w:t>
      </w:r>
      <w:r>
        <w:t xml:space="preserve"> </w:t>
      </w:r>
      <w:r>
        <w:t xml:space="preserve">os moradores em</w:t>
      </w:r>
      <w:r>
        <w:t xml:space="preserve"> </w:t>
      </w:r>
      <w:r>
        <w:t xml:space="preserve">0,22 pontos — da mesma ordem da penalidade individual — a evidência mais</w:t>
      </w:r>
      <w:r>
        <w:t xml:space="preserve"> </w:t>
      </w:r>
      <w:r>
        <w:t xml:space="preserve">direta do</w:t>
      </w:r>
      <w:r>
        <w:t xml:space="preserve"> </w:t>
      </w:r>
      <w:r>
        <w:t xml:space="preserve">duplo disadvantage</w:t>
      </w:r>
      <w:r>
        <w:t xml:space="preserve">. O coeficiente individual mal se move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t xml:space="preserve">): dentro do bairro, a penalidade racial</w:t>
      </w:r>
      <w:r>
        <w:t xml:space="preserve"> </w:t>
      </w:r>
      <w:r>
        <w:t xml:space="preserve">não depende de quem são os vizinhos; o bairro opera pela</w:t>
      </w:r>
      <w:r>
        <w:t xml:space="preserve"> </w:t>
      </w:r>
      <w:r>
        <w:t xml:space="preserve">porta de entrada</w:t>
      </w:r>
      <w:r>
        <w:t xml:space="preserve"> </w:t>
      </w:r>
      <w:r>
        <w:t xml:space="preserve">(onde se consegue morar), não pelo salário de quem já está lá.</w:t>
      </w:r>
    </w:p>
    <w:p>
      <w:pPr>
        <w:pStyle w:val="BodyText"/>
      </w:pPr>
      <w:r>
        <w:rPr>
          <w:b/>
          <w:bCs/>
        </w:rPr>
        <w:t xml:space="preserve">Gap líquido (M3).</w:t>
      </w:r>
      <w:r>
        <w:t xml:space="preserve"> </w:t>
      </w:r>
      <w:r>
        <w:t xml:space="preserve">Com os efeitos fixos de UF,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t xml:space="preserve"> </w:t>
      </w:r>
      <w:r>
        <w:t xml:space="preserve">(IC 95%: [−0,1087; −0,1066]): 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capital humano, contexto de bairro e estado não explicam — limite inferior da</w:t>
      </w:r>
      <w:r>
        <w:t xml:space="preserve"> </w:t>
      </w:r>
      <w:r>
        <w:t xml:space="preserve">discriminação direta sob seleção em observáveis. O ICC cai para 0,144 e os</w:t>
      </w:r>
      <w:r>
        <w:t xml:space="preserve"> </w:t>
      </w:r>
      <w:r>
        <w:t xml:space="preserve">controles explicam 78,9% da variância entre bairros do M0.</w:t>
      </w:r>
    </w:p>
    <w:p>
      <w:pPr>
        <w:pStyle w:val="BodyText"/>
      </w:pPr>
      <w:r>
        <w:rPr>
          <w:b/>
          <w:bCs/>
        </w:rPr>
        <w:t xml:space="preserve">Dentro da mesma ocupação (M4).</w:t>
      </w:r>
      <w:r>
        <w:t xml:space="preserve"> </w:t>
      </w:r>
      <w:r>
        <w:t xml:space="preserve">Acrescentar vínculo e grupo CBO leva 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t xml:space="preserve"> </w:t>
      </w:r>
      <w:r>
        <w:t xml:space="preserve">(7,0%). A queda adicional — 16,6% do gap agregado — não é</w:t>
      </w:r>
      <w:r>
        <w:t xml:space="preserve"> </w:t>
      </w:r>
      <w:r>
        <w:t xml:space="preserve">“explicação”</w:t>
      </w:r>
      <w:r>
        <w:t xml:space="preserve">, é</w:t>
      </w:r>
      <w:r>
        <w:t xml:space="preserve"> </w:t>
      </w:r>
      <w:r>
        <w:t xml:space="preserve">canal</w:t>
      </w:r>
      <w:r>
        <w:t xml:space="preserve">: a ocupação é ela própria resultado da barreira de acesso</w:t>
      </w:r>
      <w:r>
        <w:t xml:space="preserve"> </w:t>
      </w:r>
      <w:r>
        <w:t xml:space="preserve">(Seção </w:t>
      </w:r>
      <w:hyperlink w:anchor="subsec:glmm_resultados">
        <w:r>
          <w:rPr>
            <w:rStyle w:val="Hyperlink"/>
          </w:rPr>
          <w:t xml:space="preserve">[subsec:glmm_resultados]</w:t>
        </w:r>
      </w:hyperlink>
      <w:r>
        <w:t xml:space="preserve">), por isso o M4 é um limite inferior descritivo.</w:t>
      </w:r>
    </w:p>
    <w:p>
      <w:pPr>
        <w:pStyle w:val="BodyText"/>
      </w:pPr>
      <w:r>
        <w:rPr>
          <w:b/>
          <w:bCs/>
        </w:rPr>
        <w:t xml:space="preserve">A penalidade varia entre bairros.</w:t>
      </w:r>
      <w:r>
        <w:t xml:space="preserve"> </w:t>
      </w:r>
      <w:r>
        <w:t xml:space="preserve">A inclinação 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 é significativa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38.657,</w:t>
      </w:r>
      <w:r>
        <w:t xml:space="preserve"> </w:t>
      </w:r>
      <w:r>
        <w:t xml:space="preserve">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, desvio-padrão de 0,171</w:t>
      </w:r>
      <w:r>
        <w:t xml:space="preserve"> </w:t>
      </w:r>
      <w:r>
        <w:t xml:space="preserve">log-pontos. Em bairros a um desvio-padrão da média a penalidade vai de</w:t>
      </w:r>
      <w:r>
        <w:t xml:space="preserve"> </w:t>
      </w:r>
      <w:r>
        <w:t xml:space="preserve">−0,280 a 0,063 log-pontos — a discriminação salarial tem geografia, e a</w:t>
      </w:r>
      <w:r>
        <w:t xml:space="preserve"> </w:t>
      </w:r>
      <w:r>
        <w:t xml:space="preserve">covariância intercepto–inclinação de −0,0245 indica que a penalidade é</w:t>
      </w:r>
      <w:r>
        <w:t xml:space="preserve"> </w:t>
      </w:r>
      <w:r>
        <w:t xml:space="preserve">maior nos bairros de renda-base 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 interceptos estimados para os bairros.</w:t>
      </w:r>
    </w:p>
    <w:bookmarkStart w:id="36" w:name="fig:hlm_blups"/>
    <w:p>
      <w:pPr>
        <w:pStyle w:val="CaptionedFigure"/>
      </w:pPr>
      <w:r>
        <w:drawing>
          <wp:inline>
            <wp:extent cx="5753100" cy="257341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573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36"/>
    <w:p>
      <w:pPr>
        <w:pStyle w:val="BodyText"/>
      </w:pP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p>
      <w:pPr>
        <w:pStyle w:val="BodyText"/>
      </w:pPr>
      <w:r>
        <w:rPr>
          <w:b/>
          <w:bCs/>
        </w:rPr>
        <w:t xml:space="preserve">Viés de variável omitida e sensibilidade.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99,0%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— mais forte que</w:t>
      </w:r>
      <w:r>
        <w:t xml:space="preserve"> </w:t>
      </w:r>
      <w:r>
        <w:t xml:space="preserve">qualquer covariável observada.</w:t>
      </w:r>
    </w:p>
    <w:bookmarkStart w:id="37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t xml:space="preserve">; 40.295 UPAs; 27 UFs). Coeficientes com erro-padrão do modelo entre parênteses (a correlação intra-UPA já está no efeito aleatório). Estimação por máxima verossimilhança (ML), para os testes LR entre degraus; REML coincide. Todos os coeficientes com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. Todos os coeficientes com |t| &gt; 10; a inferência relevante está nos intervalos de confiança, não nos asteriscos (MHE, cap. 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7,3022 (0,0029)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4,2579 (0,0051)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4,2885 (0,0046)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4,5538 (0,0116)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4,7525 (0,0093)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−0,1124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−0,1077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−0,0724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−0,2190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 (1,9e-05)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(1,1e-06)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−0,2007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−0,1986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−0,1821 (0,0034)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−0,0537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−0,0545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−0,0438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0,0537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−0,0034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−0,0033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−0,0030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−0,0043 (0,0033)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0,4237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0,2194 (0,0023)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0,6823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0,6818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0,6815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0,5979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0,4348 (0,0045)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0,3771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0,3347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0,2026 (0,0026)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−0,2189 (0,0017)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−0,2508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−0,1812 (0,0020)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−0,0542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−0,0338 (0,0015)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−0,0275 (0,0012)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−0,0052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 (0,0010)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0,1776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−0,1725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0,7777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0,8720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0,2639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0,1832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0,0892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0,1976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0,2294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0,9199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[−0,1135; −0,1113]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0,0430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15.356.451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15.356.555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15.385.190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15.365.702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15.357.275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13.730.465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2.366.315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19.536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8.838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1.627.001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7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38.657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t xml:space="preserve">.</w:t>
      </w:r>
    </w:p>
    <w:p>
      <w:pPr>
        <w:pStyle w:val="BodyText"/>
      </w:pPr>
      <w:r>
        <w:t xml:space="preserve">Fonte: Resultados originais da pesquisa.</w:t>
      </w:r>
    </w:p>
    <w:bookmarkEnd w:id="38"/>
    <w:bookmarkStart w:id="51" w:name="subsec:ml"/>
    <w:p>
      <w:pPr>
        <w:pStyle w:val="Ttulo2"/>
      </w:pPr>
      <w:r>
        <w:t xml:space="preserve">Modelos de Machine Learning e SHAP Values</w:t>
      </w:r>
    </w:p>
    <w:p>
      <w:pPr>
        <w:pStyle w:val="FirstParagraph"/>
      </w:pPr>
      <w:r>
        <w:t xml:space="preserve">A Tabela </w:t>
      </w:r>
      <w:hyperlink w:anchor="tab:ml_per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apresenta o desempenho preditivo dos dois modelos</w:t>
      </w:r>
      <w:r>
        <w:t xml:space="preserve"> </w:t>
      </w:r>
      <w:r>
        <w:t xml:space="preserve">sobre o conjunto de teste (</w:t>
      </w:r>
      <w:r>
        <w:t xml:space="preserve">hold-out</w:t>
      </w:r>
      <w:r>
        <w:t xml:space="preserve"> </w:t>
      </w:r>
      <w:r>
        <w:t xml:space="preserve">20%).</w:t>
      </w:r>
    </w:p>
    <w:bookmarkStart w:id="39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0,4218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0,5639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0,62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5</w:t>
        </w:r>
      </w:hyperlink>
      <w:r>
        <w:t xml:space="preserve">). A configuração escolhida (profundidade 10) alcança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t xml:space="preserve"> </w:t>
      </w:r>
      <w:r>
        <w:t xml:space="preserve">entre os</w:t>
      </w:r>
      <w:r>
        <w:t xml:space="preserve"> </w:t>
      </w:r>
      <w:r>
        <w:t xml:space="preserve">folds</w:t>
      </w:r>
      <w:r>
        <w:t xml:space="preserve">, contra</w:t>
      </w:r>
      <w:r>
        <w:t xml:space="preserve"> </w:t>
      </w:r>
      <w:r>
        <w:t xml:space="preserve">0,6143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0,0007 da profundidade 6 usada na versão anterior deste</w:t>
      </w:r>
      <w:r>
        <w:t xml:space="preserve"> </w:t>
      </w:r>
      <w:r>
        <w:t xml:space="preserve">trabalho, sem aumentar o sobreajuste. O desvio-padrão entre</w:t>
      </w:r>
      <w:r>
        <w:t xml:space="preserve"> </w:t>
      </w:r>
      <w:r>
        <w:t xml:space="preserve">folds</w:t>
      </w:r>
      <w:r>
        <w:t xml:space="preserve"> </w:t>
      </w:r>
      <w:r>
        <w:t xml:space="preserve">na quarta casa</w:t>
      </w:r>
      <w:r>
        <w:t xml:space="preserve"> </w:t>
      </w:r>
      <w:r>
        <w:t xml:space="preserve">decimal mostra que, com 6.155.355 observações de treino, o desempenho não depende de</w:t>
      </w:r>
      <w:r>
        <w:t xml:space="preserve"> </w:t>
      </w:r>
      <w:r>
        <w:t xml:space="preserve">qual parte dos dados é usada para validar — a validação cruzada aqui serve menos para</w:t>
      </w:r>
      <w:r>
        <w:t xml:space="preserve"> </w:t>
      </w:r>
      <w:r>
        <w:t xml:space="preserve">estimar incerteza e mais para justificar a especificação.</w:t>
      </w:r>
    </w:p>
    <w:bookmarkStart w:id="40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(atual)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</w:t>
            </w:r>
          </w:p>
        </w:tc>
      </w:tr>
    </w:tbl>
    <w:bookmarkEnd w:id="40"/>
    <w:bookmarkStart w:id="41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0,6281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0,5628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Anterior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0,5732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4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1,4 ponto percentual sem aumentar o</w:t>
      </w:r>
      <w:r>
        <w:t xml:space="preserve"> </w:t>
      </w:r>
      <w:r>
        <w:t xml:space="preserve">sobreajuste, e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é da ordem de 0,0007 — com 6,2 milhões de</w:t>
      </w:r>
      <w:r>
        <w:t xml:space="preserve"> </w:t>
      </w:r>
      <w:r>
        <w:t xml:space="preserve">observações de treino, o desempenho praticamente não depende de qual pedaço dos dados é</w:t>
      </w:r>
      <w:r>
        <w:t xml:space="preserve"> </w:t>
      </w:r>
      <w:r>
        <w:t xml:space="preserve">usado para validar. No 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t xml:space="preserve">.</w:t>
      </w:r>
      <w:r>
        <w:t xml:space="preserve"> </w:t>
      </w:r>
      <w:r>
        <w:t xml:space="preserve">Na unidade original, o erro mediano de previsão é de R$ 538 por mês</w:t>
      </w:r>
      <w:r>
        <w:t xml:space="preserve"> </w:t>
      </w:r>
      <w:r>
        <w:t xml:space="preserve">(37% do rendimento observado), com correção de Duan para a</w:t>
      </w:r>
      <w:r>
        <w:t xml:space="preserve"> </w:t>
      </w:r>
      <w:r>
        <w:t xml:space="preserve">retransformação do logaritmo.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R$ 538 por mês</w:t>
      </w:r>
      <w:r>
        <w:t xml:space="preserve">, ou 37%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Ausência de sobreajuste (população completa).</w:t>
      </w:r>
      <w:r>
        <w:t xml:space="preserve"> </w:t>
      </w:r>
      <w: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treino 80%/teste 20%),</w:t>
      </w:r>
      <w:r>
        <w:t xml:space="preserve"> </w:t>
      </w:r>
      <w:r>
        <w:t xml:space="preserve">o método não-paramétrico não apresenta</w:t>
      </w:r>
      <w:r>
        <w:t xml:space="preserve"> </w:t>
      </w:r>
      <w:r>
        <w:t xml:space="preserve">overfitting</w:t>
      </w:r>
      <w:r>
        <w:t xml:space="preserve">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de</w:t>
      </w:r>
      <w:r>
        <w:t xml:space="preserve"> </w:t>
      </w:r>
      <w:r>
        <w:t xml:space="preserve">teste praticamente coincidem (</w:t>
      </w:r>
      <w:r>
        <w:t xml:space="preserve">gap</w:t>
      </w:r>
      <w: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t xml:space="preserve"> </w:t>
      </w:r>
      <w:r>
        <w:t xml:space="preserve">para o XGBoost e</w:t>
      </w:r>
      <w:r>
        <w:t xml:space="preserve"> </w:t>
      </w:r>
      <w:r>
        <w:t xml:space="preserve">para o Random Forest). Três evidências convergem: o</w:t>
      </w:r>
      <w:r>
        <w:t xml:space="preserve"> </w:t>
      </w:r>
      <w:r>
        <w:t xml:space="preserve">gap</w:t>
      </w:r>
      <w:r>
        <w:t xml:space="preserve"> </w:t>
      </w:r>
      <w:r>
        <w:t xml:space="preserve">treino–teste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; a razão</w:t>
      </w:r>
      <w: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t xml:space="preserve"> </w:t>
      </w:r>
      <w:r>
        <w:t xml:space="preserve">complexidade (modelos regularizados sobre 7,7 milhões de</w:t>
      </w:r>
      <w:r>
        <w:t xml:space="preserve"> </w:t>
      </w:r>
      <w:r>
        <w:t xml:space="preserve">observações); e a estabilidade do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entre a subamostra de 20% e a</w:t>
      </w:r>
      <w:r>
        <w:t xml:space="preserve"> </w:t>
      </w:r>
      <w:r>
        <w:t xml:space="preserve">população (praticamente idêntico,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). Em suma,</w:t>
      </w:r>
      <w:r>
        <w:t xml:space="preserve"> </w:t>
      </w:r>
      <w:r>
        <w:t xml:space="preserve">ampliar</w:t>
      </w:r>
      <w:r>
        <w:t xml:space="preserve"> </w:t>
      </w:r>
      <w:r>
        <w:t xml:space="preserve">a base, de amostral para populacional,</w:t>
      </w:r>
      <w:r>
        <w:t xml:space="preserve"> </w:t>
      </w:r>
      <w:r>
        <w:t xml:space="preserve">reduz</w:t>
      </w:r>
      <w:r>
        <w:t xml:space="preserve"> </w:t>
      </w:r>
      <w:r>
        <w:t xml:space="preserve">— não aumenta — o risco de sobreajuste. A Tabela </w:t>
      </w:r>
      <w:hyperlink w:anchor="tab:shap_importanc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ranking completo das variáveis nos dois modelos.</w:t>
      </w:r>
    </w:p>
    <w:bookmarkStart w:id="42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0,25705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(centralizada)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</w:tbl>
    <w:bookmarkEnd w:id="42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 A Figura </w:t>
      </w:r>
      <w:hyperlink w:anchor="fig:shap_bee">
        <w:r>
          <w:rPr>
            <w:rStyle w:val="Hyperlink"/>
          </w:rPr>
          <w:t xml:space="preserve">[fig:shap_bee]</w:t>
        </w:r>
      </w:hyperlink>
      <w:r>
        <w:t xml:space="preserve"> </w:t>
      </w:r>
      <w:r>
        <w:t xml:space="preserve">mostra a distribuição dos valores de contribuição por variável.</w:t>
      </w:r>
    </w:p>
    <w:bookmarkStart w:id="46" w:name="fig:shap"/>
    <w:p>
      <w:pPr>
        <w:pStyle w:val="CaptionedFigure"/>
      </w:pPr>
      <w:r>
        <w:drawing>
          <wp:inline>
            <wp:extent cx="5753100" cy="452810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utputs/figures/shap_beeswarm_xgb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2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 e jornada dominam a previsão de renda; a raça aparece na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29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46"/>
    <w:p>
      <w:pPr>
        <w:pStyle w:val="BodyText"/>
      </w:pP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t xml:space="preserve">excluindo o próprio indivíduo</w:t>
      </w:r>
      <w:r>
        <w:t xml:space="preserve"> </w:t>
      </w:r>
      <w:r>
        <w:t xml:space="preserve">(</w:t>
      </w:r>
      <w: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t xml:space="preserve"> </w:t>
      </w:r>
      <w:r>
        <w:t xml:space="preserve">contra 0,628 do modelo completo) e, nele, a contribuição</w:t>
      </w:r>
      <w:r>
        <w:t xml:space="preserve"> </w:t>
      </w:r>
      <w:r>
        <w:t xml:space="preserve">média da raça é praticamente a mesma (0,031 contra 0,031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t xml:space="preserve">ranking</w:t>
      </w:r>
      <w:r>
        <w:t xml:space="preserve"> </w:t>
      </w:r>
      <w:r>
        <w:t xml:space="preserve">(17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28, contra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29), 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fatores, com SHAP</w:t>
      </w:r>
      <w:r>
        <w:t xml:space="preserve"> </w:t>
      </w:r>
      <w:r>
        <w:t xml:space="preserve">médio 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t xml:space="preserve"> </w:t>
      </w:r>
      <w:r>
        <w:t xml:space="preserve">para trabalhadores negros — equivalente a uma</w:t>
      </w:r>
      <w:r>
        <w:t xml:space="preserve"> </w:t>
      </w:r>
      <w:r>
        <w:t xml:space="preserve">penalidade de 4,6% sobre o rendimento predito que não pode ser atribuída</w:t>
      </w:r>
      <w:r>
        <w:t xml:space="preserve"> </w:t>
      </w:r>
      <w:r>
        <w:t xml:space="preserve">a diferenças em educação, experiência, gênero ou contexto de moradia. A Figura </w:t>
      </w:r>
      <w:hyperlink w:anchor="fig:shap_wf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ilustra como a previsão de um caso individual é composta.</w:t>
      </w:r>
    </w:p>
    <w:bookmarkStart w:id="50" w:name="fig:shap_wf"/>
    <w:p>
      <w:pPr>
        <w:pStyle w:val="CaptionedFigure"/>
      </w:pPr>
      <w:r>
        <w:drawing>
          <wp:inline>
            <wp:extent cx="3566922" cy="323730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922" cy="323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Como a previsão de um caso é construída: decomposição SHAP individual</w:t>
      </w:r>
      <w:r>
        <w:t xml:space="preserve"> </w:t>
      </w:r>
      <w:r>
        <w:t xml:space="preserve">(</w:t>
      </w:r>
      <w:r>
        <w:t xml:space="preserve">waterfall</w:t>
      </w:r>
      <w:r>
        <w:t xml:space="preserve">) de um trabalhador negro de baixa renda. Valores em log-pontos; a</w:t>
      </w:r>
      <w:r>
        <w:t xml:space="preserve"> </w:t>
      </w:r>
      <w:r>
        <w:t xml:space="preserve">contribuição da variável racial aparece isolada das demais.</w:t>
      </w:r>
    </w:p>
    <w:bookmarkEnd w:id="50"/>
    <w:p>
      <w:pPr>
        <w:pStyle w:val="BodyText"/>
      </w:pP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bookmarkEnd w:id="51"/>
    <w:bookmarkStart w:id="57" w:name="X03c9c993697b2951d32c364cc1a724101cab21e"/>
    <w:p>
      <w:pPr>
        <w:pStyle w:val="Ttulo2"/>
      </w:pP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19,1% (agregado) para 7,0% (M4).</w:t>
      </w:r>
      <w:r>
        <w:t xml:space="preserve"> </w:t>
      </w:r>
      <w:r>
        <w:t xml:space="preserve">Como ler:</w:t>
      </w:r>
      <w:r>
        <w:t xml:space="preserve"> </w:t>
      </w:r>
      <w:r>
        <w:t xml:space="preserve">acompanhe a coluna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aproximando-se de zero linha a linha — a fração do gap já</w:t>
      </w:r>
      <w:r>
        <w:t xml:space="preserve"> </w:t>
      </w:r>
      <w:r>
        <w:t xml:space="preserve">explicada aparece em</w:t>
      </w:r>
      <w:r>
        <w:t xml:space="preserve"> </w:t>
      </w:r>
      <w:r>
        <w:t xml:space="preserve">“Mediação acum.”</w:t>
      </w:r>
      <w:r>
        <w:t xml:space="preserve">; o que resta no M4 é a penalidade que</w:t>
      </w:r>
      <w:r>
        <w:t xml:space="preserve"> </w:t>
      </w:r>
      <w:r>
        <w:t xml:space="preserve">nenhum atributo observável explica.</w:t>
      </w:r>
    </w:p>
    <w:bookmarkStart w:id="52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−19,1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</w:tr>
    </w:tbl>
    <w:bookmarkEnd w:id="5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quase à metade. Do modelo agregado</w:t>
      </w:r>
      <w:r>
        <w:t xml:space="preserve"> </w:t>
      </w:r>
      <w:r>
        <w:t xml:space="preserve">ao M4 o gap cai de 19,1% para 7,0%: 65,9% do gap é mediado por</w:t>
      </w:r>
      <w:r>
        <w:t xml:space="preserve"> </w:t>
      </w:r>
      <w:r>
        <w:t xml:space="preserve">onde a pessoa mora, o estado e a ocupação que acessa — e a penalidade de 7,0% persiste</w:t>
      </w:r>
      <w:r>
        <w:t xml:space="preserve"> </w:t>
      </w:r>
      <w:r>
        <w:t xml:space="preserve">dentro da mesma ocupação (limite inferior, pois a ocupação é ela própria resultado da barreira de acesso).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Figura </w:t>
      </w:r>
      <w:hyperlink w:anchor="fig:hlm_ga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resume a sequência de degraus em barras.</w:t>
      </w:r>
    </w:p>
    <w:bookmarkStart w:id="56" w:name="fig:hlm_gap"/>
    <w:p>
      <w:pPr>
        <w:pStyle w:val="CaptionedFigure"/>
      </w:pPr>
      <w:r>
        <w:drawing>
          <wp:inline>
            <wp:extent cx="5292852" cy="2571773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puts/figures/fig_hlm_gap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852" cy="257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Metade do gap racial desaparece ao comparar pessoas do mesmo bairro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56"/>
    <w:p>
      <w:pPr>
        <w:pStyle w:val="BodyText"/>
      </w:pP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7"/>
    <w:bookmarkStart w:id="63" w:name="X0e69078f56ff2fc58d4b5157c72cc4a5dec12bc"/>
    <w:p>
      <w:pPr>
        <w:pStyle w:val="Ttulo2"/>
      </w:pPr>
      <w:r>
        <w:t xml:space="preserve">Decomposição de Oaxaca–Blinder: composição</w:t>
      </w:r>
      <w:r>
        <w:t xml:space="preserve"> </w:t>
      </w:r>
      <w: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A decomposição de Oaxaca–Blinder separa o gap bruto de log-rendimento</w:t>
      </w:r>
      <w:r>
        <w:t xml:space="preserve"> </w:t>
      </w:r>
      <w:r>
        <w:t xml:space="preserve">(0,4255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t xml:space="preserve">bad controls</w:t>
      </w:r>
      <w:r>
        <w:t xml:space="preserve"> </w:t>
      </w:r>
      <w:r>
        <w:t xml:space="preserve">(Angrist &amp; Pischke, 2009):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 e contexto de UPA), 28,4% do gap não é explicado por</w:t>
      </w:r>
      <w:r>
        <w:t xml:space="preserve"> </w:t>
      </w:r>
      <w:r>
        <w:t xml:space="preserve">características observáveis; em (B), tratando também horas, formalidade e grupo</w:t>
      </w:r>
      <w:r>
        <w:t xml:space="preserve"> </w:t>
      </w:r>
      <w:r>
        <w:t xml:space="preserve">CBO como dotações, a parcela não explicada cai para 16,2% — a</w:t>
      </w:r>
      <w:r>
        <w:t xml:space="preserve"> </w:t>
      </w:r>
      <w:r>
        <w:t xml:space="preserve">discriminação salarial</w:t>
      </w:r>
      <w:r>
        <w:t xml:space="preserve"> </w:t>
      </w:r>
      <w: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(12,2 pontos percentuais) é a parcela da discriminação que opera pela</w:t>
      </w:r>
      <w:r>
        <w:t xml:space="preserve"> </w:t>
      </w:r>
      <w: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</w:t>
      </w:r>
      <w:r>
        <w:t xml:space="preserve"> </w:t>
      </w:r>
      <w:r>
        <w:t xml:space="preserve">Como ler:</w:t>
      </w:r>
      <w:r>
        <w:t xml:space="preserve"> </w:t>
      </w:r>
      <w:r>
        <w:t xml:space="preserve">em cada coluna,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</w:t>
      </w:r>
      <w:r>
        <w:t xml:space="preserve"> </w:t>
      </w:r>
      <w:r>
        <w:t xml:space="preserve">explicado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;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 &amp; Belfiore, cap. 12).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0,061</w:t>
      </w:r>
      <w:r>
        <w:t xml:space="preserve"> </w:t>
      </w:r>
      <w:r>
        <w:t xml:space="preserve">(brancos) e 0,065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0,0009 (brancos) e 0,0038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58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 e contexto de UPA — os mesmos controles do HLM M3;</w:t>
      </w:r>
      <w:r>
        <w:t xml:space="preserve"> </w:t>
      </w:r>
      <w:r>
        <w:t xml:space="preserve">a parcela não explicada é comparável à da literatura. (B) </w:t>
      </w:r>
      <w:r>
        <w:rPr>
          <w:i/>
          <w:iCs/>
        </w:rPr>
        <w:t xml:space="preserve">Acesso</w:t>
      </w:r>
      <w:r>
        <w:t xml:space="preserve">: (A) + horas,</w:t>
      </w:r>
      <w:r>
        <w:t xml:space="preserve"> </w:t>
      </w:r>
      <w:r>
        <w:t xml:space="preserve">formalidade e grupo CBO tratados como dotações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1). População completa da PEA com renda positiva (N = 7.694.198; 40.96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0,3046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0,3566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0,1209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0,0689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Figura </w:t>
      </w:r>
      <w:hyperlink w:anchor="fig:ob_cascata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apresenta as duas especificações em forma de cascata.</w:t>
      </w:r>
    </w:p>
    <w:bookmarkStart w:id="62" w:name="fig:ob_cascata"/>
    <w:p>
      <w:pPr>
        <w:pStyle w:val="CaptionedFigure"/>
      </w:pPr>
      <w:r>
        <w:drawing>
          <wp:inline>
            <wp:extent cx="5465445" cy="219617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ob_cascat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19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derruba pela metade a discriminação</w:t>
      </w:r>
      <w:r>
        <w:t xml:space="preserve"> </w:t>
      </w:r>
      <w:r>
        <w:t xml:space="preserve">medida: de 28,4% para 16,2% do gap. A parcela que some é a que opera</w:t>
      </w:r>
      <w:r>
        <w:t xml:space="preserve"> </w:t>
      </w:r>
      <w:r>
        <w:t xml:space="preserve">na porta de entrada das ocupações — medida adiante pelo modelo de acesso.</w:t>
      </w:r>
    </w:p>
    <w:bookmarkEnd w:id="62"/>
    <w:p>
      <w:pPr>
        <w:pStyle w:val="BodyText"/>
      </w:pP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63"/>
    <w:bookmarkStart w:id="70" w:name="subsec:qr_rif"/>
    <w:p>
      <w:pPr>
        <w:pStyle w:val="Ttulo2"/>
      </w:pPr>
      <w:r>
        <w:t xml:space="preserve">Regressão Quantílica e RIF-OB: teto de vidro e</w:t>
      </w:r>
      <w:r>
        <w:t xml:space="preserve"> </w:t>
      </w:r>
      <w:r>
        <w:t xml:space="preserve">sticky floor</w:t>
      </w:r>
    </w:p>
    <w:p>
      <w:pPr>
        <w:pStyle w:val="FirstParagraph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 gap crescendo ao longo da distribuição (teto de vidro no gap bruto);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t xml:space="preserve">sticky floor</w:t>
      </w:r>
      <w:r>
        <w:t xml:space="preserve">).</w:t>
      </w:r>
      <w:r>
        <w:t xml:space="preserve"> </w:t>
      </w:r>
      <w: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10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em cada quantil; siga a coluna Retornos caindo de</w:t>
      </w:r>
      <w: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(q10)</w:t>
      </w:r>
      <w:r>
        <w:t xml:space="preserve"> </w:t>
      </w:r>
      <w:r>
        <w:t xml:space="preserve">a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 — a discriminação de preço pesa mais na base.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t xml:space="preserve">distribuição</w:t>
      </w:r>
      <w:r>
        <w:t xml:space="preserve"> </w:t>
      </w:r>
      <w:r>
        <w:t xml:space="preserve">de características.</w:t>
      </w:r>
    </w:p>
    <w:bookmarkStart w:id="64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t xml:space="preserve"> </w:t>
            </w:r>
            <w:r>
              <w:t xml:space="preserve">(0.0012)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4"/>
    <w:p>
      <w:pPr>
        <w:pStyle w:val="BodyText"/>
      </w:pPr>
      <w:r>
        <w:t xml:space="preserve">Fonte: Resultados originais da pesquisa.</w:t>
      </w:r>
    </w:p>
    <w:bookmarkStart w:id="65" w:name="tab:rif_ob"/>
    <w:p>
      <w:pPr>
        <w:pStyle w:val="TableCaption"/>
      </w:pPr>
      <w:r>
        <w:t xml:space="preserve">Decomposição RIF-OB (Firpo, Fortin &amp; Lemieux, 2018) 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Dotações: diferença de características observáveis (capital humano, ocupação,</w:t>
      </w:r>
      <w:r>
        <w:t xml:space="preserve"> </w:t>
      </w:r>
      <w:r>
        <w:t xml:space="preserve">contexto). Retornos: parcela não explicada (componente discriminatório).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em cada quantil.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o componente de retornos</w:t>
      </w:r>
      <w:r>
        <w:t xml:space="preserve"> </w:t>
      </w:r>
      <w:r>
        <w:t xml:space="preserve">(discriminação de mercado) 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0,559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 (0,8)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0,310 (0,009)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68,8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0,378 (0,008)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0,470 (0,010)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 (1,1)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0,483 (0,011)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87,1 (1,9)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</w:tbl>
    <w:bookmarkEnd w:id="65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Figura </w:t>
      </w:r>
      <w:hyperlink w:anchor="fig:qr_ri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põe os dois ângulos lado a lado.</w:t>
      </w:r>
    </w:p>
    <w:bookmarkStart w:id="69" w:name="fig:qr_rif"/>
    <w:p>
      <w:pPr>
        <w:pStyle w:val="CaptionedFigure"/>
      </w:pPr>
      <w:r>
        <w:drawing>
          <wp:inline>
            <wp:extent cx="5638038" cy="2163165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puts/figures/fig_qr_rif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038" cy="21631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 piso pegajoso são o mesmo fenômeno visto de dois ângulos.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t xml:space="preserve">incondicionais</w:t>
      </w:r>
      <w:r>
        <w:t xml:space="preserve"> </w:t>
      </w:r>
      <w:r>
        <w:t xml:space="preserve">da renda é maior na base.</w:t>
      </w:r>
    </w:p>
    <w:bookmarkEnd w:id="69"/>
    <w:p>
      <w:pPr>
        <w:pStyle w:val="BodyText"/>
      </w:pPr>
      <w:r>
        <w:t xml:space="preserve">à esquerda, cada ponto é a penalidade racial estimada num quantil</w:t>
      </w:r>
      <w:r>
        <w:t xml:space="preserve"> </w:t>
      </w:r>
      <w: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70"/>
    <w:bookmarkStart w:id="77" w:name="subsec:glmm_resultados"/>
    <w:p>
      <w:pPr>
        <w:pStyle w:val="Ttulo2"/>
      </w:pPr>
      <w:r>
        <w:t xml:space="preserve">GLMM logístico: o teto de vidro no acesso</w:t>
      </w:r>
    </w:p>
    <w:p>
      <w:pPr>
        <w:pStyle w:val="FirstParagraph"/>
      </w:pPr>
      <w:r>
        <w:t xml:space="preserve">O modelo logístico multinível (</w:t>
      </w:r>
      <w:r>
        <w:rPr>
          <w:rStyle w:val="VerbatimChar"/>
        </w:rPr>
        <w:t xml:space="preserve">lme4::glmer</w:t>
      </w:r>
      <w:r>
        <w:t xml:space="preserve">, intercepto aleatório de UPA e</w:t>
      </w:r>
      <w:r>
        <w:t xml:space="preserve"> </w:t>
      </w:r>
      <w:r>
        <w:t xml:space="preserve">efeitos fixos de UF, estimado por Laplace na população completa) modela a probabilidade</w:t>
      </w:r>
      <w:r>
        <w:t xml:space="preserve"> </w:t>
      </w:r>
      <w:r>
        <w:t xml:space="preserve">de três desfechos — cargo qualificado (CBO 1–4), renda no top 20% e no top 10% —</w:t>
      </w:r>
      <w:r>
        <w:t xml:space="preserve"> </w:t>
      </w:r>
      <w:r>
        <w:t xml:space="preserve">em quatro degraus paralelos aos do HLM: M1 individual, M2 + contexto do bairro, M3 +</w:t>
      </w:r>
      <w:r>
        <w:t xml:space="preserve"> </w:t>
      </w:r>
      <w:r>
        <w:t xml:space="preserve">vínculo (formalidade, setor público, conta própria, doméstico —</w:t>
      </w:r>
      <w:r>
        <w:t xml:space="preserve"> </w:t>
      </w:r>
      <w:r>
        <w:t xml:space="preserve">bad controls</w:t>
      </w:r>
      <w:r>
        <w:t xml:space="preserve">,</w:t>
      </w:r>
      <w:r>
        <w:t xml:space="preserve"> </w:t>
      </w:r>
      <w:r>
        <w:t xml:space="preserve">logo limite inferior) e M4 +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traz</w:t>
      </w:r>
      <w:r>
        <w:t xml:space="preserve"> </w:t>
      </w:r>
      <w: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12</w:t>
        </w:r>
      </w:hyperlink>
      <w:r>
        <w:t xml:space="preserve">, o ajuste e o desempenho de classificação.</w:t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No M1, a correlação intraclasse latente é de</w:t>
      </w:r>
      <w:r>
        <w:t xml:space="preserve"> </w:t>
      </w:r>
      <w:r>
        <w:t xml:space="preserve">0,198 para o cargo qualificado e 0,350 para o top 10%: entre</w:t>
      </w:r>
      <w:r>
        <w:t xml:space="preserve"> </w:t>
      </w:r>
      <w:r>
        <w:t xml:space="preserve">20% e 35% da variância latente do acesso está entre</w:t>
      </w:r>
      <w:r>
        <w:t xml:space="preserve"> </w:t>
      </w:r>
      <w:r>
        <w:t xml:space="preserve">bairros. O teste de razão de verossimilhança do M2 contra o logit sem efeito aleatório</w:t>
      </w:r>
      <w:r>
        <w:t xml:space="preserve"> </w:t>
      </w:r>
      <w:r>
        <w:t xml:space="preserve">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411.007 para o cargo; 337.418 para o top 10%, 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</w:t>
      </w:r>
      <w:r>
        <w:t xml:space="preserve"> </w:t>
      </w:r>
      <w:r>
        <w:t xml:space="preserve">mostra que o efeito aleatório de UPA é indispensável — o logit</w:t>
      </w:r>
      <w:r>
        <w:t xml:space="preserve"> </w:t>
      </w:r>
      <w:r>
        <w:t xml:space="preserve">pooled</w:t>
      </w:r>
      <w:r>
        <w:t xml:space="preserve"> </w:t>
      </w:r>
      <w:r>
        <w:t xml:space="preserve">trataria</w:t>
      </w:r>
      <w:r>
        <w:t xml:space="preserve"> </w:t>
      </w:r>
      <w:r>
        <w:t xml:space="preserve">como independentes pessoas do mesmo mercado local.</w:t>
      </w:r>
    </w:p>
    <w:p>
      <w:pPr>
        <w:pStyle w:val="BodyText"/>
      </w:pPr>
      <w:r>
        <w:rPr>
          <w:b/>
          <w:bCs/>
        </w:rPr>
        <w:t xml:space="preserve">A porta é mais estreita para negros — e mais ainda no topo.</w:t>
      </w:r>
      <w:r>
        <w:t xml:space="preserve"> </w:t>
      </w:r>
      <w:r>
        <w:t xml:space="preserve">No M2,</w:t>
      </w:r>
      <w:r>
        <w:t xml:space="preserve"> </w:t>
      </w:r>
      <w:r>
        <w:t xml:space="preserve">controlados escolaridade, sexo, idade, horas, estado e contexto do bairro, a chance de</w:t>
      </w:r>
      <w:r>
        <w:t xml:space="preserve"> </w:t>
      </w:r>
      <w: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t xml:space="preserve"> 0,699 (IC 95%</w:t>
      </w:r>
      <w:r>
        <w:t xml:space="preserve"> </w:t>
      </w:r>
      <w:r>
        <w:t xml:space="preserve">0,696–0,702) da de um branco do mesmo bairro —</w:t>
      </w:r>
      <w:r>
        <w:t xml:space="preserve"> </w:t>
      </w:r>
      <w:r>
        <w:rPr>
          <w:b/>
          <w:bCs/>
        </w:rPr>
        <w:t xml:space="preserve">30% menos</w:t>
      </w:r>
      <w:r>
        <w:rPr>
          <w:b/>
          <w:bCs/>
        </w:rPr>
        <w:t xml:space="preserve"> </w:t>
      </w:r>
      <w:r>
        <w:rPr>
          <w:b/>
          <w:bCs/>
        </w:rPr>
        <w:t xml:space="preserve">chance</w:t>
      </w:r>
      <w:r>
        <w:t xml:space="preserve">, ou 5,5 pontos percentuais de probabilidade. No top 20% da renda o</w:t>
      </w:r>
      <w:r>
        <w:t xml:space="preserve"> </w:t>
      </w:r>
      <w:r>
        <w:t xml:space="preserve">OR é 0,688 e no top 10%, 0,654 (35% menos chance): o</w:t>
      </w:r>
      <w:r>
        <w:t xml:space="preserve"> </w:t>
      </w:r>
      <w:r>
        <w:t xml:space="preserve">teto se aperta à medida que se sobe.</w:t>
      </w:r>
      <w:r>
        <w:t xml:space="preserve"> </w:t>
      </w:r>
      <w: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é desvantagem; o AME traduz</w:t>
      </w:r>
      <w:r>
        <w:t xml:space="preserve"> </w:t>
      </w:r>
      <w:r>
        <w:t xml:space="preserve">o OR em probabilidade e é a medida a reter (MHE, cap. 3).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Descontar o vínculo</w:t>
      </w:r>
      <w:r>
        <w:t xml:space="preserve"> </w:t>
      </w:r>
      <w:r>
        <w:t xml:space="preserve">empregatício (M3) muda pouco o OR do cargo qualificado (0,691) e do top 10%</w:t>
      </w:r>
      <w:r>
        <w:t xml:space="preserve"> </w:t>
      </w:r>
      <w:r>
        <w:t xml:space="preserve">(0,656): a barreira não é um artefato da informalidade. No M4, a interação com</w:t>
      </w:r>
      <w:r>
        <w:t xml:space="preserve"> </w:t>
      </w:r>
      <w:r>
        <w:t xml:space="preserve">a credencial é OR </w:t>
      </w:r>
      <m:oMath>
        <m:r>
          <m:rPr>
            <m:sty m:val="p"/>
          </m:rPr>
          <m:t>=</m:t>
        </m:r>
      </m:oMath>
      <w:r>
        <w:t xml:space="preserve"> 1,069 para o superior completo e 1,060 para</w:t>
      </w:r>
      <w:r>
        <w:t xml:space="preserve"> </w:t>
      </w:r>
      <w:r>
        <w:t xml:space="preserve">a pós-graduação: o diploma atenua a penalidade sem eliminá-la, e o OR combinado do negro com superior</w:t>
      </w:r>
      <w:r>
        <w:t xml:space="preserve"> </w:t>
      </w:r>
      <w:r>
        <w:t xml:space="preserve">completo é 0,735 — a credencial não neutraliza a barreira de acesso. A Figura </w:t>
      </w:r>
      <w:hyperlink w:anchor="fig:glmm_or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reúne as razões de chance dos três desfechos e dos modelos de cada um.</w:t>
      </w:r>
    </w:p>
    <w:p>
      <w:pPr>
        <w:pStyle w:val="BodyText"/>
      </w:pPr>
      <w:r>
        <w:rPr>
          <w:b/>
          <w:bCs/>
        </w:rPr>
        <w:t xml:space="preserve">Ajuste e classificação.</w:t>
      </w:r>
      <w:r>
        <w:t xml:space="preserve"> </w:t>
      </w:r>
      <w:r>
        <w:t xml:space="preserve">O M2 discrimina bem os desfechos: AUC de</w:t>
      </w:r>
      <w:r>
        <w:t xml:space="preserve"> </w:t>
      </w:r>
      <w:r>
        <w:t xml:space="preserve">0,831 (com efeitos aleatórios) e 0,790 (só efeitos fixos) para o</w:t>
      </w:r>
      <w:r>
        <w:t xml:space="preserve"> </w:t>
      </w:r>
      <w:r>
        <w:t xml:space="preserve">cargo qualificado; no</w:t>
      </w:r>
      <w:r>
        <w:t xml:space="preserve"> </w:t>
      </w:r>
      <w:r>
        <w:t xml:space="preserve">cutoff</w:t>
      </w:r>
      <w:r>
        <w:t xml:space="preserve"> </w:t>
      </w:r>
      <w:r>
        <w:t xml:space="preserve">de Youden (0,30) a sensibilidade é</w:t>
      </w:r>
      <w:r>
        <w:t xml:space="preserve"> </w:t>
      </w:r>
      <w:r>
        <w:t xml:space="preserve">0,82 e a especificidade 0,68. O teste de Hosmer–Lemeshow</w:t>
      </w:r>
      <w:r>
        <w:t xml:space="preserve"> </w:t>
      </w:r>
      <w:r>
        <w:t xml:space="preserve">rejeita a calibração perfeita em todos os degraus — inevitável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</w:t>
      </w:r>
      <w:r>
        <w:t xml:space="preserve"> </w:t>
      </w:r>
      <w:r>
        <w:t xml:space="preserve">(MHE, cap. 8) —, mas a estatística cai a cerca de metade quando se acrescenta o</w:t>
      </w:r>
      <w:r>
        <w:t xml:space="preserve"> </w:t>
      </w:r>
      <w:r>
        <w:t xml:space="preserve">vínculo (M3), sinal de calibração melhor; entre M1 e M2 ela praticamente não muda. O logit com efeitos fixos de UF e erro-padrão agrupado por UPA (última coluna</w:t>
      </w:r>
      <w:r>
        <w:t xml:space="preserve"> </w:t>
      </w:r>
      <w:r>
        <w:t xml:space="preserve">da Tabela </w:t>
      </w:r>
      <w:hyperlink w:anchor="tab:glmm_glassceil">
        <w:r>
          <w:rPr>
            <w:rStyle w:val="Hyperlink"/>
          </w:rPr>
          <w:t xml:space="preserve">11</w:t>
        </w:r>
      </w:hyperlink>
      <w:r>
        <w:t xml:space="preserve">) reproduz os OR do GLMM: a conclusão não depende da</w:t>
      </w:r>
      <w:r>
        <w:t xml:space="preserve"> </w:t>
      </w:r>
      <w:r>
        <w:t xml:space="preserve">hipótese de efeitos aleatórios.</w:t>
      </w:r>
    </w:p>
    <w:bookmarkStart w:id="74" w:name="fig:glmm_or"/>
    <w:p>
      <w:pPr>
        <w:pStyle w:val="CaptionedFigure"/>
      </w:pPr>
      <w:r>
        <w:drawing>
          <wp:inline>
            <wp:extent cx="5465445" cy="253615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puts/figures/fig_glmm_or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2536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(M2).</w:t>
      </w:r>
    </w:p>
    <w:bookmarkEnd w:id="74"/>
    <w:p>
      <w:pPr>
        <w:pStyle w:val="BodyText"/>
      </w:pP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75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 M3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 [0,696; 0,702]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[0,684;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0,680 [0,677; 0,683]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[0,685;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0,690 [0,687; 0,693]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0,689 [0,685; 0,692]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 [0,639; 0,647]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0,654 [0,650; 0,659]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 [0,651; 0,660]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0,661 [0,657; 0,666]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0,664</w:t>
            </w:r>
          </w:p>
        </w:tc>
      </w:tr>
    </w:tbl>
    <w:bookmarkEnd w:id="7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p>
      <w:pPr>
        <w:pStyle w:val="BodyText"/>
      </w:pPr>
      <w:r>
        <w:t xml:space="preserve">Fonte: Resultados originais da pesquisa.</w:t>
      </w:r>
    </w:p>
    <w:bookmarkStart w:id="76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M2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7.059.978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411.007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469.691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337.418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1.869</w:t>
            </w:r>
          </w:p>
        </w:tc>
      </w:tr>
    </w:tbl>
    <w:bookmarkEnd w:id="76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A Tabela </w:t>
      </w:r>
      <w:hyperlink w:anchor="tab:interseccional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decompõe o diferencial de cada grupo contra o homem branco.</w:t>
      </w:r>
    </w:p>
    <w:bookmarkEnd w:id="77"/>
    <w:bookmarkStart w:id="84" w:name="X1df7cc4eb0c7cc9fb7ddad12c1316189c49cc50"/>
    <w:p>
      <w:pPr>
        <w:pStyle w:val="Ttulo2"/>
      </w:pPr>
      <w:r>
        <w:t xml:space="preserve">Interseccionalidade: raça e gênero no acesso e no topo</w:t>
      </w:r>
    </w:p>
    <w:bookmarkStart w:id="78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Penalidade</w:t>
      </w:r>
      <w:r>
        <w:t xml:space="preserve"> </w:t>
      </w:r>
      <w:r>
        <w:t xml:space="preserve">extra: o quanto o gap da Mulher Negra excede a soma das penalidades de raça e de gênero</w:t>
      </w:r>
      <w:r>
        <w:t xml:space="preserve"> </w:t>
      </w:r>
      <w:r>
        <w:t xml:space="preserve">isoladas (efeito interseccional puro, Crenshaw, 1989).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Penal. extra (p.p.)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1.423.994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2.664.739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80,6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1.769.943</w:t>
            </w:r>
          </w:p>
        </w:tc>
      </w:tr>
    </w:tbl>
    <w:bookmarkEnd w:id="7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 e ainda uma penalidade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que não se reduz à soma de</w:t>
      </w:r>
      <w:r>
        <w:t xml:space="preserve"> </w:t>
      </w:r>
      <w:r>
        <w:t xml:space="preserve">“ser negro”</w:t>
      </w:r>
      <w:r>
        <w:t xml:space="preserve"> </w:t>
      </w:r>
      <w:r>
        <w:t xml:space="preserve">e</w:t>
      </w:r>
      <w:r>
        <w:t xml:space="preserve"> </w:t>
      </w:r>
      <w:r>
        <w:t xml:space="preserve">“ser mulher”</w:t>
      </w:r>
      <w:r>
        <w:t xml:space="preserve"> </w:t>
      </w:r>
      <w:r>
        <w:t xml:space="preserve">— a marca da interseccionalidade.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1.835.522 homens brancos.</w:t>
      </w:r>
    </w:p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bookmarkStart w:id="79" w:name="subsec:interseccional"/>
      <w:bookmarkEnd w:id="79"/>
    </w:p>
    <w:p>
      <w:pPr>
        <w:pStyle w:val="BodyText"/>
      </w:pPr>
      <w:r>
        <w:t xml:space="preserve">Os modelos anteriores tratam raça e gênero de forma aditiva. Uma leitura</w:t>
      </w:r>
      <w:r>
        <w:t xml:space="preserve"> </w:t>
      </w:r>
      <w:r>
        <w:t xml:space="preserve">interseccional</w:t>
      </w:r>
      <w:r>
        <w:t xml:space="preserve"> </w:t>
      </w:r>
      <w:r>
        <w:t xml:space="preserve">pergunta se a desvantagem de ser negra</w:t>
      </w:r>
      <w:r>
        <w:t xml:space="preserve"> </w:t>
      </w:r>
      <w:r>
        <w:t xml:space="preserve">e</w:t>
      </w:r>
      <w:r>
        <w:t xml:space="preserve"> </w:t>
      </w:r>
      <w:r>
        <w:t xml:space="preserve">mulher é a</w:t>
      </w:r>
      <w:r>
        <w:t xml:space="preserve"> </w:t>
      </w:r>
      <w:r>
        <w:t xml:space="preserve">soma das partes. Reespecificamos o GLMM de acesso com um fator de quatro grupos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grupo_rg</w:t>
      </w:r>
      <w:r>
        <w:t xml:space="preserve">: homem branco [referência], mulher branca, homem negro, mulher</w:t>
      </w:r>
      <w:r>
        <w:t xml:space="preserve"> </w:t>
      </w:r>
      <w:r>
        <w:t xml:space="preserve">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acesso a</w:t>
      </w:r>
      <w:r>
        <w:t xml:space="preserve"> </w:t>
      </w:r>
      <w:r>
        <w:t xml:space="preserve">ocupação qualificada (CBO 1–4), renda no top 20% e no top 10%. A Tabela </w:t>
      </w:r>
      <w:hyperlink w:anchor="tab:interseccional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, as razões de chance nos três desfechos.</w:t>
      </w:r>
    </w:p>
    <w:bookmarkStart w:id="83" w:name="fig:interseccional"/>
    <w:p>
      <w:pPr>
        <w:pStyle w:val="CaptionedFigure"/>
      </w:pPr>
      <w:r>
        <w:drawing>
          <wp:inline>
            <wp:extent cx="4717542" cy="3119503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542" cy="311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t xml:space="preserve">vs.</w:t>
      </w:r>
      <w:r>
        <w:t xml:space="preserve"> homem</w:t>
      </w:r>
      <w:r>
        <w:t xml:space="preserve"> </w:t>
      </w:r>
      <w:r>
        <w:t xml:space="preserve">branco, em três desfechos. A mulher negra é</w:t>
      </w:r>
      <w:r>
        <w:t xml:space="preserve"> </w:t>
      </w:r>
      <w:r>
        <w:t xml:space="preserve">alçada</w:t>
      </w:r>
      <w:r>
        <w:t xml:space="preserve"> </w:t>
      </w:r>
      <w:r>
        <w:t xml:space="preserve">no acesso à categoria,</w:t>
      </w:r>
      <w:r>
        <w:t xml:space="preserve"> </w:t>
      </w:r>
      <w:r>
        <w:t xml:space="preserve">mas torna-se a</w:t>
      </w:r>
      <w:r>
        <w:t xml:space="preserve"> </w:t>
      </w:r>
      <w:r>
        <w:t xml:space="preserve">mais excluída</w:t>
      </w:r>
      <w:r>
        <w:t xml:space="preserve"> </w:t>
      </w:r>
      <w:r>
        <w:t xml:space="preserve">no topo da renda.</w:t>
      </w:r>
    </w:p>
    <w:bookmarkEnd w:id="83"/>
    <w:p>
      <w:pPr>
        <w:pStyle w:val="BodyText"/>
      </w:pPr>
      <w:r>
        <w:t xml:space="preserve">cada barra é um grupo raça</w:t>
      </w:r>
      <m:oMath>
        <m:r>
          <m:rPr>
            <m:sty m:val="p"/>
          </m:rPr>
          <m:t>×</m:t>
        </m:r>
      </m:oMath>
      <w:r>
        <w:t xml:space="preserve">gênero; a altura é o gap vs. o homem branco — a mulher negra acumula as duas penalidades.</w:t>
      </w:r>
    </w:p>
    <w:p>
      <w:pPr>
        <w:pStyle w:val="BodyText"/>
      </w:pPr>
      <w:r>
        <w:t xml:space="preserve">O resultado revela uma</w:t>
      </w:r>
      <w:r>
        <w:t xml:space="preserve"> </w:t>
      </w:r>
      <w:r>
        <w:rPr>
          <w:b/>
          <w:bCs/>
        </w:rPr>
        <w:t xml:space="preserve">inversão</w:t>
      </w:r>
      <w:r>
        <w:t xml:space="preserve"> </w:t>
      </w:r>
      <w: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). No</w:t>
      </w:r>
      <w:r>
        <w:t xml:space="preserve"> </w:t>
      </w:r>
      <w:r>
        <w:rPr>
          <w:b/>
          <w:bCs/>
        </w:rPr>
        <w:t xml:space="preserve">acesso à categoria</w:t>
      </w:r>
      <w:r>
        <w:t xml:space="preserve"> </w:t>
      </w:r>
      <w: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acima</w:t>
      </w:r>
      <w:r>
        <w:t xml:space="preserve"> </w:t>
      </w:r>
      <w:r>
        <w:t xml:space="preserve">do homem branco —, porque o efeito de gênero é positivo nesse</w:t>
      </w:r>
      <w:r>
        <w:t xml:space="preserve"> </w:t>
      </w:r>
      <w:r>
        <w:t xml:space="preserve">desfecho (profissões credenciadas feminizadas, em CBO 1–4); o grupo mais penalizado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No</w:t>
      </w:r>
      <w:r>
        <w:t xml:space="preserve"> </w:t>
      </w:r>
      <w:r>
        <w:rPr>
          <w:b/>
          <w:bCs/>
        </w:rPr>
        <w:t xml:space="preserve">topo da renda</w:t>
      </w:r>
      <w:r>
        <w:t xml:space="preserve">,</w:t>
      </w:r>
      <w:r>
        <w:t xml:space="preserve"> </w:t>
      </w:r>
      <w:r>
        <w:t xml:space="preserve">porém, o quadro</w:t>
      </w:r>
      <w:r>
        <w:t xml:space="preserve"> </w:t>
      </w:r>
      <w:r>
        <w:t xml:space="preserve">inverte</w:t>
      </w:r>
      <w:r>
        <w:t xml:space="preserve">: a mulher negra passa a ser a</w:t>
      </w:r>
      <w:r>
        <w:t xml:space="preserve"> </w:t>
      </w:r>
      <w:r>
        <w:rPr>
          <w:b/>
          <w:bCs/>
        </w:rPr>
        <w:t xml:space="preserve">mais excluída</w:t>
      </w:r>
      <w:r>
        <w:t xml:space="preserve"> </w:t>
      </w:r>
      <w: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 </w:t>
      </w:r>
      <w:r>
        <w:t xml:space="preserve">no decil superior, abaixo da mulher branca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A</w:t>
      </w:r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t xml:space="preserve">sub-aditiva</w:t>
      </w:r>
      <w:r>
        <w:t xml:space="preserve"> </w:t>
      </w:r>
      <w:r>
        <w:t xml:space="preserve">em todos os desfechos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no top 10%):</w:t>
      </w:r>
      <w:r>
        <w:t xml:space="preserve"> </w:t>
      </w:r>
      <w:r>
        <w:t xml:space="preserve">a penalidade racial é ligeiramente menor entre mulheres, mas isso não impede que a</w:t>
      </w:r>
      <w:r>
        <w:t xml:space="preserve"> </w:t>
      </w:r>
      <w:r>
        <w:t xml:space="preserve">mulher negra acumule a barreira racial</w:t>
      </w:r>
      <w:r>
        <w:t xml:space="preserve"> </w:t>
      </w:r>
      <w:r>
        <w:t xml:space="preserve">e</w:t>
      </w:r>
      <w:r>
        <w:t xml:space="preserve"> </w:t>
      </w:r>
      <w:r>
        <w:t xml:space="preserve">o teto de vidro de gênero exatamente</w:t>
      </w:r>
      <w:r>
        <w:t xml:space="preserve"> </w:t>
      </w:r>
      <w:r>
        <w:t xml:space="preserve">onde mais importa para a ascensão — o topo da distribuição.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t xml:space="preserve">chegar ao topo</w:t>
      </w:r>
      <w:r>
        <w:t xml:space="preserve"> </w:t>
      </w:r>
      <w:r>
        <w:t xml:space="preserve">da remuneração.</w:t>
      </w:r>
    </w:p>
    <w:bookmarkEnd w:id="84"/>
    <w:bookmarkStart w:id="86" w:name="subsec:vif"/>
    <w:p>
      <w:pPr>
        <w:pStyle w:val="Ttulo2"/>
      </w:pPr>
      <w:r>
        <w:t xml:space="preserve">Multicolinearidade do Modelo M4: Análise VIF</w:t>
      </w:r>
    </w:p>
    <w:p>
      <w:pPr>
        <w:pStyle w:val="FirstParagraph"/>
      </w:pPr>
      <w:r>
        <w:t xml:space="preserve">Para verificar se a inclusão simultânea dos 9 dummies</w:t>
      </w:r>
      <w:r>
        <w:t xml:space="preserve"> </w:t>
      </w:r>
      <w:r>
        <w:t xml:space="preserve">CBO e das variáveis de vínculo empregatício (</w:t>
      </w:r>
      <w:r>
        <w:rPr>
          <w:rStyle w:val="VerbatimChar"/>
        </w:rPr>
        <w:t xml:space="preserve">emprego_formal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conta_propria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trab_domestico</w:t>
      </w:r>
      <w:r>
        <w:t xml:space="preserve">) introduz colinearidade</w:t>
      </w:r>
      <w:r>
        <w:t xml:space="preserve"> </w:t>
      </w:r>
      <w:r>
        <w:t xml:space="preserve">problemática no Modelo M4, calculou-se o</w:t>
      </w:r>
      <w:r>
        <w:t xml:space="preserve"> </w:t>
      </w:r>
      <w:r>
        <w:t xml:space="preserve">Variance Inflation Factor</w:t>
      </w:r>
      <w:r>
        <w:t xml:space="preserve"> </w:t>
      </w:r>
      <w:r>
        <w:t xml:space="preserve">(VIF)</w:t>
      </w:r>
      <w:r>
        <w:t xml:space="preserve"> </w:t>
      </w:r>
      <w:r>
        <w:t xml:space="preserve">sobre subsample de 200.000 observações da PEA com renda positiva.</w:t>
      </w:r>
      <w:r>
        <w:t xml:space="preserve"> </w:t>
      </w:r>
      <w:r>
        <w:t xml:space="preserve">Dos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(Educ.: não registrada); 2 variável crítica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1 variável alta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1 variável moderada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  <w:r>
        <w:t xml:space="preserve"> </w:t>
      </w:r>
      <w:r>
        <w:t xml:space="preserve">Os dois VIF acima de 10 são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(22,25) e</w:t>
      </w:r>
      <w:r>
        <w:t xml:space="preserve"> </w:t>
      </w:r>
      <w:r>
        <w:rPr>
          <w:rStyle w:val="VerbatimChar"/>
        </w:rPr>
        <w:t xml:space="preserve">educ_superior_completo</w:t>
      </w:r>
      <w:r>
        <w:t xml:space="preserve"> </w:t>
      </w:r>
      <w:r>
        <w:t xml:space="preserve">(19,45) — colinearidade</w:t>
      </w:r>
      <w:r>
        <w:t xml:space="preserve"> </w:t>
      </w:r>
      <w:r>
        <w:t xml:space="preserve">por construção</w:t>
      </w:r>
      <w:r>
        <w:t xml:space="preserve"> </w:t>
      </w:r>
      <w:r>
        <w:t xml:space="preserve">dentro do bloco educacional, já que o indicador de escolaridade não registrada é</w:t>
      </w:r>
      <w:r>
        <w:t xml:space="preserve"> </w:t>
      </w:r>
      <w:r>
        <w:t xml:space="preserve">quase o complemento das</w:t>
      </w:r>
      <w:r>
        <w:t xml:space="preserve"> </w:t>
      </w:r>
      <w:r>
        <w:t xml:space="preserve">dummies</w:t>
      </w:r>
      <w:r>
        <w:t xml:space="preserve"> </w:t>
      </w:r>
      <w:r>
        <w:t xml:space="preserve">de conclusão (Fávero &amp; Belfiore,</w:t>
      </w:r>
      <w:r>
        <w:t xml:space="preserve"> </w:t>
      </w:r>
      <w:r>
        <w:t xml:space="preserve">cap. 12). Ela infla o erro-padrão dos retornos educacionais, que por isso são lidos</w:t>
      </w:r>
      <w:r>
        <w:t xml:space="preserve"> </w:t>
      </w:r>
      <w:r>
        <w:t xml:space="preserve">com cautela,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 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1,37 e o das variáveis de contexto da UPA fica abaixo de</w:t>
      </w:r>
      <w:r>
        <w:t xml:space="preserve"> </w:t>
      </w:r>
      <w:r>
        <w:t xml:space="preserve">1,8. Entre os</w:t>
      </w:r>
      <w:r>
        <w:t xml:space="preserve"> </w:t>
      </w:r>
      <w: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2,09.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[subsec:hlm_resultados]</w:t>
        </w:r>
      </w:hyperlink>
      <w:r>
        <w:t xml:space="preserve">).</w:t>
      </w:r>
    </w:p>
    <w:p>
      <w:pPr>
        <w:pStyle w:val="BodyText"/>
      </w:pPr>
      <w:bookmarkStart w:id="85" w:name="sec:discussao"/>
      <w:bookmarkEnd w:id="85"/>
    </w:p>
    <w:p>
      <w:pPr>
        <w:pStyle w:val="BodyText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bruto que</w:t>
      </w:r>
      <w:r>
        <w:t xml:space="preserve"> </w:t>
      </w:r>
      <w:r>
        <w:t xml:space="preserve">desaparece</w:t>
      </w:r>
      <w:r>
        <w:t xml:space="preserve"> </w:t>
      </w:r>
      <w:r>
        <w:t xml:space="preserve">ao se controlar o local de moradia (UPA/UF) — mede o</w:t>
      </w:r>
      <w:r>
        <w:t xml:space="preserve"> </w:t>
      </w:r>
      <w:r>
        <w:t xml:space="preserve">quanto da penalidade racial transita</w:t>
      </w:r>
      <w:r>
        <w:t xml:space="preserve"> </w:t>
      </w:r>
      <w: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10,2%.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7,0%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se reforçam mutuamente. A consequência para o desenho de políticas é</w:t>
      </w:r>
      <w:r>
        <w:t xml:space="preserve"> </w:t>
      </w:r>
      <w:r>
        <w:t xml:space="preserve">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28,4% do gap bruto são retornos</w:t>
      </w:r>
      <w:r>
        <w:t xml:space="preserve"> </w:t>
      </w:r>
      <w:r>
        <w:t xml:space="preserve">diferenciais — limite inferior da discriminação direta — e 71,6%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16,2%, e 83,8%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demonstrar que ele é sustentado por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se reforçam mutuamente,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</w:t>
      </w:r>
      <w:r>
        <w:t xml:space="preserve"> </w:t>
      </w:r>
      <w:r>
        <w:t xml:space="preserve">multidimensional captada pela POF não eliminou o gap racial de qualidade de vida</w:t>
      </w:r>
      <w:r>
        <w:t xml:space="preserve"> </w:t>
      </w:r>
      <w:r>
        <w:t xml:space="preserve">(0</w:t>
      </w:r>
      <w:r>
        <w:t xml:space="preserve">,</w:t>
      </w:r>
      <w:r>
        <w:t xml:space="preserve">183 para chefes pretos/pardos</w:t>
      </w:r>
      <w:r>
        <w:t xml:space="preserve"> </w:t>
      </w:r>
      <w:r>
        <w:t xml:space="preserve">vs.</w:t>
      </w:r>
      <w:r>
        <w:t xml:space="preserve"> 0</w:t>
      </w:r>
      <w:r>
        <w:t xml:space="preserve">,</w:t>
      </w:r>
      <w:r>
        <w:t xml:space="preserve">122 para brancos), e a renda</w:t>
      </w:r>
      <w:r>
        <w:t xml:space="preserve"> </w:t>
      </w:r>
      <w:r>
        <w:t xml:space="preserve">voltou a concentrar-se no topo em 2025 (Gini do rendimento domiciliar</w:t>
      </w:r>
      <w:r>
        <w:t xml:space="preserve"> </w:t>
      </w:r>
      <w: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491) </w:t>
      </w:r>
      <w:r>
        <w:t xml:space="preserve">(IBGE, 2019, 2025)</w:t>
      </w:r>
      <w:r>
        <w:t xml:space="preserve">.</w:t>
      </w:r>
      <w:r>
        <w:t xml:space="preserve"> </w:t>
      </w:r>
      <w:r>
        <w:t xml:space="preserve">Cabe uma ressalva metodológica: o Gini estimado neste trabalho refere-se ao</w:t>
      </w:r>
      <w:r>
        <w:t xml:space="preserve"> </w:t>
      </w:r>
      <w:r>
        <w:rPr>
          <w:b/>
          <w:bCs/>
        </w:rPr>
        <w:t xml:space="preserve">rendimento do trabalho entre ocupados</w:t>
      </w:r>
      <w:r>
        <w:t xml:space="preserve"> </w:t>
      </w:r>
      <w:r>
        <w:t xml:space="preserve">(em torno de 0</w:t>
      </w:r>
      <w:r>
        <w:t xml:space="preserve">,</w:t>
      </w:r>
      <w:r>
        <w:t xml:space="preserve">48), conceito</w:t>
      </w:r>
      <w:r>
        <w:t xml:space="preserve"> </w:t>
      </w:r>
      <w:r>
        <w:t xml:space="preserve">distinto do Gini domiciliar</w:t>
      </w:r>
      <w:r>
        <w:t xml:space="preserve"> </w:t>
      </w:r>
      <w:r>
        <w:t xml:space="preserve">per capita</w:t>
      </w:r>
      <w:r>
        <w:t xml:space="preserve"> </w:t>
      </w:r>
      <w:r>
        <w:t xml:space="preserve">de todas as fontes do IBGE —</w:t>
      </w:r>
      <w:r>
        <w:t xml:space="preserve"> </w:t>
      </w:r>
      <w:r>
        <w:t xml:space="preserve">níveis próximos, mas medidas diferentes que podem divergir em tendência, pois a</w:t>
      </w:r>
      <w:r>
        <w:t xml:space="preserve"> </w:t>
      </w:r>
      <w:r>
        <w:t xml:space="preserve">alta de 2025 é puxada por renda</w:t>
      </w:r>
      <w:r>
        <w:t xml:space="preserve"> </w:t>
      </w:r>
      <w:r>
        <w:t xml:space="preserve">não</w:t>
      </w:r>
      <w:r>
        <w:t xml:space="preserve">-trabalho do topo, que não transita</w:t>
      </w:r>
      <w:r>
        <w:t xml:space="preserve"> </w:t>
      </w:r>
      <w:r>
        <w:t xml:space="preserve">pelo rendimento dos ocupados. Nesse mesmo conceito, a desigualdade</w:t>
      </w:r>
      <w:r>
        <w:t xml:space="preserve"> </w:t>
      </w:r>
      <w: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  <w:r>
        <w:t xml:space="preserve"> </w:t>
      </w:r>
      <w:r>
        <w:t xml:space="preserve">O contraste territorial reforça a tese: o Distrito</w:t>
      </w:r>
      <w:r>
        <w:t xml:space="preserve"> </w:t>
      </w:r>
      <w:r>
        <w:t xml:space="preserve">Federal, de maior renda</w:t>
      </w:r>
      <w:r>
        <w:t xml:space="preserve"> </w:t>
      </w:r>
      <w:r>
        <w:t xml:space="preserve">per capita</w:t>
      </w:r>
      <w:r>
        <w:t xml:space="preserve"> </w:t>
      </w:r>
      <w:r>
        <w:t xml:space="preserve">do país, é também a UF de</w:t>
      </w:r>
      <w:r>
        <w:t xml:space="preserve"> </w:t>
      </w:r>
      <w:r>
        <w:t xml:space="preserve">maior</w:t>
      </w:r>
      <w:r>
        <w:t xml:space="preserve"> </w:t>
      </w:r>
      <w:r>
        <w:t xml:space="preserve">penalidade racial salarial em nossos modelos regionais — riqueza média elevada e</w:t>
      </w:r>
      <w:r>
        <w:t xml:space="preserve"> </w:t>
      </w:r>
      <w:r>
        <w:t xml:space="preserve">desigualdade racial aguda coexistem no mesmo território.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 (Imazon e parceiros, 2026) 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t xml:space="preserve">bairro</w:t>
      </w:r>
      <w:r>
        <w:t xml:space="preserve"> </w:t>
      </w:r>
      <w:r>
        <w:t xml:space="preserve">(situa-se</w:t>
      </w:r>
      <w:r>
        <w:t xml:space="preserve"> </w:t>
      </w:r>
      <w:r>
        <w:t xml:space="preserve">acima dele na escala), mas ecoa o gradiente macro: as regiões de menor progresso</w:t>
      </w:r>
      <w:r>
        <w:t xml:space="preserve"> </w:t>
      </w:r>
      <w:r>
        <w:t xml:space="preserve">social (Norte e Nordeste) coincidem com as de maior penalidade racial em nossos</w:t>
      </w:r>
      <w:r>
        <w:t xml:space="preserve"> </w:t>
      </w:r>
      <w:r>
        <w:t xml:space="preserve">modelos. Empregamo-lo, portanto, como evidência</w:t>
      </w:r>
      <w:r>
        <w:t xml:space="preserve"> </w:t>
      </w:r>
      <w:r>
        <w:t xml:space="preserve">convergente</w:t>
      </w:r>
      <w:r>
        <w:t xml:space="preserve"> </w:t>
      </w:r>
      <w:r>
        <w:t xml:space="preserve">do caráter</w:t>
      </w:r>
      <w:r>
        <w:t xml:space="preserve"> </w:t>
      </w:r>
      <w:r>
        <w:t xml:space="preserve">territorial da desigualdade — não como fonte de dados integrada, e ressalvando que</w:t>
      </w:r>
      <w:r>
        <w:t xml:space="preserve"> </w:t>
      </w:r>
      <w:r>
        <w:t xml:space="preserve">o IPS mede progresso social geral, não desigualdade racial.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47,0%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36,9%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28,4% do gap a</w:t>
      </w:r>
      <w:r>
        <w:t xml:space="preserve"> </w:t>
      </w:r>
      <w: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16,2% quando a própria posição</w:t>
      </w:r>
      <w:r>
        <w:t xml:space="preserve"> </w:t>
      </w:r>
      <w:r>
        <w:t xml:space="preserve">ocupacional é descontada; a decomposição RIF mostra que essa parcela chega a 35%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próximo de 0,7 mesmo entre os mais escolarizados).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10,2%, estimado após controlar por todos os vetores</w:t>
      </w:r>
      <w:r>
        <w:t xml:space="preserve"> </w:t>
      </w:r>
      <w:r>
        <w:t xml:space="preserve">de transmissão contextual, representa um piso para a discriminação direta</w:t>
      </w:r>
      <w:r>
        <w:t xml:space="preserve"> </w:t>
      </w:r>
      <w:r>
        <w:t xml:space="preserve">não explicada por diferenças observáveis. Os valores SHAP reforçam essa</w:t>
      </w:r>
      <w:r>
        <w:t xml:space="preserve"> </w:t>
      </w:r>
      <w: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Lenta convergência racial.</w:t>
      </w:r>
      <w:r>
        <w:t xml:space="preserve"> </w:t>
      </w:r>
      <w:r>
        <w:t xml:space="preserve">A redução de apenas 2,4%</w:t>
      </w:r>
      <w:r>
        <w:t xml:space="preserve"> </w:t>
      </w:r>
      <w:r>
        <w:t xml:space="preserve">do gap em dez anos — equivalente a 0,001 ponto de log-rendimento por ano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, WLS 2016–2025)</w:t>
      </w:r>
      <w:r>
        <w:t xml:space="preserve"> </w:t>
      </w:r>
      <w:r>
        <w:t xml:space="preserve">— sugere que, ao ritmo atual, a convergência racial levaria mais de um</w:t>
      </w:r>
      <w:r>
        <w:t xml:space="preserve"> </w:t>
      </w:r>
      <w:r>
        <w:t xml:space="preserve">século para eliminar o diferencial observado em 2016.</w:t>
      </w:r>
      <w:r>
        <w:t xml:space="preserve"> </w:t>
      </w:r>
      <w:r>
        <w:t xml:space="preserve">Essa constatação não trivializa avanços recentes em políticas de cotas</w:t>
      </w:r>
      <w:r>
        <w:t xml:space="preserve"> </w:t>
      </w:r>
      <w:r>
        <w:t xml:space="preserve">e acesso ao ensino superior, mas evidencia que reformas no campo da</w:t>
      </w:r>
      <w:r>
        <w:t xml:space="preserve"> </w:t>
      </w:r>
      <w:r>
        <w:t xml:space="preserve">educação, sem intervenção simultânea nos mecanismos de segregação</w:t>
      </w:r>
      <w:r>
        <w:t xml:space="preserve"> </w:t>
      </w:r>
      <w:r>
        <w:t xml:space="preserve">residencial e de acesso às redes profissionais, são insuficientes.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</w:t>
      </w:r>
      <w:r>
        <w:t xml:space="preserve"> </w:t>
      </w:r>
      <w:r>
        <w:t xml:space="preserve">Lei 12.990/2014</w:t>
      </w:r>
      <w:r>
        <w:t xml:space="preserve">, que reserva 20% das</w:t>
      </w:r>
      <w:r>
        <w:t xml:space="preserve"> </w:t>
      </w:r>
      <w:r>
        <w:t xml:space="preserve">vagas em concursos públicos federais a candidatos negros,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t xml:space="preserve">Fies</w:t>
      </w:r>
      <w:r>
        <w:t xml:space="preserve">, bem como ao legado do</w:t>
      </w:r>
      <w:r>
        <w:t xml:space="preserve"> </w:t>
      </w:r>
      <w: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t xml:space="preserve">Estatuto</w:t>
      </w:r>
      <w:r>
        <w:t xml:space="preserve"> </w:t>
      </w:r>
      <w:r>
        <w:t xml:space="preserve">da Igualdade Racial</w:t>
      </w:r>
      <w:r>
        <w:t xml:space="preserve"> </w:t>
      </w:r>
      <w:r>
        <w:t xml:space="preserve">(</w:t>
      </w:r>
      <w: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10,2% — e a penalidade de 7,0% que persiste dentro da mesma ocupação —</w:t>
      </w:r>
      <w:r>
        <w:t xml:space="preserve"> </w:t>
      </w:r>
      <w:r>
        <w:t xml:space="preserve">justifica reforçar.</w:t>
      </w:r>
    </w:p>
    <w:bookmarkEnd w:id="86"/>
    <w:bookmarkStart w:id="87" w:name="limitações-e-escopo-de-validade"/>
    <w:p>
      <w:pPr>
        <w:pStyle w:val="Ttulo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permanece preditora</w:t>
      </w:r>
      <w:r>
        <w:t xml:space="preserve"> </w:t>
      </w:r>
      <w:r>
        <w:t xml:space="preserve">de primeira ordem</w:t>
      </w:r>
      <w:r>
        <w:t xml:space="preserve"> </w:t>
      </w:r>
      <w:r>
        <w:t xml:space="preserve">e</w:t>
      </w:r>
      <w:r>
        <w:t xml:space="preserve"> </w:t>
      </w:r>
      <w:r>
        <w:t xml:space="preserve">mantém 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Cobertura da variável de escolaridade.</w:t>
      </w:r>
      <w:r>
        <w:t xml:space="preserve"> </w:t>
      </w:r>
      <w:r>
        <w:t xml:space="preserve">A escolaridade detalhada (</w:t>
      </w:r>
      <w:r>
        <w:rPr>
          <w:rStyle w:val="VerbatimChar"/>
        </w:rPr>
        <w:t xml:space="preserve">educ_cat</w:t>
      </w:r>
      <w:r>
        <w:t xml:space="preserve">) está registrada para cerca de</w:t>
      </w:r>
      <w:r>
        <w:t xml:space="preserve"> </w:t>
      </w:r>
      <w:r>
        <w:t xml:space="preserve">31% da PEA no painel público utilizado. Para preservar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completo, os</w:t>
      </w:r>
      <w:r>
        <w:t xml:space="preserve"> </w:t>
      </w:r>
      <w:r>
        <w:t xml:space="preserve">níveis de instrução entram como</w:t>
      </w:r>
      <w:r>
        <w:t xml:space="preserve"> </w:t>
      </w:r>
      <w:r>
        <w:t xml:space="preserve">dummies</w:t>
      </w:r>
      <w:r>
        <w:t xml:space="preserve"> </w:t>
      </w:r>
      <w:r>
        <w:t xml:space="preserve">de conclusão acompanhadas de</w:t>
      </w:r>
      <w:r>
        <w:t xml:space="preserve"> </w:t>
      </w:r>
      <w:r>
        <w:t xml:space="preserve">um indicador explícito de não-registro (</w:t>
      </w:r>
      <w:r>
        <w:rPr>
          <w:rStyle w:val="VerbatimChar"/>
        </w:rPr>
        <w:t xml:space="preserve">educ_missing</w:t>
      </w:r>
      <w:r>
        <w:t xml:space="preserve">), de modo que a</w:t>
      </w:r>
      <w:r>
        <w:t xml:space="preserve"> </w:t>
      </w:r>
      <w:r>
        <w:t xml:space="preserve">categoria de referência não confunda</w:t>
      </w:r>
      <w:r>
        <w:t xml:space="preserve"> </w:t>
      </w:r>
      <w:r>
        <w:t xml:space="preserve">“baixa escolaridade”</w:t>
      </w:r>
      <w:r>
        <w:t xml:space="preserve"> </w:t>
      </w:r>
      <w:r>
        <w:t xml:space="preserve">com</w:t>
      </w:r>
      <w:r>
        <w:t xml:space="preserve"> </w:t>
      </w:r>
      <w:r>
        <w:t xml:space="preserve">“dado ausente”</w:t>
      </w:r>
      <w:r>
        <w:t xml:space="preserve">.</w:t>
      </w:r>
      <w:r>
        <w:t xml:space="preserve"> </w:t>
      </w:r>
      <w:r>
        <w:t xml:space="preserve">Testes de sensibilidade mostram que o coeficiente racial é estável a essa</w:t>
      </w:r>
      <w:r>
        <w:t xml:space="preserve"> </w:t>
      </w:r>
      <w:r>
        <w:t xml:space="preserve">especificação (variação inferior a 1%); ainda assim, os retornos educacionais</w:t>
      </w:r>
      <w:r>
        <w:t xml:space="preserve"> </w:t>
      </w:r>
      <w:r>
        <w:t xml:space="preserve">devem ser interpretados com a cautela própria de uma variável parcialmente</w:t>
      </w:r>
      <w:r>
        <w:t xml:space="preserve"> </w:t>
      </w:r>
      <w:r>
        <w:t xml:space="preserve">observada.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 e a correção de Heckman, estimada na versão estendida deste trabalho,</w:t>
      </w:r>
      <w:r>
        <w:t xml:space="preserve"> </w:t>
      </w:r>
      <w: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significativo), com o coeficiente racial estável</w:t>
      </w:r>
      <w:r>
        <w:t xml:space="preserve"> </w:t>
      </w:r>
      <w:r>
        <w:t xml:space="preserve">em sinal e ordem de grandeza.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Ocupação, formalidade e horas são desfechos da</w:t>
      </w:r>
      <w:r>
        <w:t xml:space="preserve"> </w:t>
      </w:r>
      <w:r>
        <w:t xml:space="preserve">própria discriminação. Com eles (M4, Oaxaca-Blinder de acesso) o resultado é um</w:t>
      </w:r>
      <w:r>
        <w:t xml:space="preserve"> </w:t>
      </w:r>
      <w: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A renda média do bairro inclui o próprio indivíduo; usada</w:t>
      </w:r>
      <w:r>
        <w:t xml:space="preserve"> </w:t>
      </w:r>
      <w:r>
        <w:t xml:space="preserve">como preditor, é mecanicamente informativa. Nos modelos de acesso ela foi removida e,</w:t>
      </w:r>
      <w:r>
        <w:t xml:space="preserve"> </w:t>
      </w:r>
      <w:r>
        <w:t xml:space="preserve">no XGBoost, substituída pela média</w:t>
      </w:r>
      <w:r>
        <w:t xml:space="preserve"> </w:t>
      </w:r>
      <w:r>
        <w:t xml:space="preserve">leave-one-out</w:t>
      </w:r>
      <w:r>
        <w:t xml:space="preserve">; ainda assim, choques comuns ao</w:t>
      </w:r>
      <w:r>
        <w:t xml:space="preserve"> </w:t>
      </w:r>
      <w:r>
        <w:t xml:space="preserve">bairro impedem leitura causal do coeficiente contextual.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[subsec:inferencia]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menos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7,7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End w:id="87"/>
    <w:bookmarkStart w:id="88" w:name="X6e5363a2ea64c40705be1be4ad3b57716cacb0d"/>
    <w:p>
      <w:pPr>
        <w:pStyle w:val="Ttulo2"/>
      </w:pPr>
      <w:r>
        <w:t xml:space="preserve">Declaração de uso de inteligência artificial</w:t>
      </w:r>
    </w:p>
    <w:p>
      <w:pPr>
        <w:pStyle w:val="FirstParagraph"/>
      </w:pP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End w:id="88"/>
    <w:bookmarkEnd w:id="89"/>
    <w:bookmarkStart w:id="121" w:name="conclusão"/>
    <w:p>
      <w:pPr>
        <w:pStyle w:val="Heading1"/>
      </w:pPr>
      <w:r>
        <w:t xml:space="preserve">Conclusão</w:t>
      </w:r>
    </w:p>
    <w:p>
      <w:pPr>
        <w:pStyle w:val="FirstParagraph"/>
      </w:pPr>
      <w:r>
        <w:t xml:space="preserve">A desigualdade racial no mercado de trabalho brasileiro não se reduziu a um</w:t>
      </w:r>
      <w:r>
        <w:t xml:space="preserve"> </w:t>
      </w:r>
      <w:r>
        <w:t xml:space="preserve">desconto salarial isolado: operou como um sistema de barreiras em camadas, que</w:t>
      </w:r>
      <w:r>
        <w:t xml:space="preserve"> </w:t>
      </w:r>
      <w:r>
        <w:t xml:space="preserve">começou antes do primeiro salário e persistiu ao longo da trajetória</w:t>
      </w:r>
      <w:r>
        <w:t xml:space="preserve"> </w:t>
      </w:r>
      <w:r>
        <w:t xml:space="preserve">profissional. Comparados trabalhadores de mesma escolaridade, idade, sexo e</w:t>
      </w:r>
      <w:r>
        <w:t xml:space="preserve"> </w:t>
      </w:r>
      <w:r>
        <w:t xml:space="preserve">bairro, o diferencial de rendimento foi de 10,2</w:t>
      </w:r>
      <w:r>
        <w:t xml:space="preserve"> </w:t>
      </w:r>
      <w:r>
        <w:t xml:space="preserve">7,0</w:t>
      </w:r>
      <w:r>
        <w:t xml:space="preserve"> </w:t>
      </w:r>
      <w:r>
        <w:t xml:space="preserve">lida como limite inferior, já que a própria ocupação é resultado da barreira de</w:t>
      </w:r>
      <w:r>
        <w:t xml:space="preserve"> </w:t>
      </w:r>
      <w:r>
        <w:t xml:space="preserve">acesso.</w:t>
      </w:r>
    </w:p>
    <w:p>
      <w:pPr>
        <w:pStyle w:val="BodyText"/>
      </w:pPr>
      <w:r>
        <w:t xml:space="preserve">O achado mais relevante para o debate de políticas foi o da barreira de entrada.</w:t>
      </w:r>
      <w:r>
        <w:t xml:space="preserve"> </w:t>
      </w:r>
      <w:r>
        <w:t xml:space="preserve">Com o mesmo perfil observável e no mesmo bairro, trabalhadores negros tiveram</w:t>
      </w:r>
      <w:r>
        <w:t xml:space="preserve"> </w:t>
      </w:r>
      <w:r>
        <w:t xml:space="preserve">cerca de 30% menos chance de ocupar cargo qualificado e 35%</w:t>
      </w:r>
      <w:r>
        <w:t xml:space="preserve"> </w:t>
      </w:r>
      <w:r>
        <w:t xml:space="preserve">menos chance de alcançar o décimo superior da renda. Aumentar a escolaridade sem</w:t>
      </w:r>
      <w:r>
        <w:t xml:space="preserve"> </w:t>
      </w:r>
      <w:r>
        <w:t xml:space="preserve">intervir nos mecanismos de seleção e promoção produz, portanto, retorno marginal</w:t>
      </w:r>
      <w:r>
        <w:t xml:space="preserve"> </w:t>
      </w:r>
      <w:r>
        <w:t xml:space="preserve">decrescente: as credenciais existem, mas os canais que as convertem em mobilidade</w:t>
      </w:r>
      <w:r>
        <w:t xml:space="preserve"> </w:t>
      </w:r>
      <w:r>
        <w:t xml:space="preserve">permanecem estreitos.</w:t>
      </w:r>
    </w:p>
    <w:p>
      <w:pPr>
        <w:pStyle w:val="BodyText"/>
      </w:pPr>
      <w:r>
        <w:t xml:space="preserve">O contexto de moradia respondeu por 47,0</w:t>
      </w:r>
      <w:r>
        <w:t xml:space="preserve"> </w:t>
      </w:r>
      <w:r>
        <w:t xml:space="preserve">agregado, o que indica que política de renda que ignore o território tem eficácia</w:t>
      </w:r>
      <w:r>
        <w:t xml:space="preserve"> </w:t>
      </w:r>
      <w:r>
        <w:t xml:space="preserve">limitada. A desvantagem da mulher negra excedeu em</w:t>
      </w:r>
      <w:r>
        <w:t xml:space="preserve"> </w:t>
      </w:r>
      <w:r>
        <w:t xml:space="preserve">4,6 pontos percentuais a soma das penalidades de raça e</w:t>
      </w:r>
      <w:r>
        <w:t xml:space="preserve"> </w:t>
      </w:r>
      <w:r>
        <w:t xml:space="preserve">de gênero isoladas, de modo que intervenções desenhadas para um eixo de cada vez</w:t>
      </w:r>
      <w:r>
        <w:t xml:space="preserve"> </w:t>
      </w:r>
      <w:r>
        <w:t xml:space="preserve">deixam de fora justamente quem está na interseção.</w:t>
      </w:r>
    </w:p>
    <w:p>
      <w:pPr>
        <w:pStyle w:val="BodyText"/>
      </w:pPr>
      <w:r>
        <w:t xml:space="preserve">Os resultados são estimativas de associação condicional, e não de efeito causal</w:t>
      </w:r>
      <w:r>
        <w:t xml:space="preserve"> </w:t>
      </w:r>
      <w:r>
        <w:t xml:space="preserve">no sentido contrafactual. Ainda assim, a convergência de quatro métodos</w:t>
      </w:r>
      <w:r>
        <w:t xml:space="preserve"> </w:t>
      </w:r>
      <w:r>
        <w:t xml:space="preserve">independentes sobre a população completa, a magnitude dos diferenciais e a</w:t>
      </w:r>
      <w:r>
        <w:t xml:space="preserve"> </w:t>
      </w:r>
      <w:r>
        <w:t xml:space="preserve">robustez a confundimento não observado sustentam o diagnóstico: a discriminação</w:t>
      </w:r>
      <w:r>
        <w:t xml:space="preserve"> </w:t>
      </w:r>
      <w:r>
        <w:t xml:space="preserve">operou sobretudo no acesso à ocupação, e políticas unidimensionais — centradas</w:t>
      </w:r>
      <w:r>
        <w:t xml:space="preserve"> </w:t>
      </w:r>
      <w:r>
        <w:t xml:space="preserve">apenas em escolaridade, apenas em fiscalização salarial ou apenas em cotas — são</w:t>
      </w:r>
      <w:r>
        <w:t xml:space="preserve"> </w:t>
      </w:r>
      <w:r>
        <w:t xml:space="preserve">insuficientes para desmontá-lo.</w:t>
      </w:r>
    </w:p>
    <w:bookmarkStart w:id="120" w:name="refs"/>
    <w:bookmarkStart w:id="90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90"/>
    <w:bookmarkStart w:id="91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91"/>
    <w:bookmarkStart w:id="92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92"/>
    <w:bookmarkStart w:id="93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93"/>
    <w:bookmarkStart w:id="94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94"/>
    <w:bookmarkStart w:id="95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95"/>
    <w:bookmarkStart w:id="96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96"/>
    <w:bookmarkStart w:id="97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97"/>
    <w:bookmarkStart w:id="98" w:name="ref-chen2016"/>
    <w:p>
      <w:pPr>
        <w:pStyle w:val="Bibliography"/>
      </w:pPr>
      <w:r>
        <w:t xml:space="preserve">CHEN, Tianqi; GUESTRIN, Carlos.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In</w:t>
      </w:r>
      <w:r>
        <w:t xml:space="preserve">: 2016.</w:t>
      </w:r>
    </w:p>
    <w:bookmarkEnd w:id="98"/>
    <w:bookmarkStart w:id="99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99"/>
    <w:bookmarkStart w:id="100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00"/>
    <w:bookmarkStart w:id="101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01"/>
    <w:bookmarkStart w:id="102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02"/>
    <w:bookmarkStart w:id="103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03"/>
    <w:bookmarkStart w:id="104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04"/>
    <w:bookmarkStart w:id="105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05"/>
    <w:bookmarkStart w:id="106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06"/>
    <w:bookmarkStart w:id="107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07"/>
    <w:bookmarkStart w:id="108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08"/>
    <w:bookmarkStart w:id="109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09"/>
    <w:bookmarkStart w:id="110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10"/>
    <w:bookmarkStart w:id="111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11"/>
    <w:bookmarkStart w:id="112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12"/>
    <w:bookmarkStart w:id="113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13"/>
    <w:bookmarkStart w:id="114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14"/>
    <w:bookmarkStart w:id="115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15"/>
    <w:bookmarkStart w:id="116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16"/>
    <w:bookmarkStart w:id="117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17"/>
    <w:bookmarkStart w:id="118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18"/>
    <w:bookmarkStart w:id="119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19"/>
    <w:bookmarkEnd w:id="120"/>
    <w:bookmarkEnd w:id="121"/>
    <w:sectPr w:rsidR="00FE14AF" w:rsidRPr="000B508B" w:rsidSect="00346452">
      <w:headerReference r:id="rId11" w:type="default"/>
      <w:footerReference r:id="rId12" w:type="default"/>
      <w:footerReference r:id="rId13" w:type="first"/>
      <w:pgSz w:code="9" w:h="16838" w:w="11906"/>
      <w:pgMar w:bottom="1418" w:footer="709" w:gutter="0" w:header="709" w:left="1418" w:right="1418" w:top="1418"/>
      <w:pgNumType w:start="1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10677" w14:textId="1EFF9085" w:rsidR="00EF1565" w:rsidRPr="00EF1565" w:rsidRDefault="00EF1565">
    <w:pPr>
      <w:pStyle w:val="Rodap"/>
      <w:jc w:val="right"/>
      <w:rPr>
        <w:sz w:val="18"/>
        <w:szCs w:val="18"/>
      </w:rPr>
    </w:pPr>
    <w:r w:rsidRPr="00EF1565">
      <w:rPr>
        <w:sz w:val="18"/>
        <w:szCs w:val="18"/>
      </w:rPr>
      <w:fldChar w:fldCharType="begin"/>
    </w:r>
    <w:r w:rsidRPr="00EF1565">
      <w:rPr>
        <w:sz w:val="18"/>
        <w:szCs w:val="18"/>
      </w:rPr>
      <w:instrText>PAGE   \* MERGEFORMAT</w:instrText>
    </w:r>
    <w:r w:rsidRPr="00EF1565">
      <w:rPr>
        <w:sz w:val="18"/>
        <w:szCs w:val="18"/>
      </w:rPr>
      <w:fldChar w:fldCharType="separate"/>
    </w:r>
    <w:r w:rsidR="00811DE0">
      <w:rPr>
        <w:noProof/>
        <w:sz w:val="18"/>
        <w:szCs w:val="18"/>
      </w:rPr>
      <w:t>4</w:t>
    </w:r>
    <w:r w:rsidRPr="00EF1565">
      <w:rPr>
        <w:sz w:val="18"/>
        <w:szCs w:val="18"/>
      </w:rPr>
      <w:fldChar w:fldCharType="end"/>
    </w:r>
  </w:p>
  <w:p w14:paraId="25D1DCB2" w14:textId="77777777" w:rsidR="00D92CD6" w:rsidRDefault="00D92CD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F588E" w14:textId="77777777" w:rsidR="0094025E" w:rsidRDefault="0094025E">
    <w:pPr>
      <w:pStyle w:val="Rodap"/>
      <w:jc w:val="right"/>
    </w:pPr>
  </w:p>
  <w:p w14:paraId="05550BF1" w14:textId="77777777" w:rsidR="0094025E" w:rsidRDefault="0094025E">
    <w:pPr>
      <w:pStyle w:val="Rodap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3056D" w14:textId="77777777" w:rsidR="00822646" w:rsidRPr="00D52F94" w:rsidRDefault="00822646" w:rsidP="0084737F">
    <w:pPr>
      <w:pStyle w:val="SemEspaamento"/>
      <w:ind w:right="3968"/>
      <w:rPr>
        <w:sz w:val="16"/>
        <w:szCs w:val="17"/>
      </w:rPr>
    </w:pPr>
    <w:r>
      <w:rPr>
        <w:noProof/>
      </w:rPr>
      <w:drawing>
        <wp:anchor distT="0" distB="0" distL="114300" distR="114300" simplePos="0" relativeHeight="251676672" behindDoc="0" locked="0" layoutInCell="1" allowOverlap="1" wp14:anchorId="15F5FC70" wp14:editId="18E219A0">
          <wp:simplePos x="0" y="0"/>
          <wp:positionH relativeFrom="margin">
            <wp:posOffset>5029200</wp:posOffset>
          </wp:positionH>
          <wp:positionV relativeFrom="paragraph">
            <wp:posOffset>-10160</wp:posOffset>
          </wp:positionV>
          <wp:extent cx="723900" cy="298450"/>
          <wp:effectExtent l="0" t="0" r="0" b="6350"/>
          <wp:wrapThrough wrapText="bothSides">
            <wp:wrapPolygon edited="0">
              <wp:start x="0" y="0"/>
              <wp:lineTo x="0" y="20681"/>
              <wp:lineTo x="21032" y="20681"/>
              <wp:lineTo x="21032" y="0"/>
              <wp:lineTo x="0" y="0"/>
            </wp:wrapPolygon>
          </wp:wrapThrough>
          <wp:docPr id="1803984902" name="Imagem 1803984902" descr="Desenho com traços pretos em fundo branc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67734149" name="Imagem 3" descr="Desenho com traços pretos em fundo branc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23900" cy="298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6"/>
        <w:szCs w:val="17"/>
      </w:rPr>
      <w:t>Trabalho</w:t>
    </w:r>
    <w:r w:rsidRPr="00D52F94">
      <w:rPr>
        <w:sz w:val="16"/>
        <w:szCs w:val="17"/>
      </w:rPr>
      <w:t xml:space="preserve"> </w:t>
    </w:r>
    <w:r>
      <w:rPr>
        <w:sz w:val="16"/>
        <w:szCs w:val="17"/>
      </w:rPr>
      <w:t xml:space="preserve">de Conclusão de Curso </w:t>
    </w:r>
    <w:r w:rsidRPr="00D52F94">
      <w:rPr>
        <w:sz w:val="16"/>
        <w:szCs w:val="17"/>
      </w:rPr>
      <w:t>apresentad</w:t>
    </w:r>
    <w:r>
      <w:rPr>
        <w:sz w:val="16"/>
        <w:szCs w:val="17"/>
      </w:rPr>
      <w:t>o</w:t>
    </w:r>
    <w:r w:rsidRPr="00D52F94">
      <w:rPr>
        <w:sz w:val="16"/>
        <w:szCs w:val="17"/>
      </w:rPr>
      <w:t xml:space="preserve"> para obtenção do título de especialista em</w:t>
    </w:r>
    <w:r>
      <w:rPr>
        <w:sz w:val="16"/>
        <w:szCs w:val="17"/>
      </w:rPr>
      <w:t xml:space="preserve"> _________ (Nome do curso) – ____ (ano da defesa)</w:t>
    </w:r>
    <w:r w:rsidRPr="004D48C1">
      <w:t xml:space="preserve"> </w:t>
    </w:r>
  </w:p>
  <w:p w14:paraId="73E404DB" w14:textId="77777777" w:rsidR="00822646" w:rsidRDefault="00822646" w:rsidP="0084737F">
    <w:pPr>
      <w:pStyle w:val="Cabealho"/>
      <w:tabs>
        <w:tab w:val="clear" w:pos="4252"/>
        <w:tab w:val="clear" w:pos="8504"/>
        <w:tab w:val="left" w:pos="1785"/>
      </w:tabs>
    </w:pPr>
    <w:r>
      <w:rPr>
        <w:noProof/>
        <w:lang w:eastAsia="pt-BR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34FDC6CC" wp14:editId="06C05861">
              <wp:simplePos x="0" y="0"/>
              <wp:positionH relativeFrom="margin">
                <wp:align>right</wp:align>
              </wp:positionH>
              <wp:positionV relativeFrom="paragraph">
                <wp:posOffset>106680</wp:posOffset>
              </wp:positionV>
              <wp:extent cx="5753100" cy="0"/>
              <wp:effectExtent l="0" t="0" r="0" b="0"/>
              <wp:wrapNone/>
              <wp:docPr id="844941520" name="Conector reto 8449415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75310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3A5B1A" id="Conector reto 844941520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01.8pt,8.4pt" to="854.8pt,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" strokecolor="#5a5a5a [2109]" strokeweight=".25pt">
              <w10:wrap anchorx="margin"/>
            </v:line>
          </w:pict>
        </mc:Fallback>
      </mc:AlternateContent>
    </w:r>
    <w:r>
      <w:tab/>
    </w:r>
  </w:p>
  <w:p w14:paraId="0D9B32BC" w14:textId="77777777" w:rsidR="00822646" w:rsidRPr="00D92CD6" w:rsidRDefault="00822646" w:rsidP="0084737F">
    <w:pPr>
      <w:pStyle w:val="Cabealho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85B6087"/>
    <w:multiLevelType w:val="hybridMultilevel"/>
    <w:tmpl w:val="9D705362"/>
    <w:lvl w:ilvl="0" w:tplc="01989CAA">
      <w:start w:val="1"/>
      <w:numFmt w:val="decimal"/>
      <w:lvlText w:val="%1."/>
      <w:lvlJc w:val="left"/>
      <w:pPr>
        <w:ind w:hanging="360" w:left="720"/>
      </w:pPr>
      <w:rPr>
        <w:rFonts w:hint="default"/>
        <w:b/>
      </w:rPr>
    </w:lvl>
    <w:lvl w:ilvl="1" w:tentative="1" w:tplc="04160019">
      <w:start w:val="1"/>
      <w:numFmt w:val="lowerLetter"/>
      <w:lvlText w:val="%2."/>
      <w:lvlJc w:val="left"/>
      <w:pPr>
        <w:ind w:hanging="360" w:left="1440"/>
      </w:pPr>
    </w:lvl>
    <w:lvl w:ilvl="2" w:tentative="1" w:tplc="0416001B">
      <w:start w:val="1"/>
      <w:numFmt w:val="lowerRoman"/>
      <w:lvlText w:val="%3."/>
      <w:lvlJc w:val="right"/>
      <w:pPr>
        <w:ind w:hanging="180" w:left="2160"/>
      </w:pPr>
    </w:lvl>
    <w:lvl w:ilvl="3" w:tentative="1" w:tplc="0416000F">
      <w:start w:val="1"/>
      <w:numFmt w:val="decimal"/>
      <w:lvlText w:val="%4."/>
      <w:lvlJc w:val="left"/>
      <w:pPr>
        <w:ind w:hanging="360" w:left="2880"/>
      </w:pPr>
    </w:lvl>
    <w:lvl w:ilvl="4" w:tentative="1" w:tplc="04160019">
      <w:start w:val="1"/>
      <w:numFmt w:val="lowerLetter"/>
      <w:lvlText w:val="%5."/>
      <w:lvlJc w:val="left"/>
      <w:pPr>
        <w:ind w:hanging="360" w:left="3600"/>
      </w:pPr>
    </w:lvl>
    <w:lvl w:ilvl="5" w:tentative="1" w:tplc="0416001B">
      <w:start w:val="1"/>
      <w:numFmt w:val="lowerRoman"/>
      <w:lvlText w:val="%6."/>
      <w:lvlJc w:val="right"/>
      <w:pPr>
        <w:ind w:hanging="180" w:left="4320"/>
      </w:pPr>
    </w:lvl>
    <w:lvl w:ilvl="6" w:tentative="1" w:tplc="0416000F">
      <w:start w:val="1"/>
      <w:numFmt w:val="decimal"/>
      <w:lvlText w:val="%7."/>
      <w:lvlJc w:val="left"/>
      <w:pPr>
        <w:ind w:hanging="360" w:left="5040"/>
      </w:pPr>
    </w:lvl>
    <w:lvl w:ilvl="7" w:tentative="1" w:tplc="04160019">
      <w:start w:val="1"/>
      <w:numFmt w:val="lowerLetter"/>
      <w:lvlText w:val="%8."/>
      <w:lvlJc w:val="left"/>
      <w:pPr>
        <w:ind w:hanging="360" w:left="5760"/>
      </w:pPr>
    </w:lvl>
    <w:lvl w:ilvl="8" w:tentative="1" w:tplc="0416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77147F6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574"/>
      </w:pPr>
    </w:lvl>
    <w:lvl w:ilvl="2">
      <w:start w:val="1"/>
      <w:numFmt w:val="decimal"/>
      <w:lvlText w:val="%1.%2.%3."/>
      <w:lvlJc w:val="left"/>
      <w:pPr>
        <w:ind w:hanging="504" w:left="646"/>
      </w:pPr>
    </w:lvl>
    <w:lvl w:ilvl="3">
      <w:start w:val="1"/>
      <w:numFmt w:val="decimal"/>
      <w:lvlText w:val="%1.%2.%3.%4."/>
      <w:lvlJc w:val="left"/>
      <w:pPr>
        <w:ind w:hanging="648" w:left="932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16cid:durableId="71783379" w:numId="1">
    <w:abstractNumId w:val="1"/>
  </w:num>
  <w:num w16cid:durableId="1546257329" w:numId="2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11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FEB"/>
    <w:rsid w:val="00002D22"/>
    <w:rsid w:val="00002FED"/>
    <w:rsid w:val="0000516E"/>
    <w:rsid w:val="00005FB7"/>
    <w:rsid w:val="00010625"/>
    <w:rsid w:val="000121A2"/>
    <w:rsid w:val="000129BF"/>
    <w:rsid w:val="00015A3B"/>
    <w:rsid w:val="000318BF"/>
    <w:rsid w:val="0003392C"/>
    <w:rsid w:val="00033ABE"/>
    <w:rsid w:val="000379B9"/>
    <w:rsid w:val="000414DF"/>
    <w:rsid w:val="00042541"/>
    <w:rsid w:val="000558A6"/>
    <w:rsid w:val="000569A1"/>
    <w:rsid w:val="0006184C"/>
    <w:rsid w:val="000639C7"/>
    <w:rsid w:val="0006582A"/>
    <w:rsid w:val="00080BC8"/>
    <w:rsid w:val="000A1F2D"/>
    <w:rsid w:val="000A23B0"/>
    <w:rsid w:val="000A46BE"/>
    <w:rsid w:val="000A64CD"/>
    <w:rsid w:val="000A7332"/>
    <w:rsid w:val="000B508B"/>
    <w:rsid w:val="000B6C41"/>
    <w:rsid w:val="000C043D"/>
    <w:rsid w:val="000C3C52"/>
    <w:rsid w:val="000C5E50"/>
    <w:rsid w:val="000D65A6"/>
    <w:rsid w:val="000D7128"/>
    <w:rsid w:val="000E6826"/>
    <w:rsid w:val="000F06D0"/>
    <w:rsid w:val="000F3312"/>
    <w:rsid w:val="000F7383"/>
    <w:rsid w:val="0010264C"/>
    <w:rsid w:val="00103C8C"/>
    <w:rsid w:val="0010566C"/>
    <w:rsid w:val="00106E6C"/>
    <w:rsid w:val="00111217"/>
    <w:rsid w:val="001179F3"/>
    <w:rsid w:val="00123A50"/>
    <w:rsid w:val="001349B7"/>
    <w:rsid w:val="00135FFB"/>
    <w:rsid w:val="0014260C"/>
    <w:rsid w:val="0014711C"/>
    <w:rsid w:val="0015596D"/>
    <w:rsid w:val="00155FEB"/>
    <w:rsid w:val="001650D8"/>
    <w:rsid w:val="00173435"/>
    <w:rsid w:val="0017695E"/>
    <w:rsid w:val="0018079B"/>
    <w:rsid w:val="00183B05"/>
    <w:rsid w:val="00187D7A"/>
    <w:rsid w:val="0019516C"/>
    <w:rsid w:val="00196DB1"/>
    <w:rsid w:val="001A2B26"/>
    <w:rsid w:val="001A3AE9"/>
    <w:rsid w:val="001B0BBE"/>
    <w:rsid w:val="001B29CD"/>
    <w:rsid w:val="001B7001"/>
    <w:rsid w:val="001B7C5F"/>
    <w:rsid w:val="001D44F5"/>
    <w:rsid w:val="001E108A"/>
    <w:rsid w:val="001E6121"/>
    <w:rsid w:val="001E6B8D"/>
    <w:rsid w:val="001F0A4F"/>
    <w:rsid w:val="001F5096"/>
    <w:rsid w:val="001F677B"/>
    <w:rsid w:val="002013ED"/>
    <w:rsid w:val="002138F6"/>
    <w:rsid w:val="00214A52"/>
    <w:rsid w:val="00221EC9"/>
    <w:rsid w:val="00222913"/>
    <w:rsid w:val="00222FB8"/>
    <w:rsid w:val="00225427"/>
    <w:rsid w:val="0023417B"/>
    <w:rsid w:val="00244168"/>
    <w:rsid w:val="00244916"/>
    <w:rsid w:val="00246075"/>
    <w:rsid w:val="00247798"/>
    <w:rsid w:val="00247EAC"/>
    <w:rsid w:val="00250606"/>
    <w:rsid w:val="0025090A"/>
    <w:rsid w:val="00254CD6"/>
    <w:rsid w:val="0026130F"/>
    <w:rsid w:val="00262449"/>
    <w:rsid w:val="0026400A"/>
    <w:rsid w:val="00266914"/>
    <w:rsid w:val="00273955"/>
    <w:rsid w:val="00281B98"/>
    <w:rsid w:val="00282166"/>
    <w:rsid w:val="00286FB4"/>
    <w:rsid w:val="002875D3"/>
    <w:rsid w:val="00295E7E"/>
    <w:rsid w:val="00296614"/>
    <w:rsid w:val="002B5BAD"/>
    <w:rsid w:val="002B7B5A"/>
    <w:rsid w:val="002D0A4C"/>
    <w:rsid w:val="002D35E9"/>
    <w:rsid w:val="002D3B35"/>
    <w:rsid w:val="002D6078"/>
    <w:rsid w:val="002D6AF2"/>
    <w:rsid w:val="002D778A"/>
    <w:rsid w:val="002E3D0D"/>
    <w:rsid w:val="002F1330"/>
    <w:rsid w:val="002F2245"/>
    <w:rsid w:val="002F3830"/>
    <w:rsid w:val="00302BCD"/>
    <w:rsid w:val="003073AE"/>
    <w:rsid w:val="00311C33"/>
    <w:rsid w:val="0031459B"/>
    <w:rsid w:val="00320448"/>
    <w:rsid w:val="00323A4C"/>
    <w:rsid w:val="00325B43"/>
    <w:rsid w:val="00326CAE"/>
    <w:rsid w:val="00330DB8"/>
    <w:rsid w:val="00331021"/>
    <w:rsid w:val="0033468D"/>
    <w:rsid w:val="00346452"/>
    <w:rsid w:val="0035192B"/>
    <w:rsid w:val="00351961"/>
    <w:rsid w:val="003542E3"/>
    <w:rsid w:val="00362B83"/>
    <w:rsid w:val="00363932"/>
    <w:rsid w:val="00364D20"/>
    <w:rsid w:val="00364EBE"/>
    <w:rsid w:val="003664E8"/>
    <w:rsid w:val="003675AB"/>
    <w:rsid w:val="003678EC"/>
    <w:rsid w:val="0037116D"/>
    <w:rsid w:val="003724DA"/>
    <w:rsid w:val="00376C38"/>
    <w:rsid w:val="0038279B"/>
    <w:rsid w:val="00382BEB"/>
    <w:rsid w:val="00383658"/>
    <w:rsid w:val="003923FF"/>
    <w:rsid w:val="003A2BF8"/>
    <w:rsid w:val="003A50AD"/>
    <w:rsid w:val="003A6B04"/>
    <w:rsid w:val="003B3E2D"/>
    <w:rsid w:val="003C0770"/>
    <w:rsid w:val="003C0DDD"/>
    <w:rsid w:val="003C1B38"/>
    <w:rsid w:val="003C65F6"/>
    <w:rsid w:val="003C7E8D"/>
    <w:rsid w:val="003E150B"/>
    <w:rsid w:val="003E36CE"/>
    <w:rsid w:val="003E5D40"/>
    <w:rsid w:val="003E64D0"/>
    <w:rsid w:val="003F02C0"/>
    <w:rsid w:val="003F1EED"/>
    <w:rsid w:val="003F72AE"/>
    <w:rsid w:val="003F77A8"/>
    <w:rsid w:val="00402E00"/>
    <w:rsid w:val="0040349A"/>
    <w:rsid w:val="00406344"/>
    <w:rsid w:val="004139D1"/>
    <w:rsid w:val="00414EA7"/>
    <w:rsid w:val="00421D0A"/>
    <w:rsid w:val="004242F4"/>
    <w:rsid w:val="00424D37"/>
    <w:rsid w:val="00433D1E"/>
    <w:rsid w:val="00433E63"/>
    <w:rsid w:val="004344B3"/>
    <w:rsid w:val="004349A6"/>
    <w:rsid w:val="00435976"/>
    <w:rsid w:val="0044240B"/>
    <w:rsid w:val="004453D9"/>
    <w:rsid w:val="00445A1F"/>
    <w:rsid w:val="0045201D"/>
    <w:rsid w:val="00455C3D"/>
    <w:rsid w:val="004638D2"/>
    <w:rsid w:val="00466F81"/>
    <w:rsid w:val="00467C3B"/>
    <w:rsid w:val="0047191C"/>
    <w:rsid w:val="00471D21"/>
    <w:rsid w:val="00473CFE"/>
    <w:rsid w:val="00474ACC"/>
    <w:rsid w:val="004829D7"/>
    <w:rsid w:val="004A6188"/>
    <w:rsid w:val="004B0852"/>
    <w:rsid w:val="004B3DF1"/>
    <w:rsid w:val="004B570C"/>
    <w:rsid w:val="004B6697"/>
    <w:rsid w:val="004B73BD"/>
    <w:rsid w:val="004C12D2"/>
    <w:rsid w:val="004D48C1"/>
    <w:rsid w:val="004E0540"/>
    <w:rsid w:val="004E1ADB"/>
    <w:rsid w:val="004E2E96"/>
    <w:rsid w:val="005041D4"/>
    <w:rsid w:val="005154B6"/>
    <w:rsid w:val="00516C5E"/>
    <w:rsid w:val="00521FEE"/>
    <w:rsid w:val="00522FDE"/>
    <w:rsid w:val="00527BBF"/>
    <w:rsid w:val="00530C1C"/>
    <w:rsid w:val="005325A6"/>
    <w:rsid w:val="00532A60"/>
    <w:rsid w:val="0053780E"/>
    <w:rsid w:val="005407AB"/>
    <w:rsid w:val="005502EC"/>
    <w:rsid w:val="00551EA4"/>
    <w:rsid w:val="00556C81"/>
    <w:rsid w:val="00580198"/>
    <w:rsid w:val="0058362C"/>
    <w:rsid w:val="00584676"/>
    <w:rsid w:val="0058770B"/>
    <w:rsid w:val="005905F2"/>
    <w:rsid w:val="00592C57"/>
    <w:rsid w:val="00593069"/>
    <w:rsid w:val="00594DC8"/>
    <w:rsid w:val="005A0D62"/>
    <w:rsid w:val="005A12F8"/>
    <w:rsid w:val="005A2BA8"/>
    <w:rsid w:val="005A2F80"/>
    <w:rsid w:val="005A4188"/>
    <w:rsid w:val="005B2400"/>
    <w:rsid w:val="005B3614"/>
    <w:rsid w:val="005B3BCF"/>
    <w:rsid w:val="005B55DF"/>
    <w:rsid w:val="005B69C1"/>
    <w:rsid w:val="005C0B45"/>
    <w:rsid w:val="005C6BA6"/>
    <w:rsid w:val="005D6B9B"/>
    <w:rsid w:val="005E318E"/>
    <w:rsid w:val="005F29F8"/>
    <w:rsid w:val="005F4EB3"/>
    <w:rsid w:val="005F5FEB"/>
    <w:rsid w:val="005F72E8"/>
    <w:rsid w:val="0062319A"/>
    <w:rsid w:val="00636D01"/>
    <w:rsid w:val="00647DBF"/>
    <w:rsid w:val="00656104"/>
    <w:rsid w:val="00657EA6"/>
    <w:rsid w:val="0066110E"/>
    <w:rsid w:val="006805F5"/>
    <w:rsid w:val="00681AD7"/>
    <w:rsid w:val="00683832"/>
    <w:rsid w:val="00684110"/>
    <w:rsid w:val="00687D18"/>
    <w:rsid w:val="006926E3"/>
    <w:rsid w:val="0069588D"/>
    <w:rsid w:val="006A0317"/>
    <w:rsid w:val="006B3841"/>
    <w:rsid w:val="006B4497"/>
    <w:rsid w:val="006B4591"/>
    <w:rsid w:val="006C2C8C"/>
    <w:rsid w:val="006C720C"/>
    <w:rsid w:val="006D2995"/>
    <w:rsid w:val="006D7365"/>
    <w:rsid w:val="006D7A7F"/>
    <w:rsid w:val="006D7B11"/>
    <w:rsid w:val="006E1A8E"/>
    <w:rsid w:val="006E5D44"/>
    <w:rsid w:val="006E64EF"/>
    <w:rsid w:val="006F0623"/>
    <w:rsid w:val="006F2620"/>
    <w:rsid w:val="006F566A"/>
    <w:rsid w:val="006F78BE"/>
    <w:rsid w:val="006F7EBA"/>
    <w:rsid w:val="007028AE"/>
    <w:rsid w:val="00706669"/>
    <w:rsid w:val="00713C0C"/>
    <w:rsid w:val="00715294"/>
    <w:rsid w:val="0072023F"/>
    <w:rsid w:val="0072115B"/>
    <w:rsid w:val="00721949"/>
    <w:rsid w:val="00721A84"/>
    <w:rsid w:val="00723D29"/>
    <w:rsid w:val="007272C9"/>
    <w:rsid w:val="00731468"/>
    <w:rsid w:val="007433D4"/>
    <w:rsid w:val="0074342F"/>
    <w:rsid w:val="007450A6"/>
    <w:rsid w:val="00753001"/>
    <w:rsid w:val="007551BF"/>
    <w:rsid w:val="00767FCF"/>
    <w:rsid w:val="00770024"/>
    <w:rsid w:val="007749A1"/>
    <w:rsid w:val="0078405D"/>
    <w:rsid w:val="00784D7A"/>
    <w:rsid w:val="007854B3"/>
    <w:rsid w:val="007979B1"/>
    <w:rsid w:val="007A2A3C"/>
    <w:rsid w:val="007A658E"/>
    <w:rsid w:val="007B0806"/>
    <w:rsid w:val="007B0FB7"/>
    <w:rsid w:val="007C6844"/>
    <w:rsid w:val="007E290A"/>
    <w:rsid w:val="007F4591"/>
    <w:rsid w:val="007F54A6"/>
    <w:rsid w:val="007F57A4"/>
    <w:rsid w:val="00800FF0"/>
    <w:rsid w:val="00811A4F"/>
    <w:rsid w:val="00811DE0"/>
    <w:rsid w:val="00812949"/>
    <w:rsid w:val="0081660B"/>
    <w:rsid w:val="00822646"/>
    <w:rsid w:val="00822F6A"/>
    <w:rsid w:val="008259B0"/>
    <w:rsid w:val="00826D39"/>
    <w:rsid w:val="00833B09"/>
    <w:rsid w:val="00834D05"/>
    <w:rsid w:val="00835CCF"/>
    <w:rsid w:val="00836CE1"/>
    <w:rsid w:val="008421B8"/>
    <w:rsid w:val="00842D35"/>
    <w:rsid w:val="008443FF"/>
    <w:rsid w:val="008453BB"/>
    <w:rsid w:val="0084737F"/>
    <w:rsid w:val="008545E0"/>
    <w:rsid w:val="00860F38"/>
    <w:rsid w:val="0087237C"/>
    <w:rsid w:val="00872B6C"/>
    <w:rsid w:val="0088331B"/>
    <w:rsid w:val="00884826"/>
    <w:rsid w:val="00886138"/>
    <w:rsid w:val="00886CFD"/>
    <w:rsid w:val="00890B17"/>
    <w:rsid w:val="008923FD"/>
    <w:rsid w:val="0089638E"/>
    <w:rsid w:val="008A1677"/>
    <w:rsid w:val="008A3CF6"/>
    <w:rsid w:val="008B0031"/>
    <w:rsid w:val="008B038A"/>
    <w:rsid w:val="008B0687"/>
    <w:rsid w:val="008B4775"/>
    <w:rsid w:val="008B5BBC"/>
    <w:rsid w:val="008C5578"/>
    <w:rsid w:val="008C7AB1"/>
    <w:rsid w:val="008D2C4F"/>
    <w:rsid w:val="008D3984"/>
    <w:rsid w:val="008D541D"/>
    <w:rsid w:val="008E02ED"/>
    <w:rsid w:val="008E34A4"/>
    <w:rsid w:val="008E45B7"/>
    <w:rsid w:val="008E4B54"/>
    <w:rsid w:val="008F2AC4"/>
    <w:rsid w:val="008F4149"/>
    <w:rsid w:val="008F707D"/>
    <w:rsid w:val="00904079"/>
    <w:rsid w:val="00904BC2"/>
    <w:rsid w:val="00906BFA"/>
    <w:rsid w:val="00916A5A"/>
    <w:rsid w:val="00917196"/>
    <w:rsid w:val="00921558"/>
    <w:rsid w:val="009248B0"/>
    <w:rsid w:val="00926F3A"/>
    <w:rsid w:val="009319BD"/>
    <w:rsid w:val="00931D71"/>
    <w:rsid w:val="00932E28"/>
    <w:rsid w:val="0093332B"/>
    <w:rsid w:val="0094025E"/>
    <w:rsid w:val="0094383B"/>
    <w:rsid w:val="009629EB"/>
    <w:rsid w:val="00964DE5"/>
    <w:rsid w:val="00973982"/>
    <w:rsid w:val="00981503"/>
    <w:rsid w:val="009908C5"/>
    <w:rsid w:val="009924AC"/>
    <w:rsid w:val="00992731"/>
    <w:rsid w:val="00992A07"/>
    <w:rsid w:val="009934FC"/>
    <w:rsid w:val="009A06AA"/>
    <w:rsid w:val="009C5437"/>
    <w:rsid w:val="009D2D67"/>
    <w:rsid w:val="009D4560"/>
    <w:rsid w:val="009D7441"/>
    <w:rsid w:val="009D7C2D"/>
    <w:rsid w:val="009E3D42"/>
    <w:rsid w:val="009E6355"/>
    <w:rsid w:val="009E7FB7"/>
    <w:rsid w:val="009F11F4"/>
    <w:rsid w:val="009F43AE"/>
    <w:rsid w:val="00A045BD"/>
    <w:rsid w:val="00A06683"/>
    <w:rsid w:val="00A143E9"/>
    <w:rsid w:val="00A3138A"/>
    <w:rsid w:val="00A32965"/>
    <w:rsid w:val="00A4125E"/>
    <w:rsid w:val="00A44F29"/>
    <w:rsid w:val="00A46080"/>
    <w:rsid w:val="00A464FF"/>
    <w:rsid w:val="00A472A0"/>
    <w:rsid w:val="00A47C29"/>
    <w:rsid w:val="00A47DAE"/>
    <w:rsid w:val="00A52C33"/>
    <w:rsid w:val="00A52F5E"/>
    <w:rsid w:val="00A53AF4"/>
    <w:rsid w:val="00A65683"/>
    <w:rsid w:val="00A67C44"/>
    <w:rsid w:val="00A74221"/>
    <w:rsid w:val="00A74EC3"/>
    <w:rsid w:val="00A7611A"/>
    <w:rsid w:val="00A7743E"/>
    <w:rsid w:val="00A77E1E"/>
    <w:rsid w:val="00A77E89"/>
    <w:rsid w:val="00A82D84"/>
    <w:rsid w:val="00A8576D"/>
    <w:rsid w:val="00AA1EDC"/>
    <w:rsid w:val="00AA6708"/>
    <w:rsid w:val="00AB3AFC"/>
    <w:rsid w:val="00AB5872"/>
    <w:rsid w:val="00AC5332"/>
    <w:rsid w:val="00AE2179"/>
    <w:rsid w:val="00AF384D"/>
    <w:rsid w:val="00AF625F"/>
    <w:rsid w:val="00AF7A61"/>
    <w:rsid w:val="00B0103A"/>
    <w:rsid w:val="00B0110A"/>
    <w:rsid w:val="00B057DD"/>
    <w:rsid w:val="00B15503"/>
    <w:rsid w:val="00B34D23"/>
    <w:rsid w:val="00B35358"/>
    <w:rsid w:val="00B35F3F"/>
    <w:rsid w:val="00B523BB"/>
    <w:rsid w:val="00B5289B"/>
    <w:rsid w:val="00B5612B"/>
    <w:rsid w:val="00B57893"/>
    <w:rsid w:val="00B61F0B"/>
    <w:rsid w:val="00B67CC1"/>
    <w:rsid w:val="00B73815"/>
    <w:rsid w:val="00B73DB7"/>
    <w:rsid w:val="00B754B6"/>
    <w:rsid w:val="00B75E60"/>
    <w:rsid w:val="00B87C3E"/>
    <w:rsid w:val="00B9605E"/>
    <w:rsid w:val="00BA0816"/>
    <w:rsid w:val="00BA46B0"/>
    <w:rsid w:val="00BA6DB1"/>
    <w:rsid w:val="00BB309B"/>
    <w:rsid w:val="00BB4B6C"/>
    <w:rsid w:val="00BB536E"/>
    <w:rsid w:val="00BB5AD1"/>
    <w:rsid w:val="00BB5F29"/>
    <w:rsid w:val="00BB71DF"/>
    <w:rsid w:val="00BC166E"/>
    <w:rsid w:val="00BD1169"/>
    <w:rsid w:val="00BD34AF"/>
    <w:rsid w:val="00BD553F"/>
    <w:rsid w:val="00BD7975"/>
    <w:rsid w:val="00BE29D8"/>
    <w:rsid w:val="00BE3924"/>
    <w:rsid w:val="00BE69F5"/>
    <w:rsid w:val="00BF2F82"/>
    <w:rsid w:val="00BF7046"/>
    <w:rsid w:val="00C03610"/>
    <w:rsid w:val="00C0430F"/>
    <w:rsid w:val="00C078A5"/>
    <w:rsid w:val="00C232C9"/>
    <w:rsid w:val="00C24BEA"/>
    <w:rsid w:val="00C25E55"/>
    <w:rsid w:val="00C26E78"/>
    <w:rsid w:val="00C278FE"/>
    <w:rsid w:val="00C32785"/>
    <w:rsid w:val="00C32EE4"/>
    <w:rsid w:val="00C32F20"/>
    <w:rsid w:val="00C55413"/>
    <w:rsid w:val="00C55528"/>
    <w:rsid w:val="00C56AA8"/>
    <w:rsid w:val="00C6199B"/>
    <w:rsid w:val="00C64E7D"/>
    <w:rsid w:val="00C651A5"/>
    <w:rsid w:val="00C7177A"/>
    <w:rsid w:val="00C73EAF"/>
    <w:rsid w:val="00C75301"/>
    <w:rsid w:val="00C77BD3"/>
    <w:rsid w:val="00C8729A"/>
    <w:rsid w:val="00C91095"/>
    <w:rsid w:val="00C94381"/>
    <w:rsid w:val="00CA3CF8"/>
    <w:rsid w:val="00CA4788"/>
    <w:rsid w:val="00CA75CC"/>
    <w:rsid w:val="00CA75F3"/>
    <w:rsid w:val="00CB3A48"/>
    <w:rsid w:val="00CB4C42"/>
    <w:rsid w:val="00CC0E3E"/>
    <w:rsid w:val="00CC2AF5"/>
    <w:rsid w:val="00CC3CB5"/>
    <w:rsid w:val="00CC6166"/>
    <w:rsid w:val="00CD54BE"/>
    <w:rsid w:val="00CD612F"/>
    <w:rsid w:val="00CD61E0"/>
    <w:rsid w:val="00CD7E25"/>
    <w:rsid w:val="00CE3E82"/>
    <w:rsid w:val="00CE3EB4"/>
    <w:rsid w:val="00CE617C"/>
    <w:rsid w:val="00CF4624"/>
    <w:rsid w:val="00CF5BE5"/>
    <w:rsid w:val="00D0473F"/>
    <w:rsid w:val="00D172FA"/>
    <w:rsid w:val="00D20B96"/>
    <w:rsid w:val="00D2204B"/>
    <w:rsid w:val="00D23C50"/>
    <w:rsid w:val="00D31253"/>
    <w:rsid w:val="00D35847"/>
    <w:rsid w:val="00D40DDD"/>
    <w:rsid w:val="00D430F6"/>
    <w:rsid w:val="00D43D03"/>
    <w:rsid w:val="00D448AF"/>
    <w:rsid w:val="00D45EA7"/>
    <w:rsid w:val="00D475D2"/>
    <w:rsid w:val="00D50856"/>
    <w:rsid w:val="00D52F94"/>
    <w:rsid w:val="00D56FB6"/>
    <w:rsid w:val="00D65298"/>
    <w:rsid w:val="00D706A2"/>
    <w:rsid w:val="00D72013"/>
    <w:rsid w:val="00D757B2"/>
    <w:rsid w:val="00D85677"/>
    <w:rsid w:val="00D91E0D"/>
    <w:rsid w:val="00D92CD6"/>
    <w:rsid w:val="00D93A72"/>
    <w:rsid w:val="00DB07AF"/>
    <w:rsid w:val="00DB1D8D"/>
    <w:rsid w:val="00DB4B1B"/>
    <w:rsid w:val="00DB5464"/>
    <w:rsid w:val="00DC1FA9"/>
    <w:rsid w:val="00DD0D55"/>
    <w:rsid w:val="00DD3BF8"/>
    <w:rsid w:val="00DD423D"/>
    <w:rsid w:val="00DD6CA9"/>
    <w:rsid w:val="00DE4D59"/>
    <w:rsid w:val="00DF03DC"/>
    <w:rsid w:val="00DF0D6E"/>
    <w:rsid w:val="00DF23DE"/>
    <w:rsid w:val="00DF74F8"/>
    <w:rsid w:val="00E0030F"/>
    <w:rsid w:val="00E0114C"/>
    <w:rsid w:val="00E039FF"/>
    <w:rsid w:val="00E05E3E"/>
    <w:rsid w:val="00E12124"/>
    <w:rsid w:val="00E12A3E"/>
    <w:rsid w:val="00E14849"/>
    <w:rsid w:val="00E16313"/>
    <w:rsid w:val="00E1740E"/>
    <w:rsid w:val="00E25839"/>
    <w:rsid w:val="00E3132F"/>
    <w:rsid w:val="00E37B97"/>
    <w:rsid w:val="00E45517"/>
    <w:rsid w:val="00E470FC"/>
    <w:rsid w:val="00E504EE"/>
    <w:rsid w:val="00E54D23"/>
    <w:rsid w:val="00E54DFB"/>
    <w:rsid w:val="00E5522F"/>
    <w:rsid w:val="00E575F6"/>
    <w:rsid w:val="00E61157"/>
    <w:rsid w:val="00E71060"/>
    <w:rsid w:val="00E80C1F"/>
    <w:rsid w:val="00E835B5"/>
    <w:rsid w:val="00E87EBF"/>
    <w:rsid w:val="00E92DB9"/>
    <w:rsid w:val="00E9452C"/>
    <w:rsid w:val="00EA072E"/>
    <w:rsid w:val="00EA1390"/>
    <w:rsid w:val="00EA1D8A"/>
    <w:rsid w:val="00EA275D"/>
    <w:rsid w:val="00EA60A7"/>
    <w:rsid w:val="00EA66D6"/>
    <w:rsid w:val="00EB1E46"/>
    <w:rsid w:val="00EB3BDE"/>
    <w:rsid w:val="00EB5E64"/>
    <w:rsid w:val="00EC22D7"/>
    <w:rsid w:val="00EC7116"/>
    <w:rsid w:val="00ED77AE"/>
    <w:rsid w:val="00EE21D2"/>
    <w:rsid w:val="00EE487E"/>
    <w:rsid w:val="00EE568D"/>
    <w:rsid w:val="00EE604D"/>
    <w:rsid w:val="00EE773C"/>
    <w:rsid w:val="00EF1565"/>
    <w:rsid w:val="00EF1F11"/>
    <w:rsid w:val="00EF3BA4"/>
    <w:rsid w:val="00EF3BB2"/>
    <w:rsid w:val="00EF52B5"/>
    <w:rsid w:val="00EF654F"/>
    <w:rsid w:val="00EF7DDF"/>
    <w:rsid w:val="00F0090B"/>
    <w:rsid w:val="00F0606D"/>
    <w:rsid w:val="00F060A0"/>
    <w:rsid w:val="00F070EE"/>
    <w:rsid w:val="00F14CB3"/>
    <w:rsid w:val="00F21C79"/>
    <w:rsid w:val="00F23EFD"/>
    <w:rsid w:val="00F30BB0"/>
    <w:rsid w:val="00F339BF"/>
    <w:rsid w:val="00F535FD"/>
    <w:rsid w:val="00F55615"/>
    <w:rsid w:val="00F56CDC"/>
    <w:rsid w:val="00F624CF"/>
    <w:rsid w:val="00F64035"/>
    <w:rsid w:val="00F80D3F"/>
    <w:rsid w:val="00F8568D"/>
    <w:rsid w:val="00F87530"/>
    <w:rsid w:val="00F91A5E"/>
    <w:rsid w:val="00F92198"/>
    <w:rsid w:val="00F95F8E"/>
    <w:rsid w:val="00FA6ECF"/>
    <w:rsid w:val="00FB42DE"/>
    <w:rsid w:val="00FB4469"/>
    <w:rsid w:val="00FC55A7"/>
    <w:rsid w:val="00FD2C4C"/>
    <w:rsid w:val="00FD4E5F"/>
    <w:rsid w:val="00FE14AF"/>
    <w:rsid w:val="00FE46A3"/>
    <w:rsid w:val="00FE52BF"/>
    <w:rsid w:val="00FF0C72"/>
  </w:rsids>
  <w:themeFontLang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Arial" w:eastAsiaTheme="minorHAnsi" w:hAnsi="Arial"/>
        <w:sz w:val="22"/>
        <w:szCs w:val="22"/>
        <w:lang w:bidi="ar-SA" w:eastAsia="en-US" w:val="pt-BR"/>
      </w:rPr>
    </w:rPrDefault>
    <w:pPrDefault>
      <w:pPr>
        <w:spacing w:line="276" w:lineRule="auto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2" w:type="paragraph">
    <w:name w:val="heading 2"/>
    <w:basedOn w:val="Normal"/>
    <w:next w:val="Normal"/>
    <w:link w:val="Ttulo2Char"/>
    <w:uiPriority w:val="9"/>
    <w:unhideWhenUsed/>
    <w:qFormat/>
    <w:rsid w:val="000414DF"/>
    <w:pPr>
      <w:keepNext/>
      <w:keepLines/>
      <w:spacing w:before="200"/>
      <w:jc w:val="left"/>
      <w:outlineLvl w:val="1"/>
    </w:pPr>
    <w:rPr>
      <w:rFonts w:cstheme="majorBidi" w:eastAsiaTheme="majorEastAsia"/>
      <w:b/>
      <w:bCs/>
      <w:color w:themeColor="text1" w:val="000000"/>
      <w:szCs w:val="26"/>
      <w:lang w:val="en-US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0414DF"/>
    <w:rPr>
      <w:rFonts w:ascii="Arial" w:cstheme="majorBidi" w:eastAsiaTheme="majorEastAsia" w:hAnsi="Arial"/>
      <w:b/>
      <w:bCs/>
      <w:color w:themeColor="text1" w:val="000000"/>
      <w:szCs w:val="26"/>
      <w:lang w:val="en-US"/>
    </w:rPr>
  </w:style>
  <w:style w:styleId="Nmerodelinha" w:type="character">
    <w:name w:val="line number"/>
    <w:basedOn w:val="Fontepargpadro"/>
    <w:uiPriority w:val="99"/>
    <w:semiHidden/>
    <w:unhideWhenUsed/>
    <w:rsid w:val="005F5FEB"/>
  </w:style>
  <w:style w:styleId="Cabealho" w:type="paragraph">
    <w:name w:val="header"/>
    <w:basedOn w:val="Normal"/>
    <w:link w:val="Cabealho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5F5FEB"/>
  </w:style>
  <w:style w:styleId="Rodap" w:type="paragraph">
    <w:name w:val="footer"/>
    <w:basedOn w:val="Normal"/>
    <w:link w:val="RodapChar"/>
    <w:uiPriority w:val="99"/>
    <w:unhideWhenUsed/>
    <w:rsid w:val="005F5FEB"/>
    <w:pPr>
      <w:tabs>
        <w:tab w:pos="4252" w:val="center"/>
        <w:tab w:pos="8504" w:val="right"/>
      </w:tabs>
      <w:spacing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5F5FEB"/>
  </w:style>
  <w:style w:styleId="Hyperlink" w:type="character">
    <w:name w:val="Hyperlink"/>
    <w:basedOn w:val="Fontepargpadro"/>
    <w:uiPriority w:val="99"/>
    <w:unhideWhenUsed/>
    <w:rsid w:val="00AA1EDC"/>
    <w:rPr>
      <w:color w:themeColor="hyperlink" w:val="0000FF"/>
      <w:u w:val="single"/>
    </w:rPr>
  </w:style>
  <w:style w:styleId="Textodebalo" w:type="paragraph">
    <w:name w:val="Balloon Text"/>
    <w:basedOn w:val="Normal"/>
    <w:link w:val="TextodebaloChar"/>
    <w:uiPriority w:val="99"/>
    <w:semiHidden/>
    <w:unhideWhenUsed/>
    <w:rsid w:val="001E108A"/>
    <w:pPr>
      <w:spacing w:line="240" w:lineRule="auto"/>
    </w:pPr>
    <w:rPr>
      <w:rFonts w:ascii="Tahoma" w:cs="Tahoma" w:hAnsi="Tahoma"/>
      <w:sz w:val="16"/>
      <w:szCs w:val="16"/>
    </w:rPr>
  </w:style>
  <w:style w:customStyle="1" w:styleId="TextodebaloChar" w:type="character">
    <w:name w:val="Texto de balão Char"/>
    <w:basedOn w:val="Fontepargpadro"/>
    <w:link w:val="Textodebalo"/>
    <w:uiPriority w:val="99"/>
    <w:semiHidden/>
    <w:rsid w:val="001E108A"/>
    <w:rPr>
      <w:rFonts w:ascii="Tahoma" w:cs="Tahoma" w:hAnsi="Tahoma"/>
      <w:sz w:val="16"/>
      <w:szCs w:val="16"/>
    </w:rPr>
  </w:style>
  <w:style w:styleId="SemEspaamento" w:type="paragraph">
    <w:name w:val="No Spacing"/>
    <w:uiPriority w:val="1"/>
    <w:qFormat/>
    <w:rsid w:val="001E108A"/>
    <w:pPr>
      <w:spacing w:line="240" w:lineRule="auto"/>
    </w:pPr>
  </w:style>
  <w:style w:styleId="PargrafodaLista" w:type="paragraph">
    <w:name w:val="List Paragraph"/>
    <w:basedOn w:val="Normal"/>
    <w:uiPriority w:val="34"/>
    <w:qFormat/>
    <w:rsid w:val="009629EB"/>
    <w:pPr>
      <w:ind w:left="720"/>
      <w:contextualSpacing/>
    </w:pPr>
  </w:style>
  <w:style w:styleId="Reviso" w:type="paragraph">
    <w:name w:val="Revision"/>
    <w:hidden/>
    <w:uiPriority w:val="99"/>
    <w:semiHidden/>
    <w:rsid w:val="00AF384D"/>
    <w:pPr>
      <w:spacing w:line="240" w:lineRule="auto"/>
      <w:jc w:val="left"/>
    </w:pPr>
  </w:style>
  <w:style w:customStyle="1" w:styleId="fontstyle01" w:type="character">
    <w:name w:val="fontstyle01"/>
    <w:basedOn w:val="Fontepargpadro"/>
    <w:rsid w:val="00AF384D"/>
    <w:rPr>
      <w:rFonts w:ascii="ArialMT" w:hAnsi="ArialMT" w:hint="default"/>
      <w:b w:val="0"/>
      <w:bCs w:val="0"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Fontepargpadro"/>
    <w:rsid w:val="00DF03DC"/>
  </w:style>
  <w:style w:styleId="Tabelacomgrade" w:type="table">
    <w:name w:val="Table Grid"/>
    <w:basedOn w:val="Tabelanormal"/>
    <w:uiPriority w:val="59"/>
    <w:rsid w:val="00DB4B1B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implesTabela2" w:type="table">
    <w:name w:val="Plain Table 2"/>
    <w:basedOn w:val="Tabelanormal"/>
    <w:uiPriority w:val="42"/>
    <w:rsid w:val="00DB4B1B"/>
    <w:pPr>
      <w:spacing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MenoPendente" w:type="character">
    <w:name w:val="Unresolved Mention"/>
    <w:basedOn w:val="Fontepargpadro"/>
    <w:uiPriority w:val="99"/>
    <w:semiHidden/>
    <w:unhideWhenUsed/>
    <w:rsid w:val="007979B1"/>
    <w:rPr>
      <w:color w:val="605E5C"/>
      <w:shd w:color="auto" w:fill="E1DFDD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Type="http://schemas.openxmlformats.org/officeDocument/2006/relationships/image" Id="rId71" Target="media/rId71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1378</Words>
  <Characters>8678</Characters>
  <Application>Microsoft Office Word</Application>
  <DocSecurity>0</DocSecurity>
  <Lines>180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2026-09-23T22:44:58Z</dcterms:created>
  <dcterms:modified xsi:type="dcterms:W3CDTF">2026-09-23T22:44:58Z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