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 </w:t>
      </w:r>
      <w:hyperlink w:anchor="tab:ml_cv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Resultados e Discussão</w:t>
      </w:r>
    </w:p>
    <w:bookmarkStart w:id="38" w:name="subsec:hl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hlm_resultados">
        <w:r>
          <w:rPr>
            <w:rStyle w:val="Hyperlink"/>
          </w:rPr>
          <w:t xml:space="preserve">2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rPr>
          <w:rFonts w:ascii="Arial" w:hAnsi="Arial"/>
          <w:sz w:val="22"/>
        </w:rPr>
        <w:t xml:space="preserve">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(Seção </w:t>
      </w:r>
      <w:hyperlink w:anchor="subsec:glmm_resultados">
        <w:r>
          <w:rPr>
            <w:rStyle w:val="Hyperlink"/>
          </w:rPr>
          <w:t xml:space="preserve">[subsec:glmm_resultados]</w:t>
        </w:r>
      </w:hyperlink>
      <w:r>
        <w:rPr>
          <w:rFonts w:ascii="Arial" w:hAnsi="Arial"/>
          <w:sz w:val="22"/>
        </w:rPr>
        <w:t xml:space="preserve">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contrasta os efeitos fixos de estado com os interceptos estimados para os bairros.</w:t>
      </w:r>
    </w:p>
    <w:bookmarkStart w:id="36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hlm_blups">
        <w:r>
          <w:rPr>
            <w:rStyle w:val="Hyperlink"/>
          </w:rPr>
          <w:t xml:space="preserve">1</w:t>
        </w:r>
      </w:hyperlink>
      <w:r>
        <w:rPr>
          <w:rFonts w:ascii="Arial" w:hAnsi="Arial"/>
          <w:sz w:val="22"/>
        </w:rPr>
        <w:t xml:space="preserve">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7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8"/>
    <w:bookmarkStart w:id="51" w:name="subsec:ml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ml_per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39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3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 </w:t>
      </w:r>
      <w:hyperlink w:anchor="tab:ml_per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 </w:t>
      </w:r>
      <w:hyperlink w:anchor="tab:ml_cv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0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1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 o ranking completo das variáveis nos dois modelos.</w:t>
      </w:r>
    </w:p>
    <w:bookmarkStart w:id="42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2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 A Figura </w:t>
      </w:r>
      <w:hyperlink w:anchor="fig:shap_bee">
        <w:r>
          <w:rPr>
            <w:rStyle w:val="Hyperlink"/>
          </w:rPr>
          <w:t xml:space="preserve">[fig:shap_bee]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distribuição dos valores de contribuição por variável.</w:t>
      </w:r>
    </w:p>
    <w:bookmarkStart w:id="46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shap">
        <w:r>
          <w:rPr>
            <w:rStyle w:val="Hyperlink"/>
          </w:rPr>
          <w:t xml:space="preserve">2</w:t>
        </w:r>
      </w:hyperlink>
      <w:r>
        <w:rPr>
          <w:rFonts w:ascii="Arial" w:hAnsi="Arial"/>
          <w:sz w:val="22"/>
        </w:rPr>
        <w:t xml:space="preserve">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shap_importance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 </w:t>
      </w:r>
      <w:hyperlink w:anchor="fig:shap_w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ilustra como a previsão de um caso individual é composta.</w:t>
      </w:r>
    </w:p>
    <w:bookmarkStart w:id="50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shap_wf">
        <w:r>
          <w:rPr>
            <w:rStyle w:val="Hyperlink"/>
          </w:rPr>
          <w:t xml:space="preserve">3</w:t>
        </w:r>
      </w:hyperlink>
      <w:r>
        <w:rPr>
          <w:rFonts w:ascii="Arial" w:hAnsi="Arial"/>
          <w:sz w:val="22"/>
        </w:rPr>
        <w:t xml:space="preserve">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mediacao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2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hlm_gap">
        <w:r>
          <w:rPr>
            <w:rStyle w:val="Hyperlink"/>
          </w:rPr>
          <w:t xml:space="preserve">4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resume a sequência de degraus em barras.</w:t>
      </w:r>
    </w:p>
    <w:bookmarkStart w:id="56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hlm_gap">
        <w:r>
          <w:rPr>
            <w:rStyle w:val="Hyperlink"/>
          </w:rPr>
          <w:t xml:space="preserve">4</w:t>
        </w:r>
      </w:hyperlink>
      <w:r>
        <w:rPr>
          <w:rFonts w:ascii="Arial" w:hAnsi="Arial"/>
          <w:sz w:val="22"/>
        </w:rPr>
        <w:t xml:space="preserve">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Oaxaca–Blinder: composição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 </w:t>
      </w:r>
      <w:hyperlink w:anchor="tab:oaxaca_blinder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8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1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ob_cascata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apresenta as duas especificações em forma de cascata.</w:t>
      </w:r>
    </w:p>
    <w:bookmarkStart w:id="62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2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ob_cascata">
        <w:r>
          <w:rPr>
            <w:rStyle w:val="Hyperlink"/>
          </w:rPr>
          <w:t xml:space="preserve">5</w:t>
        </w:r>
      </w:hyperlink>
      <w:r>
        <w:rPr>
          <w:rFonts w:ascii="Arial" w:hAnsi="Arial"/>
          <w:sz w:val="22"/>
        </w:rPr>
        <w:t xml:space="preserve">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RIF-OB: teto de vidro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9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</w:t>
      </w:r>
      <w:hyperlink w:anchor="tab:rif_ob">
        <w:r>
          <w:rPr>
            <w:rStyle w:val="Hyperlink"/>
          </w:rPr>
          <w:t xml:space="preserve">10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 </w:t>
      </w:r>
      <w:hyperlink w:anchor="tab:rif_ob">
        <w:r>
          <w:rPr>
            <w:rStyle w:val="Hyperlink"/>
          </w:rPr>
          <w:t xml:space="preserve">10</w:t>
        </w:r>
      </w:hyperlink>
      <w:r>
        <w:rPr>
          <w:rFonts w:ascii="Arial" w:hAnsi="Arial"/>
          <w:sz w:val="22"/>
        </w:rPr>
        <w:t xml:space="preserve">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4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5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</w:t>
      </w:r>
      <w:hyperlink w:anchor="fig:qr_rif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põe os dois ângulos lado a lado.</w:t>
      </w:r>
    </w:p>
    <w:bookmarkStart w:id="69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6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qr_rif">
        <w:r>
          <w:rPr>
            <w:rStyle w:val="Hyperlink"/>
          </w:rPr>
          <w:t xml:space="preserve">6</w:t>
        </w:r>
      </w:hyperlink>
      <w:r>
        <w:rPr>
          <w:rFonts w:ascii="Arial" w:hAnsi="Arial"/>
          <w:sz w:val="22"/>
        </w:rPr>
        <w:t xml:space="preserve">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 </w:t>
      </w:r>
      <w:hyperlink w:anchor="tab:glmm_ajuste">
        <w:r>
          <w:rPr>
            <w:rStyle w:val="Hyperlink"/>
          </w:rPr>
          <w:t xml:space="preserve">12</w:t>
        </w:r>
      </w:hyperlink>
      <w:r>
        <w:rPr>
          <w:rFonts w:ascii="Arial" w:hAnsi="Arial"/>
          <w:sz w:val="22"/>
        </w:rPr>
        <w:t xml:space="preserve">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 </w:t>
      </w:r>
      <w:hyperlink w:anchor="fig:glmm_or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 </w:t>
      </w:r>
      <w:hyperlink w:anchor="tab:glmm_glassceil">
        <w:r>
          <w:rPr>
            <w:rStyle w:val="Hyperlink"/>
          </w:rPr>
          <w:t xml:space="preserve">11</w:t>
        </w:r>
      </w:hyperlink>
      <w:r>
        <w:rPr>
          <w:rFonts w:ascii="Arial" w:hAnsi="Arial"/>
          <w:sz w:val="22"/>
        </w:rPr>
        <w:t xml:space="preserve">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4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glmm_or">
        <w:r>
          <w:rPr>
            <w:rStyle w:val="Hyperlink"/>
          </w:rPr>
          <w:t xml:space="preserve">7</w:t>
        </w:r>
      </w:hyperlink>
      <w:r>
        <w:rPr>
          <w:rFonts w:ascii="Arial" w:hAnsi="Arial"/>
          <w:sz w:val="22"/>
        </w:rPr>
        <w:t xml:space="preserve">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5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6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</w:t>
      </w:r>
      <w:hyperlink w:anchor="tab:interseccional">
        <w:r>
          <w:rPr>
            <w:rStyle w:val="Hyperlink"/>
          </w:rPr>
          <w:t xml:space="preserve">13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 o diferencial de cada grupo contra o homem branco.</w:t>
      </w:r>
    </w:p>
    <w:bookmarkEnd w:id="77"/>
    <w:bookmarkStart w:id="84" w:name="X1df7cc4eb0c7cc9fb7ddad12c1316189c49cc50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Interseccionalidade: raça e gênero no acesso e no topo</w:t>
      </w:r>
    </w:p>
    <w:bookmarkStart w:id="78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13</w:t>
        </w:r>
      </w:hyperlink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, as razões de chance nos três desfechos.</w:t>
      </w:r>
    </w:p>
    <w:bookmarkStart w:id="83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4"/>
    <w:bookmarkStart w:id="86" w:name="subsec:v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(Seção </w:t>
      </w:r>
      <w:hyperlink w:anchor="subsec:hlm_resultados">
        <w:r>
          <w:rPr>
            <w:rStyle w:val="Hyperlink"/>
          </w:rPr>
          <w:t xml:space="preserve">[subsec:hlm_resultados]</w:t>
        </w:r>
      </w:hyperlink>
      <w:r>
        <w:rPr>
          <w:rFonts w:ascii="Arial" w:hAnsi="Arial"/>
          <w:sz w:val="22"/>
        </w:rPr>
        <w:t xml:space="preserve">).</w:t>
      </w:r>
    </w:p>
    <w:p>
      <w:pPr>
        <w:pStyle w:val="BodyText"/>
      </w:pPr>
      <w:bookmarkStart w:id="85" w:name="sec:discussao"/>
      <w:bookmarkEnd w:id="85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6"/>
    <w:bookmarkStart w:id="87" w:name="limitações-e-escopo-de-validad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rPr>
          <w:rFonts w:ascii="Arial" w:hAnsi="Arial"/>
          <w:sz w:val="22"/>
        </w:rPr>
        <w:t xml:space="preserve">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7"/>
    <w:bookmarkStart w:id="88" w:name="X6e5363a2ea64c40705be1be4ad3b57716cacb0d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End w:id="89"/>
    <w:bookmarkStart w:id="121" w:name="conclu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0" w:name="refs"/>
    <w:bookmarkStart w:id="90" w:name="ref-almeida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0"/>
    <w:bookmarkStart w:id="91" w:name="ref-angrist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1"/>
    <w:bookmarkStart w:id="92" w:name="ref-arrow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3"/>
    <w:bookmarkStart w:id="94" w:name="ref-bickel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4"/>
    <w:bookmarkStart w:id="95" w:name="ref-blind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5"/>
    <w:bookmarkStart w:id="96" w:name="ref-breiman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6"/>
    <w:bookmarkStart w:id="97" w:name="ref-cameron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7"/>
    <w:bookmarkStart w:id="98" w:name="ref-chen2016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8"/>
    <w:bookmarkStart w:id="99" w:name="ref-duan198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99"/>
    <w:bookmarkStart w:id="100" w:name="ref-firpo201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0"/>
    <w:bookmarkStart w:id="101" w:name="ref-frank201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1"/>
    <w:bookmarkStart w:id="102" w:name="ref-granovett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2"/>
    <w:bookmarkStart w:id="103" w:name="ref-hasenbalg197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3"/>
    <w:bookmarkStart w:id="104" w:name="ref-henriques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4"/>
    <w:bookmarkStart w:id="105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8"/>
    <w:bookmarkStart w:id="109" w:name="ref-lundberg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09"/>
    <w:bookmarkStart w:id="110" w:name="ref-manski199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0"/>
    <w:bookmarkStart w:id="111" w:name="ref-marques2010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1"/>
    <w:bookmarkStart w:id="112" w:name="ref-oaxaca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2"/>
    <w:bookmarkStart w:id="113" w:name="ref-oaxaca_ransom199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3"/>
    <w:bookmarkStart w:id="114" w:name="ref-pager200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4"/>
    <w:bookmarkStart w:id="115" w:name="ref-raudenbush2002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5"/>
    <w:bookmarkStart w:id="116" w:name="ref-sampson199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6"/>
    <w:bookmarkStart w:id="117" w:name="ref-soares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7"/>
    <w:bookmarkStart w:id="118" w:name="ref-vanderweele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8"/>
    <w:bookmarkStart w:id="119" w:name="ref-wilson198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1" Type="http://schemas.openxmlformats.org/officeDocument/2006/relationships/image" Target="media/rId71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6" Type="http://schemas.openxmlformats.org/officeDocument/2006/relationships/image" Target="media/rId66.png"/><Relationship Id="rId80" Type="http://schemas.openxmlformats.org/officeDocument/2006/relationships/image" Target="media/rId80.png"/><Relationship Id="rId33" Type="http://schemas.openxmlformats.org/officeDocument/2006/relationships/image" Target="media/rId33.png"/><Relationship Id="rId43" Type="http://schemas.openxmlformats.org/officeDocument/2006/relationships/image" Target="media/rId43.png"/><Relationship Id="rId47" Type="http://schemas.openxmlformats.org/officeDocument/2006/relationships/image" Target="media/rId4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2026-09-23T23:14:30Z</dcterms:created>
  <dcterms:modified xsi:type="dcterms:W3CDTF">2026-09-23T23:14:30Z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