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5.png" ContentType="image/png"/>
  <Override PartName="/word/media/rId73.png" ContentType="image/png"/>
  <Override PartName="/word/media/rId79.png" ContentType="image/png"/>
  <Override PartName="/word/media/rId86.png" ContentType="image/png"/>
  <Override PartName="/word/media/rId105.png" ContentType="image/png"/>
  <Override PartName="/word/media/rId41.png" ContentType="image/png"/>
  <Override PartName="/word/media/rId49.png" ContentType="image/png"/>
  <Override PartName="/word/media/rId45.png" ContentType="image/png"/>
  <Override PartName="/word/media/rId61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ESCOLA SUPERIOR DE AGRICULTURA</w:t>
      </w:r>
      <w:r>
        <w:rPr>
          <w:b/>
          <w:bCs/>
        </w:rPr>
        <w:t xml:space="preserve"> </w:t>
      </w:r>
      <w:r>
        <w:rPr>
          <w:b/>
          <w:bCs/>
        </w:rPr>
        <w:t xml:space="preserve">“LUIZ DE QUEIROZ”</w:t>
      </w:r>
      <w:r>
        <w:br/>
      </w:r>
      <w:r>
        <w:rPr>
          <w:b/>
          <w:bCs/>
        </w:rPr>
        <w:t xml:space="preserve">UNIVERSIDADE DE SÃO PAULO</w:t>
      </w:r>
    </w:p>
    <w:p>
      <w:pPr>
        <w:pStyle w:val="BodyText"/>
      </w:pPr>
      <w:r>
        <w:t xml:space="preserve">MBA em Data Science e Analytics</w:t>
      </w:r>
    </w:p>
    <w:p>
      <w:pPr>
        <w:pStyle w:val="BodyText"/>
      </w:pPr>
      <w:r>
        <w:rPr>
          <w:b/>
          <w:bCs/>
        </w:rPr>
        <w:t xml:space="preserve">RACISMO ESTRUTURAL NO MERCADO DE TRABALHO BRASILEIRO:</w:t>
      </w:r>
      <w:r>
        <w:rPr>
          <w:b/>
          <w:bCs/>
        </w:rPr>
        <w:t xml:space="preserve"> </w:t>
      </w:r>
      <w:r>
        <w:rPr>
          <w:b/>
          <w:bCs/>
        </w:rPr>
        <w:t xml:space="preserve">BAIRRO, PORTA E TOPO,</w:t>
      </w:r>
      <w:r>
        <w:rPr>
          <w:b/>
          <w:bCs/>
        </w:rPr>
        <w:t xml:space="preserve"> </w:t>
      </w:r>
      <w:r>
        <w:rPr>
          <w:b/>
          <w:bCs/>
        </w:rPr>
        <w:t xml:space="preserve">COM DADOS DA PNAD CONTÍNUA (2016–2025)</w:t>
      </w:r>
    </w:p>
    <w:p>
      <w:pPr>
        <w:pStyle w:val="BodyText"/>
      </w:pPr>
      <w:r>
        <w:rPr>
          <w:b/>
          <w:bCs/>
        </w:rPr>
        <w:t xml:space="preserve">Ricardo Calheiros</w:t>
      </w:r>
    </w:p>
    <w:p>
      <w:pPr>
        <w:pStyle w:val="BodyText"/>
      </w:pPr>
      <w:r>
        <w:t xml:space="preserve">Piracicaba, 2026</w:t>
      </w:r>
    </w:p>
    <w:bookmarkStart w:id="9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Este trabalho investiga 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salarial racial e as barreiras estruturais</w:t>
      </w:r>
      <w:r>
        <w:t xml:space="preserve"> </w:t>
      </w:r>
      <w:r>
        <w:t xml:space="preserve">à progressão de carreira de profissionais negros no Brasil, combinando econometria</w:t>
      </w:r>
      <w:r>
        <w:t xml:space="preserve"> </w:t>
      </w:r>
      <w:r>
        <w:t xml:space="preserve">multinível e métodos de decomposição salarial sobre a série histórica completa da</w:t>
      </w:r>
      <w:r>
        <w:t xml:space="preserve"> </w:t>
      </w:r>
      <w:r>
        <w:t xml:space="preserve">Pesquisa Nacional por Amostra de Domicílios Contínua (PNAD Contínua) de 2016 a 2025</w:t>
      </w:r>
      <w:r>
        <w:t xml:space="preserve"> </w:t>
      </w:r>
      <w:r>
        <w:t xml:space="preserve">(15</w:t>
      </w:r>
      <w:r>
        <w:t xml:space="preserve">,</w:t>
      </w:r>
      <w:r>
        <w:t xml:space="preserve">9 milhões de observações brutas). A estratégia empírica articula quatro métodos</w:t>
      </w:r>
      <w:r>
        <w:t xml:space="preserve"> </w:t>
      </w:r>
      <w:r>
        <w:t xml:space="preserve">complementares — modelo linear hierárquico (HLM), decomposição de Oaxaca–Blinder,</w:t>
      </w:r>
      <w:r>
        <w:t xml:space="preserve"> </w:t>
      </w:r>
      <w:r>
        <w:t xml:space="preserve">regressão quantílica com decomposição RIF e modelo logístico multinível (GLMM) —,</w:t>
      </w:r>
      <w:r>
        <w:t xml:space="preserve"> </w:t>
      </w:r>
      <w:r>
        <w:t xml:space="preserve">validados por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interpretável (XGBoost + SHAP).</w:t>
      </w:r>
    </w:p>
    <w:p>
      <w:pPr>
        <w:pStyle w:val="BodyText"/>
      </w:pPr>
      <w:r>
        <w:t xml:space="preserve">Um modelo linear hierárquico de dois níveis (indivíduos em bairros — UPA —, com</w:t>
      </w:r>
      <w:r>
        <w:t xml:space="preserve"> </w:t>
      </w:r>
      <w:r>
        <w:t xml:space="preserve">efeitos fixos de estado) mostra que 35,3% da variância do log-rendimento está</w:t>
      </w:r>
      <w:r>
        <w:t xml:space="preserve"> </w:t>
      </w:r>
      <w:r>
        <w:t xml:space="preserve">entre bairros e estima que profissionais negros recebem, em média, 10,5% a menos</w:t>
      </w:r>
      <w:r>
        <w:t xml:space="preserve"> </w:t>
      </w:r>
      <w:r>
        <w:t xml:space="preserve">que brancos comparáveis em escolaridade, sexo e idade. Desse diferencial, 39,5%</w:t>
      </w:r>
      <w:r>
        <w:t xml:space="preserve"> </w:t>
      </w:r>
      <w:r>
        <w:t xml:space="preserve">é mediado pelo contexto de moradia (nível 2), reduzindo 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líquido — não</w:t>
      </w:r>
      <w:r>
        <w:t xml:space="preserve"> </w:t>
      </w:r>
      <w:r>
        <w:t xml:space="preserve">explicado por capital humano, bairro nem estado, limite superior da penalidade</w:t>
      </w:r>
      <w:r>
        <w:t xml:space="preserve"> </w:t>
      </w:r>
      <w:r>
        <w:t xml:space="preserve">direta sob seleção em observáveis — a 6,1%.</w:t>
      </w:r>
    </w:p>
    <w:p>
      <w:pPr>
        <w:pStyle w:val="BodyText"/>
      </w:pPr>
      <w:r>
        <w:t xml:space="preserve">A decomposição de Oaxaca–Blinder atribui 17,9% do gap bruto a retornos</w:t>
      </w:r>
      <w:r>
        <w:t xml:space="preserve"> </w:t>
      </w:r>
      <w:r>
        <w:t xml:space="preserve">diferenciais não explicados por capital humano e contexto; quando a ocupação e a</w:t>
      </w:r>
      <w:r>
        <w:t xml:space="preserve"> </w:t>
      </w:r>
      <w:r>
        <w:t xml:space="preserve">formalidade são tratadas como dotações, essa parcela cai para 15,4% —</w:t>
      </w:r>
      <w:r>
        <w:t xml:space="preserve"> </w:t>
      </w:r>
      <w:r>
        <w:t xml:space="preserve">limite inferior da discriminação salarial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 ocupação, pois o acesso</w:t>
      </w:r>
      <w:r>
        <w:t xml:space="preserve"> </w:t>
      </w:r>
      <w:r>
        <w:t xml:space="preserve">à ocupação é ele próprio desigual. A decomposição RIF por quantil mostra um padrão de</w:t>
      </w:r>
      <w:r>
        <w:t xml:space="preserve"> </w:t>
      </w:r>
      <w:r>
        <w:rPr>
          <w:i/>
          <w:iCs/>
        </w:rPr>
        <w:t xml:space="preserve">sticky floor</w:t>
      </w:r>
      <w:r>
        <w:t xml:space="preserve">: esse componente de retorno é maior na base da distribuição</w:t>
      </w:r>
      <w:r>
        <w:t xml:space="preserve"> </w:t>
      </w:r>
      <w:r>
        <w:t xml:space="preserve">(26</w:t>
      </w:r>
      <w:r>
        <w:t xml:space="preserve">,</w:t>
      </w:r>
      <w:r>
        <w:t xml:space="preserve">5% no q10) e decresce rumo ao topo (8</w:t>
      </w:r>
      <w:r>
        <w:t xml:space="preserve">,</w:t>
      </w:r>
      <w:r>
        <w:t xml:space="preserve">9% no q90). A desigualdade opera,</w:t>
      </w:r>
      <w:r>
        <w:t xml:space="preserve"> </w:t>
      </w:r>
      <w:r>
        <w:t xml:space="preserve">portanto, também no</w:t>
      </w:r>
      <w:r>
        <w:t xml:space="preserve"> </w:t>
      </w:r>
      <w:r>
        <w:rPr>
          <w:i/>
          <w:iCs/>
        </w:rPr>
        <w:t xml:space="preserve">acesso</w:t>
      </w:r>
      <w:r>
        <w:t xml:space="preserve"> </w:t>
      </w:r>
      <w:r>
        <w:t xml:space="preserve">às ocupações — canal que o GLMM mede diretamente.</w:t>
      </w:r>
    </w:p>
    <w:p>
      <w:pPr>
        <w:pStyle w:val="BodyText"/>
      </w:pPr>
      <w:r>
        <w:t xml:space="preserve">O GLMM logístico de acesso (intercepto aleatório de UPA) confirma o teto de vidro</w:t>
      </w:r>
      <w:r>
        <w:t xml:space="preserve"> </w:t>
      </w:r>
      <w:r>
        <w:t xml:space="preserve">ocupacional: controlados escolaridade, sexo, idade, estado e contexto do bairro,</w:t>
      </w:r>
      <w:r>
        <w:t xml:space="preserve"> </w:t>
      </w:r>
      <w:r>
        <w:t xml:space="preserve">trabalhadores negros têm</w:t>
      </w:r>
      <w:r>
        <w:t xml:space="preserve"> </w:t>
      </w:r>
      <w:r>
        <w:rPr>
          <w:i/>
          <w:iCs/>
        </w:rPr>
        <w:t xml:space="preserve">odds</w:t>
      </w:r>
      <w:r>
        <w:t xml:space="preserve"> </w:t>
      </w:r>
      <w:r>
        <w:t xml:space="preserve">de acesso a cargo qualificado de 0,814</w:t>
      </w:r>
      <w:r>
        <w:t xml:space="preserve"> </w:t>
      </w:r>
      <w:r>
        <w:t xml:space="preserve">(IC 95% 0,810–0,818) das de brancos do mesmo bairro, que se apertam para</w:t>
      </w:r>
      <w:r>
        <w:t xml:space="preserve"> </w:t>
      </w:r>
      <w:r>
        <w:t xml:space="preserve">0,761 no topo 10% da renda; o E-value de 1,5 indica robustez a</w:t>
      </w:r>
      <w:r>
        <w:t xml:space="preserve"> </w:t>
      </w:r>
      <w:r>
        <w:t xml:space="preserve">confundidores não observados.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(XGBoost + SHAP) corrobora, sem pressuposto de forma</w:t>
      </w:r>
      <w:r>
        <w:t xml:space="preserve"> </w:t>
      </w:r>
      <w:r>
        <w:t xml:space="preserve">funcional, que a variável racial mantém contribuição negativa direta mesmo após todos</w:t>
      </w:r>
      <w:r>
        <w:t xml:space="preserve"> </w:t>
      </w:r>
      <w:r>
        <w:t xml:space="preserve">os controles e que o contexto territorial figura entre os preditores de maior peso —</w:t>
      </w:r>
      <w:r>
        <w:t xml:space="preserve"> </w:t>
      </w:r>
      <w:r>
        <w:t xml:space="preserve">evidência de que a segregação residencial é um canal relevante da desigualdade, e não</w:t>
      </w:r>
      <w:r>
        <w:t xml:space="preserve"> </w:t>
      </w:r>
      <w:r>
        <w:t xml:space="preserve">mero atributo individual. A penalidade recai de forma agravada sobre a mulher negra,</w:t>
      </w:r>
      <w:r>
        <w:t xml:space="preserve"> </w:t>
      </w:r>
      <w:r>
        <w:t xml:space="preserve">na intersecção de raça e gênero.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gap salarial racial; discriminação estrutural;</w:t>
      </w:r>
      <w:r>
        <w:t xml:space="preserve"> </w:t>
      </w:r>
      <w:r>
        <w:t xml:space="preserve">modelos hierárquicos lineares; decomposição de Oaxaca–Blinder; regressão quantílica;</w:t>
      </w:r>
      <w:r>
        <w:t xml:space="preserve"> </w:t>
      </w:r>
      <w:r>
        <w:t xml:space="preserve">teto de vidro; SHAP values; PNAD Contínua.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study investigates the racial wage gap and structural barriers to career</w:t>
      </w:r>
      <w:r>
        <w:t xml:space="preserve"> </w:t>
      </w:r>
      <w:r>
        <w:t xml:space="preserve">progression for Black professionals in Brazil, combining multilevel econometrics and</w:t>
      </w:r>
      <w:r>
        <w:t xml:space="preserve"> </w:t>
      </w:r>
      <w:r>
        <w:t xml:space="preserve">wage-decomposition methods on the full historical series of Brazil’s Continuous</w:t>
      </w:r>
      <w:r>
        <w:t xml:space="preserve"> </w:t>
      </w:r>
      <w:r>
        <w:t xml:space="preserve">National Household Sample Survey (PNAD Contínua) from 2016 to 2025 (15.9 million raw</w:t>
      </w:r>
      <w:r>
        <w:t xml:space="preserve"> </w:t>
      </w:r>
      <w:r>
        <w:t xml:space="preserve">observations). The empirical strategy articulates four complementary methods — a</w:t>
      </w:r>
      <w:r>
        <w:t xml:space="preserve"> </w:t>
      </w:r>
      <w:r>
        <w:t xml:space="preserve">hierarchical linear model (HLM), the Oaxaca–Blinder decomposition, quantile</w:t>
      </w:r>
      <w:r>
        <w:t xml:space="preserve"> </w:t>
      </w:r>
      <w:r>
        <w:t xml:space="preserve">regression with RIF decomposition, and a multilevel logistic model (GLMM) —,</w:t>
      </w:r>
      <w:r>
        <w:t xml:space="preserve"> </w:t>
      </w:r>
      <w:r>
        <w:t xml:space="preserve">validated by interpretable machine learning (XGBoost + SHAP).</w:t>
      </w:r>
    </w:p>
    <w:p>
      <w:pPr>
        <w:pStyle w:val="BodyText"/>
      </w:pPr>
      <w:r>
        <w:t xml:space="preserve">A two-level hierarchical linear model (individuals nested in neighbourhoods — census</w:t>
      </w:r>
      <w:r>
        <w:t xml:space="preserve"> </w:t>
      </w:r>
      <w:r>
        <w:t xml:space="preserve">tracts —, with state fixed effects) shows that 35.3% of the variance of</w:t>
      </w:r>
      <w:r>
        <w:t xml:space="preserve"> </w:t>
      </w:r>
      <w:r>
        <w:t xml:space="preserve">log earnings lies between neighbourhoods and estimates that Black workers earn</w:t>
      </w:r>
      <w:r>
        <w:t xml:space="preserve"> </w:t>
      </w:r>
      <w:r>
        <w:t xml:space="preserve">10.5% less than comparable White workers after controlling for education,</w:t>
      </w:r>
      <w:r>
        <w:t xml:space="preserve"> </w:t>
      </w:r>
      <w:r>
        <w:t xml:space="preserve">sex, and age. Of this differential, 39.5% is</w:t>
      </w:r>
      <w:r>
        <w:t xml:space="preserve"> </w:t>
      </w:r>
      <w:r>
        <w:t xml:space="preserve">mediated by residential context (level 2), leaving a</w:t>
      </w:r>
      <w:r>
        <w:t xml:space="preserve"> </w:t>
      </w:r>
      <w:r>
        <w:rPr>
          <w:i/>
          <w:iCs/>
        </w:rPr>
        <w:t xml:space="preserve">net gap</w:t>
      </w:r>
      <w:r>
        <w:t xml:space="preserve"> </w:t>
      </w:r>
      <w:r>
        <w:t xml:space="preserve">of 6.1%</w:t>
      </w:r>
      <w:r>
        <w:t xml:space="preserve"> </w:t>
      </w:r>
      <w:r>
        <w:t xml:space="preserve">unexplained by human capital or context — a lower bound on direct labour-market</w:t>
      </w:r>
      <w:r>
        <w:t xml:space="preserve"> </w:t>
      </w:r>
      <w:r>
        <w:t xml:space="preserve">discrimination.</w:t>
      </w:r>
    </w:p>
    <w:p>
      <w:pPr>
        <w:pStyle w:val="BodyText"/>
      </w:pPr>
      <w:r>
        <w:t xml:space="preserve">The Oaxaca–Blinder decomposition attributes 17.9% of the raw gap to</w:t>
      </w:r>
      <w:r>
        <w:t xml:space="preserve"> </w:t>
      </w:r>
      <w:r>
        <w:t xml:space="preserve">differential returns unexplained by human capital and context; once occupation and</w:t>
      </w:r>
      <w:r>
        <w:t xml:space="preserve"> </w:t>
      </w:r>
      <w:r>
        <w:t xml:space="preserve">formality are treated as endowments, this share falls to 15.4% — a lower</w:t>
      </w:r>
      <w:r>
        <w:t xml:space="preserve"> </w:t>
      </w:r>
      <w:r>
        <w:t xml:space="preserve">bound on within-occupation wage discrimination, since access to occupations is itself</w:t>
      </w:r>
      <w:r>
        <w:t xml:space="preserve"> </w:t>
      </w:r>
      <w:r>
        <w:t xml:space="preserve">unequal. The quantile RIF decomposition reveals a</w:t>
      </w:r>
      <w:r>
        <w:t xml:space="preserve"> </w:t>
      </w:r>
      <w:r>
        <w:rPr>
          <w:i/>
          <w:iCs/>
        </w:rPr>
        <w:t xml:space="preserve">sticky floor</w:t>
      </w:r>
      <w:r>
        <w:t xml:space="preserve">: this returns component is largest at the bottom of the</w:t>
      </w:r>
      <w:r>
        <w:t xml:space="preserve"> </w:t>
      </w:r>
      <w:r>
        <w:t xml:space="preserve">distribution (26.5% at q10) and declines toward the top (8.9% at q90). Inequality</w:t>
      </w:r>
      <w:r>
        <w:t xml:space="preserve"> </w:t>
      </w:r>
      <w:r>
        <w:t xml:space="preserve">thus also operates on</w:t>
      </w:r>
      <w:r>
        <w:t xml:space="preserve"> </w:t>
      </w:r>
      <w:r>
        <w:rPr>
          <w:i/>
          <w:iCs/>
        </w:rPr>
        <w:t xml:space="preserve">access</w:t>
      </w:r>
      <w:r>
        <w:t xml:space="preserve"> </w:t>
      </w:r>
      <w:r>
        <w:t xml:space="preserve">to occupations — which the GLMM measures directly.</w:t>
      </w:r>
    </w:p>
    <w:p>
      <w:pPr>
        <w:pStyle w:val="BodyText"/>
      </w:pPr>
      <w:r>
        <w:t xml:space="preserve">The multilevel logistic model (random intercept by census tract) confirms an</w:t>
      </w:r>
      <w:r>
        <w:t xml:space="preserve"> </w:t>
      </w:r>
      <w:r>
        <w:t xml:space="preserve">occupational glass ceiling: controlling for education, sex, age, state, and neighbourhood</w:t>
      </w:r>
      <w:r>
        <w:t xml:space="preserve"> </w:t>
      </w:r>
      <w:r>
        <w:t xml:space="preserve">context, Black workers face odds of accessing a qualified occupation of 0.814</w:t>
      </w:r>
      <w:r>
        <w:t xml:space="preserve"> </w:t>
      </w:r>
      <w:r>
        <w:t xml:space="preserve">(95% CI 0.810–0.818) relative to White workers from the same neighbourhood,</w:t>
      </w:r>
      <w:r>
        <w:t xml:space="preserve"> </w:t>
      </w:r>
      <w:r>
        <w:t xml:space="preserve">tightening to 0.761 in the top 10% of income; an E-value of</w:t>
      </w:r>
      <w:r>
        <w:t xml:space="preserve"> </w:t>
      </w:r>
      <w:r>
        <w:t xml:space="preserve">1.5 indicates robustness to unobserved confounding. Interpretable</w:t>
      </w:r>
      <w:r>
        <w:t xml:space="preserve"> </w:t>
      </w:r>
      <w:r>
        <w:t xml:space="preserve">machine learning (XGBoost + SHAP) corroborates — with no functional-form assumption</w:t>
      </w:r>
      <w:r>
        <w:t xml:space="preserve"> </w:t>
      </w:r>
      <w:r>
        <w:t xml:space="preserve">— that race retains a direct negative contribution after all controls and that</w:t>
      </w:r>
      <w:r>
        <w:t xml:space="preserve"> </w:t>
      </w:r>
      <w:r>
        <w:t xml:space="preserve">territorial context ranks among the strongest predictors, indicating that residential</w:t>
      </w:r>
      <w:r>
        <w:t xml:space="preserve"> </w:t>
      </w:r>
      <w:r>
        <w:t xml:space="preserve">segregation is a relevant channel of inequality rather than a mere individual trait.</w:t>
      </w:r>
      <w:r>
        <w:t xml:space="preserve"> </w:t>
      </w:r>
      <w:r>
        <w:t xml:space="preserve">The penalty falls most heavily on Black women, at the intersection of race and gender.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racial wage gap; structural discrimination; hierarchical</w:t>
      </w:r>
      <w:r>
        <w:t xml:space="preserve"> </w:t>
      </w:r>
      <w:r>
        <w:t xml:space="preserve">linear models; Oaxaca–Blinder decomposition; quantile regression; glass ceiling;</w:t>
      </w:r>
      <w:r>
        <w:t xml:space="preserve"> </w:t>
      </w:r>
      <w:r>
        <w:t xml:space="preserve">SHAP values; PNAD Contínua.</w:t>
      </w:r>
    </w:p>
    <w:bookmarkEnd w:id="10"/>
    <w:bookmarkStart w:id="11" w:name="em-três-minutos"/>
    <w:p>
      <w:pPr>
        <w:pStyle w:val="Heading1"/>
      </w:pPr>
      <w:r>
        <w:t xml:space="preserve">Em três minutos</w:t>
      </w:r>
    </w:p>
    <w:p>
      <w:pPr>
        <w:pStyle w:val="FirstParagraph"/>
      </w:pPr>
      <w:r>
        <w:rPr>
          <w:b/>
          <w:bCs/>
        </w:rPr>
        <w:t xml:space="preserve">O contexto.</w:t>
      </w:r>
      <w:r>
        <w:t xml:space="preserve"> </w:t>
      </w:r>
      <w:r>
        <w:t xml:space="preserve">Entre 2016 e 2025, um trabalhador negro ganhou em média</w:t>
      </w:r>
      <w:r>
        <w:t xml:space="preserve"> </w:t>
      </w:r>
      <w:r>
        <w:t xml:space="preserve">10,5% a menos que um branco com a mesma escolaridade, idade e sexo. A</w:t>
      </w:r>
      <w:r>
        <w:t xml:space="preserve"> </w:t>
      </w:r>
      <w:r>
        <w:t xml:space="preserve">explicação usual —</w:t>
      </w:r>
      <w:r>
        <w:t xml:space="preserve"> </w:t>
      </w:r>
      <w:r>
        <w:t xml:space="preserve">“é diferença de qualificação”</w:t>
      </w:r>
      <w:r>
        <w:t xml:space="preserve"> </w:t>
      </w:r>
      <w:r>
        <w:t xml:space="preserve">— já está descontada nesse número.</w:t>
      </w:r>
    </w:p>
    <w:p>
      <w:pPr>
        <w:pStyle w:val="BodyText"/>
      </w:pPr>
      <w:r>
        <w:rPr>
          <w:b/>
          <w:bCs/>
        </w:rPr>
        <w:t xml:space="preserve">O desequilíbrio.</w:t>
      </w:r>
      <w:r>
        <w:t xml:space="preserve"> </w:t>
      </w:r>
      <w:r>
        <w:t xml:space="preserve">Esse gap não é uma coisa só. Quando se compara apenas</w:t>
      </w:r>
      <w:r>
        <w:t xml:space="preserve"> </w:t>
      </w:r>
      <w:r>
        <w:t xml:space="preserve">pessoas</w:t>
      </w:r>
      <w:r>
        <w:t xml:space="preserve"> </w:t>
      </w:r>
      <w:r>
        <w:rPr>
          <w:i/>
          <w:iCs/>
        </w:rPr>
        <w:t xml:space="preserve">do mesmo bairro</w:t>
      </w:r>
      <w:r>
        <w:t xml:space="preserve">, ele encolhe: 39,5% do gap</w:t>
      </w:r>
      <w:r>
        <w:t xml:space="preserve"> </w:t>
      </w:r>
      <w:r>
        <w:t xml:space="preserve">transita pela segregação residencial. O que resta — 6,1% — não é explicado</w:t>
      </w:r>
      <w:r>
        <w:t xml:space="preserve"> </w:t>
      </w:r>
      <w:r>
        <w:t xml:space="preserve">por capital humano, bairro ou estado. E, ao olhar quem</w:t>
      </w:r>
      <w:r>
        <w:t xml:space="preserve"> </w:t>
      </w:r>
      <w:r>
        <w:rPr>
          <w:i/>
          <w:iCs/>
        </w:rPr>
        <w:t xml:space="preserve">entra</w:t>
      </w:r>
      <w:r>
        <w:t xml:space="preserve"> </w:t>
      </w:r>
      <w:r>
        <w:t xml:space="preserve">nas ocupações</w:t>
      </w:r>
      <w:r>
        <w:t xml:space="preserve"> </w:t>
      </w:r>
      <w:r>
        <w:t xml:space="preserve">qualificadas, a barreira aparece inteira: com o mesmo perfil e o mesmo bairro, a chance de</w:t>
      </w:r>
      <w:r>
        <w:t xml:space="preserve"> </w:t>
      </w:r>
      <w:r>
        <w:t xml:space="preserve">um trabalhador negro ocupar um cargo qualificado é 19% menor; no décimo</w:t>
      </w:r>
      <w:r>
        <w:t xml:space="preserve"> </w:t>
      </w:r>
      <w:r>
        <w:t xml:space="preserve">superior da renda, 24% menor.</w:t>
      </w:r>
    </w:p>
    <w:p>
      <w:pPr>
        <w:pStyle w:val="BodyText"/>
      </w:pPr>
      <w:r>
        <w:rPr>
          <w:b/>
          <w:bCs/>
        </w:rPr>
        <w:t xml:space="preserve">A evidência.</w:t>
      </w:r>
      <w:r>
        <w:t xml:space="preserve"> </w:t>
      </w:r>
      <w:r>
        <w:t xml:space="preserve">Quatro métodos independentes, sobre a população completa da</w:t>
      </w:r>
      <w:r>
        <w:t xml:space="preserve"> </w:t>
      </w:r>
      <w:r>
        <w:t xml:space="preserve">PNAD Contínua (cerca de 7</w:t>
      </w:r>
      <w:r>
        <w:t xml:space="preserve">,</w:t>
      </w:r>
      <w:r>
        <w:t xml:space="preserve">7 milhões de observações em 41.459 bairros — 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exato varia com os filtros de cada método e consta da sua tabela): um modelo hierárquico que</w:t>
      </w:r>
      <w:r>
        <w:t xml:space="preserve"> </w:t>
      </w:r>
      <w:r>
        <w:t xml:space="preserve">separa pessoa e bairro; a decomposição de Oaxaca–Blinder, que separa</w:t>
      </w:r>
      <w:r>
        <w:t xml:space="preserve"> </w:t>
      </w:r>
      <w:r>
        <w:t xml:space="preserve">“ter</w:t>
      </w:r>
      <w:r>
        <w:t xml:space="preserve"> </w:t>
      </w:r>
      <w:r>
        <w:t xml:space="preserve">características diferentes”</w:t>
      </w:r>
      <w:r>
        <w:t xml:space="preserve"> </w:t>
      </w:r>
      <w:r>
        <w:t xml:space="preserve">de</w:t>
      </w:r>
      <w:r>
        <w:t xml:space="preserve"> </w:t>
      </w:r>
      <w:r>
        <w:t xml:space="preserve">“receber preços diferentes”</w:t>
      </w:r>
      <w:r>
        <w:t xml:space="preserve">; a regressão quantílica com</w:t>
      </w:r>
      <w:r>
        <w:t xml:space="preserve"> </w:t>
      </w:r>
      <w:r>
        <w:t xml:space="preserve">RIF, que mostra onde na distribuição a penalidade pesa; e um modelo logístico multinível</w:t>
      </w:r>
      <w:r>
        <w:t xml:space="preserve"> </w:t>
      </w:r>
      <w:r>
        <w:t xml:space="preserve">de acesso. Um XGBoost com SHAP confirma, sem impor forma funcional, que a raça mantém</w:t>
      </w:r>
      <w:r>
        <w:t xml:space="preserve"> </w:t>
      </w:r>
      <w:r>
        <w:t xml:space="preserve">contribuição própria. Os erros-padrão são agrupados por bairro, porque a PNAD amostra por</w:t>
      </w:r>
      <w:r>
        <w:t xml:space="preserve"> </w:t>
      </w:r>
      <w:r>
        <w:t xml:space="preserve">conglomerados.</w:t>
      </w:r>
    </w:p>
    <w:p>
      <w:pPr>
        <w:pStyle w:val="BodyText"/>
      </w:pPr>
      <w:r>
        <w:rPr>
          <w:b/>
          <w:bCs/>
        </w:rPr>
        <w:t xml:space="preserve">O que isso muda.</w:t>
      </w:r>
      <w:r>
        <w:t xml:space="preserve"> </w:t>
      </w:r>
      <w:r>
        <w:t xml:space="preserve">Se o gargalo fosse escolaridade, bastaria ampliar</w:t>
      </w:r>
      <w:r>
        <w:t xml:space="preserve"> </w:t>
      </w:r>
      <w:r>
        <w:t xml:space="preserve">acesso ao ensino. Os resultados dizem outra coisa: parte do gap está em</w:t>
      </w:r>
      <w:r>
        <w:t xml:space="preserve"> </w:t>
      </w:r>
      <w:r>
        <w:rPr>
          <w:i/>
          <w:iCs/>
        </w:rPr>
        <w:t xml:space="preserve">onde se</w:t>
      </w:r>
      <w:r>
        <w:rPr>
          <w:i/>
          <w:iCs/>
        </w:rPr>
        <w:t xml:space="preserve"> </w:t>
      </w:r>
      <w:r>
        <w:rPr>
          <w:i/>
          <w:iCs/>
        </w:rPr>
        <w:t xml:space="preserve">consegue morar</w:t>
      </w:r>
      <w:r>
        <w:t xml:space="preserve"> </w:t>
      </w:r>
      <w:r>
        <w:t xml:space="preserve">e a maior parte da barreira está na</w:t>
      </w:r>
      <w:r>
        <w:t xml:space="preserve"> </w:t>
      </w:r>
      <w:r>
        <w:rPr>
          <w:i/>
          <w:iCs/>
        </w:rPr>
        <w:t xml:space="preserve">porta de entrada</w:t>
      </w:r>
      <w:r>
        <w:t xml:space="preserve"> </w:t>
      </w:r>
      <w:r>
        <w:t xml:space="preserve">das ocupações</w:t>
      </w:r>
      <w:r>
        <w:t xml:space="preserve"> </w:t>
      </w:r>
      <w:r>
        <w:t xml:space="preserve">— que é onde a Lei 15.142/2025 (cotas em concursos federais, sucessora da</w:t>
      </w:r>
      <w:r>
        <w:t xml:space="preserve"> </w:t>
      </w:r>
      <w:r>
        <w:t xml:space="preserve">Lei 12.990/2014) e a fiscalização da Lei 9.029/1995 atuam. Educação é</w:t>
      </w:r>
      <w:r>
        <w:t xml:space="preserve"> </w:t>
      </w:r>
      <w:r>
        <w:t xml:space="preserve">necessária; sozinha, insuficiente.</w:t>
      </w:r>
    </w:p>
    <w:p>
      <w:pPr>
        <w:pStyle w:val="BodyText"/>
      </w:pPr>
      <w:r>
        <w:rPr>
          <w:i/>
          <w:iCs/>
        </w:rPr>
        <w:t xml:space="preserve">As três seções seguintes detalham, nesta ordem: como o bairro medeia o</w:t>
      </w:r>
      <w:r>
        <w:rPr>
          <w:i/>
          <w:iCs/>
        </w:rPr>
        <w:t xml:space="preserve"> </w:t>
      </w:r>
      <w:r>
        <w:rPr>
          <w:i/>
          <w:iCs/>
        </w:rPr>
        <w:t xml:space="preserve">gap (Barreira I), quanto custa ser negro para quem já está empregado (Barreira II) e o que</w:t>
      </w:r>
      <w:r>
        <w:rPr>
          <w:i/>
          <w:iCs/>
        </w:rPr>
        <w:t xml:space="preserve"> </w:t>
      </w:r>
      <w:r>
        <w:rPr>
          <w:i/>
          <w:iCs/>
        </w:rPr>
        <w:t xml:space="preserve">os números não podem dizer (Limitações).</w:t>
      </w:r>
    </w:p>
    <w:bookmarkEnd w:id="11"/>
    <w:bookmarkStart w:id="13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BlockText"/>
      </w:pPr>
      <w:r>
        <w:rPr>
          <w:b/>
          <w:bCs/>
        </w:rPr>
        <w:t xml:space="preserve">Este trabalho mostra que a desigualdade racial no mercado de trabalho</w:t>
      </w:r>
      <w:r>
        <w:rPr>
          <w:b/>
          <w:bCs/>
        </w:rPr>
        <w:t xml:space="preserve"> </w:t>
      </w:r>
      <w:r>
        <w:rPr>
          <w:b/>
          <w:bCs/>
        </w:rPr>
        <w:t xml:space="preserve">brasileiro não se reduz a um desconto salarial isolado — opera como um</w:t>
      </w:r>
      <w:r>
        <w:rPr>
          <w:b/>
          <w:bCs/>
        </w:rPr>
        <w:t xml:space="preserve"> </w:t>
      </w:r>
      <w:r>
        <w:rPr>
          <w:b/>
          <w:bCs/>
        </w:rPr>
        <w:t xml:space="preserve">sistema de barreiras em camadas que começa antes do primeiro salário, na</w:t>
      </w:r>
      <w:r>
        <w:rPr>
          <w:b/>
          <w:bCs/>
        </w:rPr>
        <w:t xml:space="preserve"> </w:t>
      </w:r>
      <w:r>
        <w:rPr>
          <w:b/>
          <w:bCs/>
        </w:rPr>
        <w:t xml:space="preserve">porta de entrada das ocupações qualificadas, e persiste ao longo de toda a</w:t>
      </w:r>
      <w:r>
        <w:rPr>
          <w:b/>
          <w:bCs/>
        </w:rPr>
        <w:t xml:space="preserve"> </w:t>
      </w:r>
      <w:r>
        <w:rPr>
          <w:b/>
          <w:bCs/>
        </w:rPr>
        <w:t xml:space="preserve">trajetória profissional.</w:t>
      </w:r>
      <w:r>
        <w:rPr>
          <w:b/>
          <w:bCs/>
        </w:rPr>
        <w:t xml:space="preserve"> </w:t>
      </w:r>
      <w:r>
        <w:rPr>
          <w:b/>
          <w:bCs/>
        </w:rPr>
        <w:t xml:space="preserve">Políticas baseadas apenas em aumento de escolaridade são, portanto,</w:t>
      </w:r>
      <w:r>
        <w:rPr>
          <w:b/>
          <w:bCs/>
        </w:rPr>
        <w:t xml:space="preserve"> </w:t>
      </w:r>
      <w:r>
        <w:rPr>
          <w:b/>
          <w:bCs/>
        </w:rPr>
        <w:t xml:space="preserve">necessárias, mas estruturalmente insuficientes.</w:t>
      </w:r>
    </w:p>
    <w:p>
      <w:pPr>
        <w:pStyle w:val="FirstParagraph"/>
      </w:pPr>
      <w:r>
        <w:t xml:space="preserve">O Brasil é um dos países com maior desigualdade racial de renda no mundo.</w:t>
      </w:r>
      <w:r>
        <w:t xml:space="preserve"> </w:t>
      </w:r>
      <w:r>
        <w:t xml:space="preserve">Segundo a PNAD Contínua, a razão entre o rendimento médio de trabalhadores</w:t>
      </w:r>
      <w:r>
        <w:t xml:space="preserve"> </w:t>
      </w:r>
      <w:r>
        <w:t xml:space="preserve">brancos e negros permanece acima de 1</w:t>
      </w:r>
      <w:r>
        <w:t xml:space="preserve">:</w:t>
      </w:r>
      <w:r>
        <w:t xml:space="preserve">1,5 ao longo de toda a série</w:t>
      </w:r>
      <w:r>
        <w:t xml:space="preserve"> </w:t>
      </w:r>
      <w:r>
        <w:t xml:space="preserve">histórica disponível, persistindo mesmo quando se controlam escolaridade,</w:t>
      </w:r>
      <w:r>
        <w:t xml:space="preserve"> </w:t>
      </w:r>
      <w:r>
        <w:t xml:space="preserve">experiência e setor de atividade </w:t>
      </w:r>
      <w:r>
        <w:t xml:space="preserve">(IBGE, 2023)</w:t>
      </w:r>
      <w:r>
        <w:t xml:space="preserve">.</w:t>
      </w:r>
      <w:r>
        <w:t xml:space="preserve"> </w:t>
      </w:r>
      <w:r>
        <w:t xml:space="preserve">A desigualdade racial no mercado de trabalho brasileiro é, portanto,</w:t>
      </w:r>
      <w:r>
        <w:t xml:space="preserve"> </w:t>
      </w:r>
      <w:r>
        <w:t xml:space="preserve">não apenas uma herança colonial, mas um fenômeno reproduzido ativamente</w:t>
      </w:r>
      <w:r>
        <w:t xml:space="preserve"> </w:t>
      </w:r>
      <w:r>
        <w:t xml:space="preserve">por mecanismos que a abordagem tradicional de diferenças de capital humano</w:t>
      </w:r>
      <w:r>
        <w:t xml:space="preserve"> </w:t>
      </w:r>
      <w:r>
        <w:t xml:space="preserve">não é capaz de capturar </w:t>
      </w:r>
      <w:r>
        <w:t xml:space="preserve">(Hasenbalg, 1979)</w:t>
      </w:r>
      <w:r>
        <w:t xml:space="preserve">.</w:t>
      </w:r>
    </w:p>
    <w:p>
      <w:pPr>
        <w:pStyle w:val="BodyText"/>
      </w:pPr>
      <w:r>
        <w:t xml:space="preserve">Esse hiato convive com um quadro macroestrutural recente de</w:t>
      </w:r>
      <w:r>
        <w:t xml:space="preserve"> </w:t>
      </w:r>
      <w:r>
        <w:rPr>
          <w:b/>
          <w:bCs/>
        </w:rPr>
        <w:t xml:space="preserve">avanço social</w:t>
      </w:r>
      <w:r>
        <w:rPr>
          <w:b/>
          <w:bCs/>
        </w:rPr>
        <w:t xml:space="preserve"> </w:t>
      </w:r>
      <w:r>
        <w:rPr>
          <w:b/>
          <w:bCs/>
        </w:rPr>
        <w:t xml:space="preserve">com desigualdade persistente</w:t>
      </w:r>
      <w:r>
        <w:t xml:space="preserve">. De um lado, a qualidade de vida avançou: entre as</w:t>
      </w:r>
      <w:r>
        <w:t xml:space="preserve"> </w:t>
      </w:r>
      <w:r>
        <w:t xml:space="preserve">edições 2008 e 2018 da Pesquisa de Orçamentos Familiares (POF), o Índice de Perda</w:t>
      </w:r>
      <w:r>
        <w:t xml:space="preserve"> </w:t>
      </w:r>
      <w:r>
        <w:t xml:space="preserve">de Qualidade de Vida recuou cerca de 30% </w:t>
      </w:r>
      <w:r>
        <w:t xml:space="preserve">(IBGE, 2019)</w:t>
      </w:r>
      <w:r>
        <w:t xml:space="preserve">. A melhora, porém,</w:t>
      </w:r>
      <w:r>
        <w:t xml:space="preserve"> </w:t>
      </w:r>
      <w:r>
        <w:t xml:space="preserve">foi proporcional entre os grupos 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fechou o hiato racial nem o</w:t>
      </w:r>
      <w:r>
        <w:t xml:space="preserve"> </w:t>
      </w:r>
      <w:r>
        <w:t xml:space="preserve">territorial: famílias chefiadas por pessoas pretas ou pardas mantêm índice de</w:t>
      </w:r>
      <w:r>
        <w:t xml:space="preserve"> </w:t>
      </w:r>
      <w:r>
        <w:t xml:space="preserve">0</w:t>
      </w:r>
      <w:r>
        <w:t xml:space="preserve">,</w:t>
      </w:r>
      <w:r>
        <w:t xml:space="preserve">183, contra 0</w:t>
      </w:r>
      <w:r>
        <w:t xml:space="preserve">,</w:t>
      </w:r>
      <w:r>
        <w:t xml:space="preserve">122 das brancas, e o Nordeste (0</w:t>
      </w:r>
      <w:r>
        <w:t xml:space="preserve">,</w:t>
      </w:r>
      <w:r>
        <w:t xml:space="preserve">207) e o Norte</w:t>
      </w:r>
      <w:r>
        <w:t xml:space="preserve"> </w:t>
      </w:r>
      <w:r>
        <w:t xml:space="preserve">(0</w:t>
      </w:r>
      <w:r>
        <w:t xml:space="preserve">,</w:t>
      </w:r>
      <w:r>
        <w:t xml:space="preserve">223) seguem muito acima do Sul (0</w:t>
      </w:r>
      <w:r>
        <w:t xml:space="preserve">,</w:t>
      </w:r>
      <w:r>
        <w:t xml:space="preserve">114). De outro lado, no rendimento, a</w:t>
      </w:r>
      <w:r>
        <w:t xml:space="preserve"> </w:t>
      </w:r>
      <w:r>
        <w:t xml:space="preserve">desigualdade voltou a crescer: o Gini do rendimento domiciliar</w:t>
      </w:r>
      <w:r>
        <w:t xml:space="preserve"> </w:t>
      </w:r>
      <w:r>
        <w:rPr>
          <w:i/>
          <w:iCs/>
        </w:rPr>
        <w:t xml:space="preserve">per capita</w:t>
      </w:r>
      <w:r>
        <w:t xml:space="preserve"> </w:t>
      </w:r>
      <w:r>
        <w:t xml:space="preserve">subiu de 0</w:t>
      </w:r>
      <w:r>
        <w:t xml:space="preserve">,</w:t>
      </w:r>
      <w:r>
        <w:t xml:space="preserve">487 (2024) para 0</w:t>
      </w:r>
      <w:r>
        <w:t xml:space="preserve">,</w:t>
      </w:r>
      <w:r>
        <w:t xml:space="preserve">491 (2025), puxado pelo distanciamento do topo</w:t>
      </w:r>
      <w:r>
        <w:t xml:space="preserve"> </w:t>
      </w:r>
      <w:r>
        <w:t xml:space="preserve">— a renda dos 10% mais ricos cresceu 8</w:t>
      </w:r>
      <w:r>
        <w:t xml:space="preserve">,</w:t>
      </w:r>
      <w:r>
        <w:t xml:space="preserve">7% no ano, contra 3</w:t>
      </w:r>
      <w:r>
        <w:t xml:space="preserve">,</w:t>
      </w:r>
      <w:r>
        <w:t xml:space="preserve">1% dos 10%</w:t>
      </w:r>
      <w:r>
        <w:t xml:space="preserve"> </w:t>
      </w:r>
      <w:r>
        <w:t xml:space="preserve">mais pobres </w:t>
      </w:r>
      <w:r>
        <w:t xml:space="preserve">(IBGE, 2025)</w:t>
      </w:r>
      <w:r>
        <w:t xml:space="preserve">. É precisamente esse padrão — progresso</w:t>
      </w:r>
      <w:r>
        <w:t xml:space="preserve"> </w:t>
      </w:r>
      <w:r>
        <w:t xml:space="preserve">agregado que não dissolve a barreira racial — que este trabalho disseca no</w:t>
      </w:r>
      <w:r>
        <w:t xml:space="preserve"> </w:t>
      </w:r>
      <w:r>
        <w:t xml:space="preserve">mercado de trabalho.</w:t>
      </w:r>
    </w:p>
    <w:p>
      <w:pPr>
        <w:pStyle w:val="BodyText"/>
      </w:pPr>
      <w:r>
        <w:t xml:space="preserve">A literatura empírica contemporânea identifica três canais principais de</w:t>
      </w:r>
      <w:r>
        <w:t xml:space="preserve"> </w:t>
      </w:r>
      <w:r>
        <w:t xml:space="preserve">reprodução dessa desigualdade: (i) discriminação direta, isto é, diferenças</w:t>
      </w:r>
      <w:r>
        <w:t xml:space="preserve"> </w:t>
      </w:r>
      <w:r>
        <w:t xml:space="preserve">de tratamento em processos de seleção e promoção com características</w:t>
      </w:r>
      <w:r>
        <w:t xml:space="preserve"> </w:t>
      </w:r>
      <w:r>
        <w:t xml:space="preserve">individuais observadas </w:t>
      </w:r>
      <w:r>
        <w:t xml:space="preserve">(Pager, 2007)</w:t>
      </w:r>
      <w:r>
        <w:t xml:space="preserve">; (ii) segregação residencial e</w:t>
      </w:r>
      <w:r>
        <w:t xml:space="preserve"> </w:t>
      </w:r>
      <w:r>
        <w:t xml:space="preserve">seus efeitos sobre o capital social disponível ao trabalhador</w:t>
      </w:r>
      <w:r>
        <w:t xml:space="preserve"> </w:t>
      </w:r>
      <w:r>
        <w:t xml:space="preserve">— o contexto do bairro define a qualidade das redes de indicação</w:t>
      </w:r>
      <w:r>
        <w:t xml:space="preserve"> </w:t>
      </w:r>
      <w:r>
        <w:t xml:space="preserve">profissional </w:t>
      </w:r>
      <w:r>
        <w:t xml:space="preserve">(Sampson; Raudenbush; Earls, 1997; Wilson, 1987)</w:t>
      </w:r>
      <w:r>
        <w:t xml:space="preserve">; e (iii) subvalorização</w:t>
      </w:r>
      <w:r>
        <w:t xml:space="preserve"> </w:t>
      </w:r>
      <w:r>
        <w:t xml:space="preserve">sistêmica do capital humano negro, pela qual um dado nível de escolaridade</w:t>
      </w:r>
      <w:r>
        <w:t xml:space="preserve"> </w:t>
      </w:r>
      <w:r>
        <w:t xml:space="preserve">gera retornos financeiros menores para trabalhadores negros do que para</w:t>
      </w:r>
      <w:r>
        <w:t xml:space="preserve"> </w:t>
      </w:r>
      <w:r>
        <w:t xml:space="preserve">brancos </w:t>
      </w:r>
      <w:r>
        <w:t xml:space="preserve">(Hasenbalg, 1979; Pager, 2007)</w:t>
      </w:r>
      <w:r>
        <w:t xml:space="preserve">.</w:t>
      </w:r>
    </w:p>
    <w:p>
      <w:pPr>
        <w:pStyle w:val="BodyText"/>
      </w:pPr>
      <w:r>
        <w:t xml:space="preserve">Este trabalho avança sobre a literatura nacional ao integrar quatro métodos</w:t>
      </w:r>
      <w:r>
        <w:t xml:space="preserve"> </w:t>
      </w:r>
      <w:r>
        <w:t xml:space="preserve">complementares — modelo linear hierárquico, decomposição de Oaxaca–Blinder,</w:t>
      </w:r>
      <w:r>
        <w:t xml:space="preserve"> </w:t>
      </w:r>
      <w:r>
        <w:t xml:space="preserve">regressão quantílica com decomposição RIF e modelo logístico de acesso —,</w:t>
      </w:r>
      <w:r>
        <w:t xml:space="preserve"> </w:t>
      </w:r>
      <w:r>
        <w:t xml:space="preserve">validados por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interpretável, sobre a maior base de dados</w:t>
      </w:r>
      <w:r>
        <w:t xml:space="preserve"> </w:t>
      </w:r>
      <w:r>
        <w:t xml:space="preserve">longitudinal disponível no Brasil para este tema, a PNAD Contínua em sua</w:t>
      </w:r>
      <w:r>
        <w:t xml:space="preserve"> </w:t>
      </w:r>
      <w:r>
        <w:t xml:space="preserve">série completa de 2016 a 2025.</w:t>
      </w:r>
    </w:p>
    <w:bookmarkStart w:id="12" w:name="subsec:hipotes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Hipóteses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Gap racial bruto e líquido:</w:t>
      </w:r>
      <w:r>
        <w:t xml:space="preserve"> </w:t>
      </w:r>
      <w:r>
        <w:t xml:space="preserve">Profissionais negros apresentam rendimento inferior ao de brancos</w:t>
      </w:r>
      <w:r>
        <w:t xml:space="preserve"> </w:t>
      </w:r>
      <w:r>
        <w:t xml:space="preserve">comparáveis após controlar por escolaridade, experiência potencial</w:t>
      </w:r>
      <w:r>
        <w:t xml:space="preserve"> </w:t>
      </w:r>
      <w:r>
        <w:t xml:space="preserve">e gênero — e esse diferencial persiste após a adição de controles</w:t>
      </w:r>
      <w:r>
        <w:t xml:space="preserve"> </w:t>
      </w:r>
      <w:r>
        <w:t xml:space="preserve">contextuais de nível de bairro e de estado.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Mediação pelo networking local:</w:t>
      </w:r>
      <w:r>
        <w:t xml:space="preserve"> </w:t>
      </w:r>
      <w:r>
        <w:t xml:space="preserve">Uma fração significativa do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racial bruto é explicada</w:t>
      </w:r>
      <w:r>
        <w:t xml:space="preserve"> </w:t>
      </w:r>
      <w:r>
        <w:t xml:space="preserve">pelo contexto socioeconômico do local de moradia (composição racial da</w:t>
      </w:r>
      <w:r>
        <w:t xml:space="preserve"> </w:t>
      </w:r>
      <w:r>
        <w:t xml:space="preserve">UPA, desemprego local, nível educacional médio do entorno) —</w:t>
      </w:r>
      <w:r>
        <w:t xml:space="preserve"> </w:t>
      </w:r>
      <w:r>
        <w:t xml:space="preserve">capturando os efeitos indiretos da segregação residencial sobre a renda.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Barreira de acesso e teto de vidro:</w:t>
      </w:r>
      <w:r>
        <w:t xml:space="preserve"> </w:t>
      </w:r>
      <w:r>
        <w:t xml:space="preserve">Trabalhadores negros têm menor chance de acesso a ocupações qualificadas</w:t>
      </w:r>
      <w:r>
        <w:t xml:space="preserve"> </w:t>
      </w:r>
      <w:r>
        <w:t xml:space="preserve">e ao topo da distribuição de renda do que brancos de mesmo perfil, e a</w:t>
      </w:r>
      <w:r>
        <w:t xml:space="preserve"> </w:t>
      </w:r>
      <w:r>
        <w:t xml:space="preserve">penalidade salarial condicional cresce ao longo da distribuição de renda</w:t>
      </w:r>
      <w:r>
        <w:t xml:space="preserve"> </w:t>
      </w:r>
      <w:r>
        <w:t xml:space="preserve">— a discriminação não é um desconto uniforme, mas um teto.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Importância residual da raça nos modelos preditivos:</w:t>
      </w:r>
      <w:r>
        <w:t xml:space="preserve"> </w:t>
      </w:r>
      <w:r>
        <w:t xml:space="preserve">Mesmo após controlar por educação, experiência, gênero e contexto de</w:t>
      </w:r>
      <w:r>
        <w:t xml:space="preserve"> </w:t>
      </w:r>
      <w:r>
        <w:t xml:space="preserve">moradia, a variável racial mantém relevância preditiva independente,</w:t>
      </w:r>
      <w:r>
        <w:t xml:space="preserve"> </w:t>
      </w:r>
      <w:r>
        <w:t xml:space="preserve">conforme medida pelos valores SHAP dos modelos de</w:t>
      </w:r>
      <w:r>
        <w:t xml:space="preserve"> </w:t>
      </w:r>
      <w:r>
        <w:rPr>
          <w:i/>
          <w:iCs/>
        </w:rPr>
        <w:t xml:space="preserve">gradient boosting</w:t>
      </w:r>
      <w:r>
        <w:t xml:space="preserve">.</w:t>
      </w:r>
    </w:p>
    <w:bookmarkEnd w:id="12"/>
    <w:bookmarkEnd w:id="13"/>
    <w:bookmarkStart w:id="21" w:name="sec:revisa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Revisão de Literatura</w:t>
      </w:r>
    </w:p>
    <w:bookmarkStart w:id="14" w:name="Xe066d4e2bb493e9c62976aeac10eafdcf5b949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Por que haveria discriminação: as duas teorias</w:t>
      </w:r>
    </w:p>
    <w:p>
      <w:pPr>
        <w:pStyle w:val="FirstParagraph"/>
      </w:pPr>
      <w:r>
        <w:t xml:space="preserve">A economia do trabalho oferece duas explicações concorrentes para um</w:t>
      </w:r>
      <w:r>
        <w:t xml:space="preserve"> </w:t>
      </w:r>
      <w:r>
        <w:t xml:space="preserve">diferencial salarial que sobrevive ao controle de produtividade observável, e</w:t>
      </w:r>
      <w:r>
        <w:t xml:space="preserve"> </w:t>
      </w:r>
      <w:r>
        <w:t xml:space="preserve">elas importam porque implicam políticas distintas.</w:t>
      </w:r>
      <w:r>
        <w:t xml:space="preserve"> </w:t>
      </w:r>
      <w:r>
        <w:t xml:space="preserve">Becker (1957)</w:t>
      </w:r>
      <w:r>
        <w:t xml:space="preserve"> </w:t>
      </w:r>
      <w:r>
        <w:t xml:space="preserve">propôs a discriminação</w:t>
      </w:r>
      <w:r>
        <w:t xml:space="preserve"> </w:t>
      </w:r>
      <w:r>
        <w:rPr>
          <w:i/>
          <w:iCs/>
        </w:rPr>
        <w:t xml:space="preserve">por preferência</w:t>
      </w:r>
      <w:r>
        <w:t xml:space="preserve">: empregadores,</w:t>
      </w:r>
      <w:r>
        <w:t xml:space="preserve"> </w:t>
      </w:r>
      <w:r>
        <w:t xml:space="preserve">colegas ou clientes têm uma desutilidade em transacionar com o grupo</w:t>
      </w:r>
      <w:r>
        <w:t xml:space="preserve"> </w:t>
      </w:r>
      <w:r>
        <w:t xml:space="preserve">minoritário e, por isso, só o contratam a um salário menor. A previsão desse</w:t>
      </w:r>
      <w:r>
        <w:t xml:space="preserve"> </w:t>
      </w:r>
      <w:r>
        <w:t xml:space="preserve">modelo é que a concorrência erode a discriminação — empresas que discriminam</w:t>
      </w:r>
      <w:r>
        <w:t xml:space="preserve"> </w:t>
      </w:r>
      <w:r>
        <w:t xml:space="preserve">pagam mais caro pela mesma produtividade e tendem a ser expulsas do mercado.</w:t>
      </w:r>
      <w:r>
        <w:t xml:space="preserve"> </w:t>
      </w:r>
      <w:r>
        <w:t xml:space="preserve">Arrow (1973)</w:t>
      </w:r>
      <w:r>
        <w:t xml:space="preserve"> </w:t>
      </w:r>
      <w:r>
        <w:t xml:space="preserve">formalizou a alternativa: a discriminação</w:t>
      </w:r>
      <w:r>
        <w:t xml:space="preserve"> </w:t>
      </w:r>
      <w:r>
        <w:rPr>
          <w:i/>
          <w:iCs/>
        </w:rPr>
        <w:t xml:space="preserve">estatística</w:t>
      </w:r>
      <w:r>
        <w:t xml:space="preserve">,</w:t>
      </w:r>
      <w:r>
        <w:t xml:space="preserve"> </w:t>
      </w:r>
      <w:r>
        <w:t xml:space="preserve">em que o empregador, diante de informação imperfeita sobre a produtividade</w:t>
      </w:r>
      <w:r>
        <w:t xml:space="preserve"> </w:t>
      </w:r>
      <w:r>
        <w:t xml:space="preserve">individual, usa a raça como sinal da média do grupo. Aqui a concorrência não</w:t>
      </w:r>
      <w:r>
        <w:t xml:space="preserve"> </w:t>
      </w:r>
      <w:r>
        <w:t xml:space="preserve">corrige nada; ao contrário, o equilíbrio se autoconfirma, porque o menor retorno</w:t>
      </w:r>
      <w:r>
        <w:t xml:space="preserve"> </w:t>
      </w:r>
      <w:r>
        <w:t xml:space="preserve">esperado desestimula o investimento em qualificação por parte do grupo</w:t>
      </w:r>
      <w:r>
        <w:t xml:space="preserve"> </w:t>
      </w:r>
      <w:r>
        <w:t xml:space="preserve">discriminado.</w:t>
      </w:r>
    </w:p>
    <w:p>
      <w:pPr>
        <w:pStyle w:val="BodyText"/>
      </w:pPr>
      <w:r>
        <w:t xml:space="preserve">A distinção tem consequência direta para a leitura dos resultados deste</w:t>
      </w:r>
      <w:r>
        <w:t xml:space="preserve"> </w:t>
      </w:r>
      <w:r>
        <w:t xml:space="preserve">trabalho. O componente de</w:t>
      </w:r>
      <w:r>
        <w:t xml:space="preserve"> </w:t>
      </w:r>
      <w:r>
        <w:rPr>
          <w:i/>
          <w:iCs/>
        </w:rPr>
        <w:t xml:space="preserve">retornos</w:t>
      </w:r>
      <w:r>
        <w:t xml:space="preserve"> </w:t>
      </w:r>
      <w:r>
        <w:t xml:space="preserve">da decomposição de Oaxaca–Blinder é</w:t>
      </w:r>
      <w:r>
        <w:t xml:space="preserve"> </w:t>
      </w:r>
      <w:r>
        <w:t xml:space="preserve">compatível com as duas teorias, e os dados observacionais aqui usados não</w:t>
      </w:r>
      <w:r>
        <w:t xml:space="preserve"> </w:t>
      </w:r>
      <w:r>
        <w:t xml:space="preserve">permitem separá-las — uma limitação assumida explicitamente</w:t>
      </w:r>
      <w:r>
        <w:t xml:space="preserve"> </w:t>
      </w:r>
      <w:r>
        <w:t xml:space="preserve">(Seção </w:t>
      </w:r>
      <w:hyperlink w:anchor="sec:conclusao">
        <w:r>
          <w:rPr>
            <w:rStyle w:val="Hyperlink"/>
          </w:rPr>
          <w:t xml:space="preserve">6</w:t>
        </w:r>
      </w:hyperlink>
      <w:r>
        <w:t xml:space="preserve">). O que os dados permitem é testar uma implicação</w:t>
      </w:r>
      <w:r>
        <w:t xml:space="preserve"> </w:t>
      </w:r>
      <w:r>
        <w:t xml:space="preserve">comum às duas: se a barreira opera também no</w:t>
      </w:r>
      <w:r>
        <w:t xml:space="preserve"> </w:t>
      </w:r>
      <w:r>
        <w:rPr>
          <w:i/>
          <w:iCs/>
        </w:rPr>
        <w:t xml:space="preserve">acesso</w:t>
      </w:r>
      <w:r>
        <w:t xml:space="preserve"> </w:t>
      </w:r>
      <w:r>
        <w:t xml:space="preserve">às ocupações, e</w:t>
      </w:r>
      <w:r>
        <w:t xml:space="preserve"> </w:t>
      </w:r>
      <w:r>
        <w:t xml:space="preserve">não só no preço pago dentro delas, então políticas de qualificação isoladas</w:t>
      </w:r>
      <w:r>
        <w:t xml:space="preserve"> </w:t>
      </w:r>
      <w:r>
        <w:t xml:space="preserve">serão insuficientes sob qualquer das duas hipóteses teóricas.</w:t>
      </w:r>
    </w:p>
    <w:p>
      <w:pPr>
        <w:pStyle w:val="BodyText"/>
      </w:pPr>
      <w:r>
        <w:t xml:space="preserve">A tradição brasileira acrescenta uma terceira leitura.</w:t>
      </w:r>
      <w:r>
        <w:t xml:space="preserve"> </w:t>
      </w:r>
      <w:r>
        <w:t xml:space="preserve">Almeida (2019)</w:t>
      </w:r>
      <w:r>
        <w:t xml:space="preserve"> </w:t>
      </w:r>
      <w:r>
        <w:t xml:space="preserve">argumenta que o racismo não é desvio individual nem falha informacional, mas</w:t>
      </w:r>
      <w:r>
        <w:t xml:space="preserve"> </w:t>
      </w:r>
      <w:r>
        <w:t xml:space="preserve">processo estrutural: as instituições reproduzem a desigualdade racial por</w:t>
      </w:r>
      <w:r>
        <w:t xml:space="preserve"> </w:t>
      </w:r>
      <w:r>
        <w:t xml:space="preserve">mecanismos que independem da intenção dos agentes — o que desloca a pergunta</w:t>
      </w:r>
      <w:r>
        <w:t xml:space="preserve"> </w:t>
      </w:r>
      <w:r>
        <w:t xml:space="preserve">de</w:t>
      </w:r>
      <w:r>
        <w:t xml:space="preserve"> </w:t>
      </w:r>
      <w:r>
        <w:t xml:space="preserve">“quem discrimina”</w:t>
      </w:r>
      <w:r>
        <w:t xml:space="preserve"> </w:t>
      </w:r>
      <w:r>
        <w:t xml:space="preserve">para</w:t>
      </w:r>
      <w:r>
        <w:t xml:space="preserve"> </w:t>
      </w:r>
      <w:r>
        <w:t xml:space="preserve">“que arranjos produzem o resultado desigual”</w:t>
      </w:r>
      <w:r>
        <w:t xml:space="preserve">. É</w:t>
      </w:r>
      <w:r>
        <w:t xml:space="preserve"> </w:t>
      </w:r>
      <w:r>
        <w:t xml:space="preserve">essa leitura que justifica investigar a segregação residencial e a segregação</w:t>
      </w:r>
      <w:r>
        <w:t xml:space="preserve"> </w:t>
      </w:r>
      <w:r>
        <w:t xml:space="preserve">ocupacional como mecanismos, e não como controles.</w:t>
      </w:r>
    </w:p>
    <w:bookmarkEnd w:id="14"/>
    <w:bookmarkStart w:id="15" w:name="X8f48dcd1dff2e71b35b62c21c0808f76080621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Desigualdade racial no mercado de trabalho brasileiro</w:t>
      </w:r>
    </w:p>
    <w:p>
      <w:pPr>
        <w:pStyle w:val="FirstParagraph"/>
      </w:pPr>
      <w:r>
        <w:t xml:space="preserve">Hasenbalg (1979)</w:t>
      </w:r>
      <w:r>
        <w:t xml:space="preserve"> </w:t>
      </w:r>
      <w:r>
        <w:t xml:space="preserve">demonstrou pioneiramente que a desigualdade racial</w:t>
      </w:r>
      <w:r>
        <w:t xml:space="preserve"> </w:t>
      </w:r>
      <w:r>
        <w:t xml:space="preserve">no Brasil não decorre apenas de diferenças históricas de acesso à educação,</w:t>
      </w:r>
      <w:r>
        <w:t xml:space="preserve"> </w:t>
      </w:r>
      <w:r>
        <w:t xml:space="preserve">mas de mecanismos ativos de discriminação no mercado de trabalho que</w:t>
      </w:r>
      <w:r>
        <w:t xml:space="preserve"> </w:t>
      </w:r>
      <w:r>
        <w:t xml:space="preserve">convertem desvantagens sociais em desvantagens econômicas de forma cumulativa.</w:t>
      </w:r>
      <w:r>
        <w:t xml:space="preserve"> </w:t>
      </w:r>
      <w:r>
        <w:t xml:space="preserve">Henriques (2001)</w:t>
      </w:r>
      <w:r>
        <w:t xml:space="preserve"> </w:t>
      </w:r>
      <w:r>
        <w:t xml:space="preserve">documentou, para a década de 1990, que a escolaridade</w:t>
      </w:r>
      <w:r>
        <w:t xml:space="preserve"> </w:t>
      </w:r>
      <w:r>
        <w:t xml:space="preserve">média de trabalhadores negros era de cerca de dois anos a menos que a de</w:t>
      </w:r>
      <w:r>
        <w:t xml:space="preserve"> </w:t>
      </w:r>
      <w:r>
        <w:t xml:space="preserve">brancos e que essa diferença explicava apenas parte do diferencial de</w:t>
      </w:r>
      <w:r>
        <w:t xml:space="preserve"> </w:t>
      </w:r>
      <w:r>
        <w:t xml:space="preserve">rendimentos.</w:t>
      </w:r>
      <w:r>
        <w:t xml:space="preserve"> </w:t>
      </w:r>
      <w:r>
        <w:t xml:space="preserve">Soares (2009)</w:t>
      </w:r>
      <w:r>
        <w:t xml:space="preserve">, cobrindo 1976–2006, estimou por decomposição</w:t>
      </w:r>
      <w:r>
        <w:t xml:space="preserve"> </w:t>
      </w:r>
      <w:r>
        <w:t xml:space="preserve">que em torno de metade do gap racial de rendimentos não era explicada por</w:t>
      </w:r>
      <w:r>
        <w:t xml:space="preserve"> </w:t>
      </w:r>
      <w:r>
        <w:t xml:space="preserve">características observáveis — parcela que sua análise atribui a</w:t>
      </w:r>
      <w:r>
        <w:t xml:space="preserve"> </w:t>
      </w:r>
      <w:r>
        <w:t xml:space="preserve">discriminação salarial e a diferenças de qualidade da educação recebida. Esses</w:t>
      </w:r>
      <w:r>
        <w:t xml:space="preserve"> </w:t>
      </w:r>
      <w:r>
        <w:t xml:space="preserve">são os parâmetros de referência com que os resultados deste trabalho dialogam</w:t>
      </w:r>
      <w:r>
        <w:t xml:space="preserve"> </w:t>
      </w:r>
      <w:r>
        <w:t xml:space="preserve">na Seção </w:t>
      </w:r>
      <w:hyperlink w:anchor="sec:discussao">
        <w:r>
          <w:rPr>
            <w:rStyle w:val="Hyperlink"/>
          </w:rPr>
          <w:t xml:space="preserve">5</w:t>
        </w:r>
      </w:hyperlink>
      <w:r>
        <w:t xml:space="preserve">; a comparação exige cautela, porque a magnitude do</w:t>
      </w:r>
      <w:r>
        <w:t xml:space="preserve"> </w:t>
      </w:r>
      <w:r>
        <w:t xml:space="preserve">componente não explicado depende de quais controles se tratam como dotações</w:t>
      </w:r>
      <w:r>
        <w:t xml:space="preserve"> </w:t>
      </w:r>
      <w:r>
        <w:t xml:space="preserve">(ver Seção </w:t>
      </w:r>
      <w:hyperlink w:anchor="subsec:oaxaca_metodo">
        <w:r>
          <w:rPr>
            <w:rStyle w:val="Hyperlink"/>
          </w:rPr>
          <w:t xml:space="preserve">3.3</w:t>
        </w:r>
      </w:hyperlink>
      <w:r>
        <w:t xml:space="preserve">).</w:t>
      </w:r>
    </w:p>
    <w:bookmarkEnd w:id="15"/>
    <w:bookmarkStart w:id="16" w:name="Xa0acc39481cd79e9e5afa2c41be7694e900c33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Efeitos de vizinhança e segregação residencial</w:t>
      </w:r>
    </w:p>
    <w:p>
      <w:pPr>
        <w:pStyle w:val="FirstParagraph"/>
      </w:pPr>
      <w:r>
        <w:t xml:space="preserve">Wilson (1987)</w:t>
      </w:r>
      <w:r>
        <w:t xml:space="preserve"> </w:t>
      </w:r>
      <w:r>
        <w:t xml:space="preserve">propôs a hipótese da</w:t>
      </w:r>
      <w:r>
        <w:t xml:space="preserve"> </w:t>
      </w:r>
      <w:r>
        <w:rPr>
          <w:i/>
          <w:iCs/>
        </w:rPr>
        <w:t xml:space="preserve">concentrated disadvantage</w:t>
      </w:r>
      <w:r>
        <w:t xml:space="preserve">:</w:t>
      </w:r>
      <w:r>
        <w:t xml:space="preserve"> </w:t>
      </w:r>
      <w:r>
        <w:t xml:space="preserve">a concentração de pobreza em bairros racialmente segregados amplifica</w:t>
      </w:r>
      <w:r>
        <w:t xml:space="preserve"> </w:t>
      </w:r>
      <w:r>
        <w:t xml:space="preserve">desvantagens individuais por meio da redução de redes de contato com</w:t>
      </w:r>
      <w:r>
        <w:t xml:space="preserve"> </w:t>
      </w:r>
      <w:r>
        <w:t xml:space="preserve">o mercado de trabalho formal, degradação de serviços públicos e aumento</w:t>
      </w:r>
      <w:r>
        <w:t xml:space="preserve"> </w:t>
      </w:r>
      <w:r>
        <w:t xml:space="preserve">da violência.</w:t>
      </w:r>
      <w:r>
        <w:t xml:space="preserve"> </w:t>
      </w:r>
      <w:r>
        <w:t xml:space="preserve">Sampson; Raudenbush; Earls (1997)</w:t>
      </w:r>
      <w:r>
        <w:t xml:space="preserve"> </w:t>
      </w:r>
      <w:r>
        <w:t xml:space="preserve">forneceu evidência empírica para essa</w:t>
      </w:r>
      <w:r>
        <w:t xml:space="preserve"> </w:t>
      </w:r>
      <w:r>
        <w:t xml:space="preserve">hipótese em contexto norte-americano, e estudos brasileiros encontraram</w:t>
      </w:r>
      <w:r>
        <w:t xml:space="preserve"> </w:t>
      </w:r>
      <w:r>
        <w:t xml:space="preserve">padrões similares para as regiões metropolitanas </w:t>
      </w:r>
      <w:r>
        <w:t xml:space="preserve">(Marques, 2010)</w:t>
      </w:r>
      <w:r>
        <w:t xml:space="preserve">.</w:t>
      </w:r>
    </w:p>
    <w:p>
      <w:pPr>
        <w:pStyle w:val="BodyText"/>
      </w:pPr>
      <w:r>
        <w:t xml:space="preserve">A abordagem de</w:t>
      </w:r>
      <w:r>
        <w:t xml:space="preserve"> </w:t>
      </w:r>
      <w:r>
        <w:rPr>
          <w:i/>
          <w:iCs/>
        </w:rPr>
        <w:t xml:space="preserve">networking</w:t>
      </w:r>
      <w:r>
        <w:t xml:space="preserve"> </w:t>
      </w:r>
      <w:r>
        <w:t xml:space="preserve">local, operacionalizada neste trabalho</w:t>
      </w:r>
      <w:r>
        <w:t xml:space="preserve"> </w:t>
      </w:r>
      <w:r>
        <w:t xml:space="preserve">pelo segundo nível do modelo hierárquico (UPA), testa se o contexto</w:t>
      </w:r>
      <w:r>
        <w:t xml:space="preserve"> </w:t>
      </w:r>
      <w:r>
        <w:t xml:space="preserve">socioeconômico do bairro exerce efeito independente sobre o rendimento</w:t>
      </w:r>
      <w:r>
        <w:t xml:space="preserve"> </w:t>
      </w:r>
      <w:r>
        <w:t xml:space="preserve">após controlar por características individuais — o chamado</w:t>
      </w:r>
      <w:r>
        <w:t xml:space="preserve"> </w:t>
      </w:r>
      <w:r>
        <w:rPr>
          <w:i/>
          <w:iCs/>
        </w:rPr>
        <w:t xml:space="preserve">duplo disadvantage</w:t>
      </w:r>
      <w:r>
        <w:t xml:space="preserve"> </w:t>
      </w:r>
      <w:r>
        <w:t xml:space="preserve">de ser negro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morar em bairros negros.</w:t>
      </w:r>
    </w:p>
    <w:bookmarkEnd w:id="16"/>
    <w:bookmarkStart w:id="17" w:name="X1ddc427d24c2d4d60b641d38f5b2ff38c0d007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Modelos lineares hierárquicos para dados aninhados</w:t>
      </w:r>
    </w:p>
    <w:p>
      <w:pPr>
        <w:pStyle w:val="FirstParagraph"/>
      </w:pPr>
      <w:r>
        <w:t xml:space="preserve">Raudenbush; Bryk (2002)</w:t>
      </w:r>
      <w:r>
        <w:t xml:space="preserve"> </w:t>
      </w:r>
      <w:r>
        <w:t xml:space="preserve">sistematizaram a fundamentação estatística dos</w:t>
      </w:r>
      <w:r>
        <w:t xml:space="preserve"> </w:t>
      </w:r>
      <w:r>
        <w:t xml:space="preserve">modelos lineares hierárquicos (HLM), tornando-os o padrão metodológico para</w:t>
      </w:r>
      <w:r>
        <w:t xml:space="preserve"> </w:t>
      </w:r>
      <w:r>
        <w:t xml:space="preserve">análise de dados com estrutura aninhada (indivíduos dentro de bairros dentro</w:t>
      </w:r>
      <w:r>
        <w:t xml:space="preserve"> </w:t>
      </w:r>
      <w:r>
        <w:t xml:space="preserve">de estados). Esses modelos permitem decompor a variância do desfecho em</w:t>
      </w:r>
      <w:r>
        <w:t xml:space="preserve"> </w:t>
      </w:r>
      <w:r>
        <w:t xml:space="preserve">componentes de cada nível e estimar os efeitos contextuais</w:t>
      </w:r>
      <w:r>
        <w:t xml:space="preserve"> </w:t>
      </w:r>
      <w:r>
        <w:t xml:space="preserve">controlando simultaneamente pelos efeitos individuais.</w:t>
      </w:r>
    </w:p>
    <w:bookmarkEnd w:id="17"/>
    <w:bookmarkStart w:id="18" w:name="X34225201ea8f5e8d3f4e0c4b62c65fc0454df5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Decomposições salariais e a distribuição do gap</w:t>
      </w:r>
    </w:p>
    <w:p>
      <w:pPr>
        <w:pStyle w:val="FirstParagraph"/>
      </w:pPr>
      <w:r>
        <w:t xml:space="preserve">O instrumental que separa</w:t>
      </w:r>
      <w:r>
        <w:t xml:space="preserve"> </w:t>
      </w:r>
      <w:r>
        <w:t xml:space="preserve">“ter características diferentes”</w:t>
      </w:r>
      <w:r>
        <w:t xml:space="preserve"> </w:t>
      </w:r>
      <w:r>
        <w:t xml:space="preserve">de</w:t>
      </w:r>
      <w:r>
        <w:t xml:space="preserve"> </w:t>
      </w:r>
      <w:r>
        <w:t xml:space="preserve">“receber</w:t>
      </w:r>
      <w:r>
        <w:t xml:space="preserve"> </w:t>
      </w:r>
      <w:r>
        <w:t xml:space="preserve">preços diferentes”</w:t>
      </w:r>
      <w:r>
        <w:t xml:space="preserve"> </w:t>
      </w:r>
      <w:r>
        <w:t xml:space="preserve">vem de</w:t>
      </w:r>
      <w:r>
        <w:t xml:space="preserve"> </w:t>
      </w:r>
      <w:r>
        <w:t xml:space="preserve">Oaxaca (1973)</w:t>
      </w:r>
      <w:r>
        <w:t xml:space="preserve"> </w:t>
      </w:r>
      <w:r>
        <w:t xml:space="preserve">e</w:t>
      </w:r>
      <w:r>
        <w:t xml:space="preserve"> </w:t>
      </w:r>
      <w:r>
        <w:t xml:space="preserve">Blinder (1973)</w:t>
      </w:r>
      <w:r>
        <w:t xml:space="preserve">, que</w:t>
      </w:r>
      <w:r>
        <w:t xml:space="preserve"> </w:t>
      </w:r>
      <w:r>
        <w:t xml:space="preserve">propuseram, de forma independente, decompor a diferença de médias entre dois</w:t>
      </w:r>
      <w:r>
        <w:t xml:space="preserve"> </w:t>
      </w:r>
      <w:r>
        <w:t xml:space="preserve">grupos em uma parcela de</w:t>
      </w:r>
      <w:r>
        <w:t xml:space="preserve"> </w:t>
      </w:r>
      <w:r>
        <w:rPr>
          <w:i/>
          <w:iCs/>
        </w:rPr>
        <w:t xml:space="preserve">dotações</w:t>
      </w:r>
      <w:r>
        <w:t xml:space="preserve"> </w:t>
      </w:r>
      <w:r>
        <w:t xml:space="preserve">— atribuível a diferenças nas</w:t>
      </w:r>
      <w:r>
        <w:t xml:space="preserve"> </w:t>
      </w:r>
      <w:r>
        <w:t xml:space="preserve">características observáveis — e outra de</w:t>
      </w:r>
      <w:r>
        <w:t xml:space="preserve"> </w:t>
      </w:r>
      <w:r>
        <w:rPr>
          <w:i/>
          <w:iCs/>
        </w:rPr>
        <w:t xml:space="preserve">retornos</w:t>
      </w:r>
      <w:r>
        <w:t xml:space="preserve">, atribuível a</w:t>
      </w:r>
      <w:r>
        <w:t xml:space="preserve"> </w:t>
      </w:r>
      <w:r>
        <w:t xml:space="preserve">diferenças nos coeficientes com que essas características são remuneradas.</w:t>
      </w:r>
      <w:r>
        <w:t xml:space="preserve"> </w:t>
      </w:r>
      <w:r>
        <w:t xml:space="preserve">Oaxaca; Ransom (1999)</w:t>
      </w:r>
      <w:r>
        <w:t xml:space="preserve"> </w:t>
      </w:r>
      <w:r>
        <w:t xml:space="preserve">mostraram, porém, que a repartição não é única: ela</w:t>
      </w:r>
      <w:r>
        <w:t xml:space="preserve"> </w:t>
      </w:r>
      <w:r>
        <w:t xml:space="preserve">depende de quais variáveis se admite como dotação. Tratar a ocupação como</w:t>
      </w:r>
      <w:r>
        <w:t xml:space="preserve"> </w:t>
      </w:r>
      <w:r>
        <w:t xml:space="preserve">característica do trabalhador desloca para a parcela explicada toda a</w:t>
      </w:r>
      <w:r>
        <w:t xml:space="preserve"> </w:t>
      </w:r>
      <w:r>
        <w:t xml:space="preserve">desigualdade que opera pela porta de entrada da ocupação — razão pela qual</w:t>
      </w:r>
      <w:r>
        <w:t xml:space="preserve"> </w:t>
      </w:r>
      <w:r>
        <w:t xml:space="preserve">este trabalho reporta as duas especificações lado a lado.</w:t>
      </w:r>
    </w:p>
    <w:p>
      <w:pPr>
        <w:pStyle w:val="BodyText"/>
      </w:pPr>
      <w:r>
        <w:t xml:space="preserve">A decomposição de médias, contudo, descreve apenas o trabalhador médio.</w:t>
      </w:r>
      <w:r>
        <w:t xml:space="preserve"> </w:t>
      </w:r>
      <w:r>
        <w:t xml:space="preserve">Koenker; Bassett (1978)</w:t>
      </w:r>
      <w:r>
        <w:t xml:space="preserve"> </w:t>
      </w:r>
      <w:r>
        <w:t xml:space="preserve">introduziram a regressão quantílica, que estima o efeito</w:t>
      </w:r>
      <w:r>
        <w:t xml:space="preserve"> </w:t>
      </w:r>
      <w:r>
        <w:t xml:space="preserve">de um regressor em cada ponto da distribuição condicional e permite verificar</w:t>
      </w:r>
      <w:r>
        <w:t xml:space="preserve"> </w:t>
      </w:r>
      <w:r>
        <w:t xml:space="preserve">se a penalidade racial é uniforme ou se cresce rumo ao topo — a formulação</w:t>
      </w:r>
      <w:r>
        <w:t xml:space="preserve"> </w:t>
      </w:r>
      <w:r>
        <w:t xml:space="preserve">estatística do teto de vidro.</w:t>
      </w:r>
      <w:r>
        <w:t xml:space="preserve"> </w:t>
      </w:r>
      <w:r>
        <w:t xml:space="preserve">Firpo; Fortin; Lemieux (2018)</w:t>
      </w:r>
      <w:r>
        <w:t xml:space="preserve"> </w:t>
      </w:r>
      <w:r>
        <w:t xml:space="preserve">estenderam a decomposição para</w:t>
      </w:r>
      <w:r>
        <w:t xml:space="preserve"> </w:t>
      </w:r>
      <w:r>
        <w:t xml:space="preserve">quantis</w:t>
      </w:r>
      <w:r>
        <w:t xml:space="preserve"> </w:t>
      </w:r>
      <w:r>
        <w:rPr>
          <w:i/>
          <w:iCs/>
        </w:rPr>
        <w:t xml:space="preserve">incondicionais</w:t>
      </w:r>
      <w:r>
        <w:t xml:space="preserve"> </w:t>
      </w:r>
      <w:r>
        <w:t xml:space="preserve">por meio de regressões da função de influência</w:t>
      </w:r>
      <w:r>
        <w:t xml:space="preserve"> </w:t>
      </w:r>
      <w:r>
        <w:t xml:space="preserve">recentrada (RIF), respondendo a uma pergunta distinta: de que é feito o gap em</w:t>
      </w:r>
      <w:r>
        <w:t xml:space="preserve"> </w:t>
      </w:r>
      <w:r>
        <w:t xml:space="preserve">um dado ponto da distribuição de renda do país, e não da distribuição</w:t>
      </w:r>
      <w:r>
        <w:t xml:space="preserve"> </w:t>
      </w:r>
      <w:r>
        <w:t xml:space="preserve">condicional a um perfil. As duas leituras são complementares e, como se verá,</w:t>
      </w:r>
      <w:r>
        <w:t xml:space="preserve"> </w:t>
      </w:r>
      <w:r>
        <w:t xml:space="preserve">apontam para padrões aparentemente opostos que descrevem o mesmo fenômeno</w:t>
      </w:r>
      <w:r>
        <w:t xml:space="preserve"> </w:t>
      </w:r>
      <w:r>
        <w:t xml:space="preserve">(Seção </w:t>
      </w:r>
      <w:hyperlink w:anchor="subsec:qr_rif">
        <w:r>
          <w:rPr>
            <w:rStyle w:val="Hyperlink"/>
          </w:rPr>
          <w:t xml:space="preserve">4.5</w:t>
        </w:r>
      </w:hyperlink>
      <w:r>
        <w:t xml:space="preserve">).</w:t>
      </w:r>
    </w:p>
    <w:bookmarkEnd w:id="18"/>
    <w:bookmarkStart w:id="19" w:name="interseccionalidade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Interseccionalidade</w:t>
      </w:r>
    </w:p>
    <w:p>
      <w:pPr>
        <w:pStyle w:val="FirstParagraph"/>
      </w:pPr>
      <w:r>
        <w:t xml:space="preserve">Crenshaw (1989)</w:t>
      </w:r>
      <w:r>
        <w:t xml:space="preserve"> </w:t>
      </w:r>
      <w:r>
        <w:t xml:space="preserve">cunhou o conceito de interseccionalidade a partir da</w:t>
      </w:r>
      <w:r>
        <w:t xml:space="preserve"> </w:t>
      </w:r>
      <w:r>
        <w:t xml:space="preserve">constatação de que a experiência de mulheres negras não é descrita pela soma</w:t>
      </w:r>
      <w:r>
        <w:t xml:space="preserve"> </w:t>
      </w:r>
      <w:r>
        <w:t xml:space="preserve">das categorias</w:t>
      </w:r>
      <w:r>
        <w:t xml:space="preserve"> </w:t>
      </w:r>
      <w:r>
        <w:t xml:space="preserve">“mulher”</w:t>
      </w:r>
      <w:r>
        <w:t xml:space="preserve"> </w:t>
      </w:r>
      <w:r>
        <w:t xml:space="preserve">e</w:t>
      </w:r>
      <w:r>
        <w:t xml:space="preserve"> </w:t>
      </w:r>
      <w:r>
        <w:t xml:space="preserve">“negra”</w:t>
      </w:r>
      <w:r>
        <w:t xml:space="preserve">: há um efeito próprio da posição na</w:t>
      </w:r>
      <w:r>
        <w:t xml:space="preserve"> </w:t>
      </w:r>
      <w:r>
        <w:t xml:space="preserve">interseção dos eixos, que análises que tratam raça e gênero separadamente não</w:t>
      </w:r>
      <w:r>
        <w:t xml:space="preserve"> </w:t>
      </w:r>
      <w:r>
        <w:t xml:space="preserve">capturam. Empiricamente, isso implica testar se o diferencial do grupo excede a</w:t>
      </w:r>
      <w:r>
        <w:t xml:space="preserve"> </w:t>
      </w:r>
      <w:r>
        <w:t xml:space="preserve">soma dos diferenciais isolados — e, portanto, se políticas desenhadas para um</w:t>
      </w:r>
      <w:r>
        <w:t xml:space="preserve"> </w:t>
      </w:r>
      <w:r>
        <w:t xml:space="preserve">eixo de cada vez deixam de fora justamente quem está na interseção.</w:t>
      </w:r>
    </w:p>
    <w:bookmarkEnd w:id="19"/>
    <w:bookmarkStart w:id="20" w:name="Xe3429e2996bcc4098ba03776623ee9f18b9c274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Interpretabilidade em machine learning: SHAP values</w:t>
      </w:r>
    </w:p>
    <w:p>
      <w:pPr>
        <w:pStyle w:val="FirstParagraph"/>
      </w:pPr>
      <w:r>
        <w:t xml:space="preserve">Lundberg; Lee (2017)</w:t>
      </w:r>
      <w:r>
        <w:t xml:space="preserve"> </w:t>
      </w:r>
      <w:r>
        <w:t xml:space="preserve">propuseram os</w:t>
      </w:r>
      <w:r>
        <w:t xml:space="preserve"> </w:t>
      </w:r>
      <w:r>
        <w:rPr>
          <w:i/>
          <w:iCs/>
        </w:rPr>
        <w:t xml:space="preserve">SHapley Additive exPlanations</w:t>
      </w:r>
      <w:r>
        <w:t xml:space="preserve"> </w:t>
      </w:r>
      <w:r>
        <w:t xml:space="preserve">(SHAP), unificando importância de variáveis, efeitos parciais e explicações</w:t>
      </w:r>
      <w:r>
        <w:t xml:space="preserve"> </w:t>
      </w:r>
      <w:r>
        <w:t xml:space="preserve">individuais em uma única estrutura axiomática baseada na teoria dos jogos</w:t>
      </w:r>
      <w:r>
        <w:t xml:space="preserve"> </w:t>
      </w:r>
      <w:r>
        <w:t xml:space="preserve">cooperativos. Para dados socioeconômicos, SHAP permite responder à pergunta:</w:t>
      </w:r>
      <w:r>
        <w:t xml:space="preserve"> </w:t>
      </w:r>
      <w:r>
        <w:t xml:space="preserve">“quanto e em que direção a raça de um indivíduo específico afeta a predição</w:t>
      </w:r>
      <w:r>
        <w:t xml:space="preserve"> </w:t>
      </w:r>
      <w:r>
        <w:t xml:space="preserve">de sua renda?”</w:t>
      </w:r>
      <w:r>
        <w:t xml:space="preserve"> </w:t>
      </w:r>
      <w:r>
        <w:t xml:space="preserve">— uma contribuição metodológica que complementa e enriquece</w:t>
      </w:r>
      <w:r>
        <w:t xml:space="preserve"> </w:t>
      </w:r>
      <w:r>
        <w:t xml:space="preserve">a interpretação dos coeficientes do HLM.</w:t>
      </w:r>
    </w:p>
    <w:bookmarkEnd w:id="20"/>
    <w:bookmarkEnd w:id="21"/>
    <w:bookmarkStart w:id="32" w:name="sec:metodolog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Dados e Metodologia</w:t>
      </w:r>
    </w:p>
    <w:bookmarkStart w:id="23" w:name="base-de-dados-pnad-contínua-20162025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Base de dados: PNAD Contínua (2016–2025)</w:t>
      </w:r>
    </w:p>
    <w:p>
      <w:pPr>
        <w:pStyle w:val="FirstParagraph"/>
      </w:pPr>
      <w:r>
        <w:t xml:space="preserve">A PNAD Contínua é uma pesquisa amostral de domicílios conduzida</w:t>
      </w:r>
      <w:r>
        <w:t xml:space="preserve"> </w:t>
      </w:r>
      <w:r>
        <w:t xml:space="preserve">trimestralmente pelo IBGE, com cobertura nacional e metodologia de painel</w:t>
      </w:r>
      <w:r>
        <w:t xml:space="preserve"> </w:t>
      </w:r>
      <w:r>
        <w:t xml:space="preserve">rotativo. O microdado contém informações sobre características demográficas,</w:t>
      </w:r>
      <w:r>
        <w:t xml:space="preserve"> </w:t>
      </w:r>
      <w:r>
        <w:t xml:space="preserve">escolaridade, inserção no mercado de trabalho e rendimentos para todos os</w:t>
      </w:r>
      <w:r>
        <w:t xml:space="preserve"> </w:t>
      </w:r>
      <w:r>
        <w:t xml:space="preserve">moradores dos domicílios selecionados. Para este trabalho, foram processados</w:t>
      </w:r>
      <w:r>
        <w:t xml:space="preserve"> </w:t>
      </w:r>
      <w:r>
        <w:t xml:space="preserve">todos os 40 trimestres disponíveis de 2016T1 a 2025T4, totalizando</w:t>
      </w:r>
      <w:r>
        <w:t xml:space="preserve"> </w:t>
      </w:r>
      <w:r>
        <w:t xml:space="preserve">15.941.675 observações brutas, das quais 7.699.278 possuem renda positiva</w:t>
      </w:r>
      <w:r>
        <w:t xml:space="preserve"> </w:t>
      </w:r>
      <w:r>
        <w:t xml:space="preserve">declarada e completude nas variáveis do modelo. Como cada método exige um conjunto um pouco</w:t>
      </w:r>
      <w:r>
        <w:t xml:space="preserve"> </w:t>
      </w:r>
      <w:r>
        <w:t xml:space="preserve">diferente de variáveis, 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efetivo varia pouco entre eles: 7.694.080 no HLM,</w:t>
      </w:r>
      <w:r>
        <w:t xml:space="preserve"> </w:t>
      </w:r>
      <w:r>
        <w:t xml:space="preserve">7.699.273 no GLMM, 7.699.278 na Oaxaca–Blinder e 7.699.273 no aprendizado de máquina</w:t>
      </w:r>
      <w:r>
        <w:t xml:space="preserve"> </w:t>
      </w:r>
      <w:r>
        <w:t xml:space="preserve">(treino e teste somados). Pelo mesmo motivo o número de bairros varia —</w:t>
      </w:r>
      <w:r>
        <w:t xml:space="preserve"> </w:t>
      </w:r>
      <w:r>
        <w:t xml:space="preserve">41.459 na Oaxaca–Blinder e 41.454 no modelo de acesso —, e o HLM</w:t>
      </w:r>
      <w:r>
        <w:t xml:space="preserve"> </w:t>
      </w:r>
      <w:r>
        <w:t xml:space="preserve">usa 40.728, porque exclui as UPAs com menos de dez observações para estimar a</w:t>
      </w:r>
      <w:r>
        <w:t xml:space="preserve"> </w:t>
      </w:r>
      <w:r>
        <w:t xml:space="preserve">variância entre bairros com estabilidade.</w:t>
      </w:r>
    </w:p>
    <w:p>
      <w:pPr>
        <w:pStyle w:val="BodyText"/>
      </w:pPr>
      <w:r>
        <w:t xml:space="preserve">O desfecho de rendimento é o</w:t>
      </w:r>
      <w:r>
        <w:t xml:space="preserve"> </w:t>
      </w:r>
      <w:r>
        <w:rPr>
          <w:b/>
          <w:bCs/>
        </w:rPr>
        <w:t xml:space="preserve">rendimento mensal efetivo de todos os</w:t>
      </w:r>
      <w:r>
        <w:rPr>
          <w:b/>
          <w:bCs/>
        </w:rPr>
        <w:t xml:space="preserve"> </w:t>
      </w:r>
      <w:r>
        <w:rPr>
          <w:b/>
          <w:bCs/>
        </w:rPr>
        <w:t xml:space="preserve">trabalhos</w:t>
      </w:r>
      <w:r>
        <w:t xml:space="preserve"> </w:t>
      </w:r>
      <w:r>
        <w:t xml:space="preserve">(VD4020), em logaritmo, convertido para reais constantes do 2º trimestre</w:t>
      </w:r>
      <w:r>
        <w:t xml:space="preserve"> </w:t>
      </w:r>
      <w:r>
        <w:t xml:space="preserve">de 2026 pelo deflator oficial da PNAD Contínua (IBGE), que varia por UF e trimestre;</w:t>
      </w:r>
      <w:r>
        <w:t xml:space="preserve"> </w:t>
      </w:r>
      <w:r>
        <w:t xml:space="preserve">como a deflação não remove choques comuns a cada ano, todos os modelos incluem ainda</w:t>
      </w:r>
      <w:r>
        <w:t xml:space="preserve"> </w:t>
      </w:r>
      <w:r>
        <w:t xml:space="preserve">efeitos fixos de ano. A unidade importa para ler os controles: como</w:t>
      </w:r>
      <w:r>
        <w:t xml:space="preserve"> </w:t>
      </w:r>
      <w:r>
        <w:t xml:space="preserve">o rendimento é mensal e não por hora, a jornada</w:t>
      </w:r>
      <w:r>
        <w:t xml:space="preserve"> </w:t>
      </w:r>
      <w:r>
        <w:rPr>
          <w:i/>
          <w:iCs/>
        </w:rPr>
        <w:t xml:space="preserve">habitual</w:t>
      </w:r>
      <w:r>
        <w:t xml:space="preserve"> </w:t>
      </w:r>
      <w:r>
        <w:t xml:space="preserve">(VD4031) entra como</w:t>
      </w:r>
      <w:r>
        <w:t xml:space="preserve"> </w:t>
      </w:r>
      <w:r>
        <w:t xml:space="preserve">controle necessário — sem ela, compara-se o rendimento de quem trabalha meio período com</w:t>
      </w:r>
      <w:r>
        <w:t xml:space="preserve"> </w:t>
      </w:r>
      <w:r>
        <w:t xml:space="preserve">o de quem trabalha jornada integral e atribui-se a diferença à raça.</w:t>
      </w:r>
    </w:p>
    <w:p>
      <w:pPr>
        <w:pStyle w:val="BodyText"/>
      </w:pPr>
      <w:r>
        <w:t xml:space="preserve">A escolaridade vem da VD3004 (nível de instrução mais elevado alcançado, harmonizado</w:t>
      </w:r>
      <w:r>
        <w:t xml:space="preserve"> </w:t>
      </w:r>
      <w:r>
        <w:t xml:space="preserve">pelo IBGE) e entra como</w:t>
      </w:r>
      <w:r>
        <w:t xml:space="preserve"> </w:t>
      </w:r>
      <w:r>
        <w:rPr>
          <w:i/>
          <w:iCs/>
        </w:rPr>
        <w:t xml:space="preserve">dummies</w:t>
      </w:r>
      <w:r>
        <w:t xml:space="preserve"> </w:t>
      </w:r>
      <w:r>
        <w:rPr>
          <w:i/>
          <w:iCs/>
        </w:rPr>
        <w:t xml:space="preserve">cumulativas</w:t>
      </w:r>
      <w:r>
        <w:t xml:space="preserve"> </w:t>
      </w:r>
      <w:r>
        <w:t xml:space="preserve">de conclusão de ciclo</w:t>
      </w:r>
      <w:r>
        <w:t xml:space="preserve"> </w:t>
      </w:r>
      <w:r>
        <w:t xml:space="preserve">— fundamental completo ou mais, médio completo ou mais, superior completo ou mais e</w:t>
      </w:r>
      <w:r>
        <w:t xml:space="preserve"> </w:t>
      </w:r>
      <w:r>
        <w:t xml:space="preserve">pós-graduação (superior completo cujo curso mais elevado frequentado, V3009A, é</w:t>
      </w:r>
      <w:r>
        <w:t xml:space="preserve"> </w:t>
      </w:r>
      <w:r>
        <w:t xml:space="preserve">especialização, mestrado ou doutorado). Cada coeficiente é, assim, o ganho marginal de</w:t>
      </w:r>
      <w:r>
        <w:t xml:space="preserve"> </w:t>
      </w:r>
      <w:r>
        <w:t xml:space="preserve">completar o ciclo seguinte, e a variável cobre toda a população analisada.</w:t>
      </w:r>
    </w:p>
    <w:p>
      <w:pPr>
        <w:pStyle w:val="BodyText"/>
      </w:pPr>
      <w:r>
        <w:rPr>
          <w:b/>
          <w:bCs/>
        </w:rPr>
        <w:t xml:space="preserve">O que é a UPA e por que este trabalho a chama de bairro.</w:t>
      </w:r>
      <w:r>
        <w:t xml:space="preserve"> </w:t>
      </w:r>
      <w:r>
        <w:t xml:space="preserve">A Unidade Primária de Amostragem (UPA)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é um recorte criado para este trabalho: é</w:t>
      </w:r>
      <w:r>
        <w:t xml:space="preserve"> </w:t>
      </w:r>
      <w:r>
        <w:t xml:space="preserve">a unidade do desenho amostral da própria PNAD Contínua</w:t>
      </w:r>
      <w:r>
        <w:t xml:space="preserve"> </w:t>
      </w:r>
      <w:r>
        <w:t xml:space="preserve">(IBGE, 2023)</w:t>
      </w:r>
      <w:r>
        <w:t xml:space="preserve">. Em cada estrato,</w:t>
      </w:r>
      <w:r>
        <w:t xml:space="preserve"> </w:t>
      </w:r>
      <w:r>
        <w:t xml:space="preserve">o IBGE sorteia setores censitários — ou pequenos conjuntos de setores vizinhos, quando um</w:t>
      </w:r>
      <w:r>
        <w:t xml:space="preserve"> </w:t>
      </w:r>
      <w:r>
        <w:t xml:space="preserve">setor tem poucos domicílios — e, dentro de cada um, um grupo de domicílios que é entrevistado</w:t>
      </w:r>
      <w:r>
        <w:t xml:space="preserve"> </w:t>
      </w:r>
      <w:r>
        <w:t xml:space="preserve">em cinco trimestres consecutivos. O código da UPA vem no microdado público (variável</w:t>
      </w:r>
      <w:r>
        <w:t xml:space="preserve"> </w:t>
      </w:r>
      <w:r>
        <w:rPr>
          <w:rStyle w:val="VerbatimChar"/>
        </w:rPr>
        <w:t xml:space="preserve">UPA</w:t>
      </w:r>
      <w:r>
        <w:t xml:space="preserve">), e é isso que permite saber quais entrevistados moram perto uns dos outros. Como</w:t>
      </w:r>
      <w:r>
        <w:t xml:space="preserve"> </w:t>
      </w:r>
      <w:r>
        <w:t xml:space="preserve">o setor censitário reúne algumas centenas de domicílios contíguos, a UPA é a menor unidade</w:t>
      </w:r>
      <w:r>
        <w:t xml:space="preserve"> </w:t>
      </w:r>
      <w:r>
        <w:t xml:space="preserve">territorial que a PNAD identifica e a mais próxima da ideia de vizinhança; por isso, ao longo</w:t>
      </w:r>
      <w:r>
        <w:t xml:space="preserve"> </w:t>
      </w:r>
      <w:r>
        <w:t xml:space="preserve">do texto, ela é chamada de</w:t>
      </w:r>
      <w:r>
        <w:t xml:space="preserve"> </w:t>
      </w:r>
      <w:r>
        <w:rPr>
          <w:i/>
          <w:iCs/>
        </w:rPr>
        <w:t xml:space="preserve">bairro</w:t>
      </w:r>
      <w:r>
        <w:t xml:space="preserve">. A correspondência é aproximada, e convém dizê-lo:</w:t>
      </w:r>
      <w:r>
        <w:t xml:space="preserve"> </w:t>
      </w:r>
      <w:r>
        <w:t xml:space="preserve">a UPA costuma ser menor que um bairro administrativo de cidade grande e, na zona rural, pode</w:t>
      </w:r>
      <w:r>
        <w:t xml:space="preserve"> </w:t>
      </w:r>
      <w:r>
        <w:t xml:space="preserve">cobrir uma área extensa. Onde a precisão técnica importa — equações do modelo, componentes de</w:t>
      </w:r>
      <w:r>
        <w:t xml:space="preserve"> </w:t>
      </w:r>
      <w:r>
        <w:t xml:space="preserve">variância, erros-padrão agrupados —, o texto usa UPA; no restante, bairro.</w:t>
      </w:r>
    </w:p>
    <w:p>
      <w:pPr>
        <w:pStyle w:val="BodyText"/>
      </w:pPr>
      <w:r>
        <w:t xml:space="preserve">A classificação racial segue o critério binário adotado pelos estudos</w:t>
      </w:r>
      <w:r>
        <w:t xml:space="preserve"> </w:t>
      </w:r>
      <w:r>
        <w:t xml:space="preserve">de desigualdade racial no Brasil:</w:t>
      </w:r>
      <w:r>
        <w:t xml:space="preserve"> </w:t>
      </w:r>
      <w:r>
        <w:rPr>
          <w:i/>
          <w:iCs/>
        </w:rPr>
        <w:t xml:space="preserve">negro</w:t>
      </w:r>
      <w:r>
        <w:t xml:space="preserve"> </w:t>
      </w:r>
      <w:r>
        <w:t xml:space="preserve">= preto (código 2) +</w:t>
      </w:r>
      <w:r>
        <w:t xml:space="preserve"> </w:t>
      </w:r>
      <w:r>
        <w:t xml:space="preserve">pardo (código 4);</w:t>
      </w:r>
      <w:r>
        <w:t xml:space="preserve"> </w:t>
      </w:r>
      <w:r>
        <w:rPr>
          <w:i/>
          <w:iCs/>
        </w:rPr>
        <w:t xml:space="preserve">branco</w:t>
      </w:r>
      <w:r>
        <w:t xml:space="preserve"> </w:t>
      </w:r>
      <w:r>
        <w:t xml:space="preserve">= branco (código 1), ambos da variável</w:t>
      </w:r>
      <w:r>
        <w:t xml:space="preserve"> </w:t>
      </w:r>
      <w:r>
        <w:t xml:space="preserve">V2010 (cor ou raça autodeclarada).</w:t>
      </w:r>
    </w:p>
    <w:p>
      <w:pPr>
        <w:pStyle w:val="BodyText"/>
      </w:pPr>
      <w:r>
        <w:rPr>
          <w:b/>
          <w:bCs/>
        </w:rPr>
        <w:t xml:space="preserve">De que é feita a comparação: balanceamento e suporte comum.</w:t>
      </w:r>
      <w:r>
        <w:t xml:space="preserve"> </w:t>
      </w:r>
      <w:r>
        <w:t xml:space="preserve">Antes de qualquer controle, convém olhar em que brancos e negros diferem — é o que</w:t>
      </w:r>
      <w:r>
        <w:t xml:space="preserve"> </w:t>
      </w:r>
      <w:r>
        <w:t xml:space="preserve">mostra a Tabela </w:t>
      </w:r>
      <w:hyperlink w:anchor="tab:balanceamento">
        <w:r>
          <w:rPr>
            <w:rStyle w:val="Hyperlink"/>
          </w:rPr>
          <w:t xml:space="preserve">1</w:t>
        </w:r>
      </w:hyperlink>
      <w:r>
        <w:t xml:space="preserve">. O maior desequilíbrio não está em escolaridade</w:t>
      </w:r>
      <w:r>
        <w:t xml:space="preserve"> </w:t>
      </w:r>
      <w:r>
        <w:t xml:space="preserve">nem em horas: está em</w:t>
      </w:r>
      <w:r>
        <w:t xml:space="preserve"> </w:t>
      </w:r>
      <w:r>
        <w:rPr>
          <w:i/>
          <w:iCs/>
        </w:rPr>
        <w:t xml:space="preserve">onde se mora</w:t>
      </w:r>
      <w:r>
        <w:t xml:space="preserve">. A composição racial do bairro tem diferença</w:t>
      </w:r>
      <w:r>
        <w:t xml:space="preserve"> </w:t>
      </w:r>
      <w:r>
        <w:t xml:space="preserve">padronizada de −1,17 desvios — uma ordem de grandeza acima de qualquer variável</w:t>
      </w:r>
      <w:r>
        <w:t xml:space="preserve"> </w:t>
      </w:r>
      <w:r>
        <w:t xml:space="preserve">individual —, seguida do desemprego local (−0,46) e da educação média do entorno</w:t>
      </w:r>
      <w:r>
        <w:t xml:space="preserve"> </w:t>
      </w:r>
      <w:r>
        <w:t xml:space="preserve">(0,42). É esse desequilíbrio que o nível 2 do modelo hierárquico absorve.</w:t>
      </w:r>
      <w:r>
        <w:t xml:space="preserve"> </w:t>
      </w:r>
      <w:r>
        <w:t xml:space="preserve">O suporte comum é amplo: 97,2% das UPAs abrigam trabalhadores dos dois</w:t>
      </w:r>
      <w:r>
        <w:t xml:space="preserve"> </w:t>
      </w:r>
      <w:r>
        <w:t xml:space="preserve">grupos e todas as células UF </w:t>
      </w:r>
      <m:oMath>
        <m:r>
          <m:rPr>
            <m:sty m:val="p"/>
          </m:rPr>
          <m:t>×</m:t>
        </m:r>
      </m:oMath>
      <w:r>
        <w:t xml:space="preserve"> escolaridade contêm brancos e negros, de modo que a</w:t>
      </w:r>
      <w:r>
        <w:t xml:space="preserve"> </w:t>
      </w:r>
      <w:r>
        <w:t xml:space="preserve">comparação não depende de extrapolação</w:t>
      </w:r>
      <w:r>
        <w:t xml:space="preserve"> </w:t>
      </w:r>
      <w:r>
        <w:t xml:space="preserve">(Angrist; Pischke, 2009)</w:t>
      </w:r>
      <w:r>
        <w:t xml:space="preserve">.</w:t>
      </w:r>
    </w:p>
    <w:bookmarkStart w:id="22" w:name="tab:balanceamento"/>
    <w:p>
      <w:pPr>
        <w:pStyle w:val="TableCaption"/>
      </w:pPr>
      <w:r>
        <w:t xml:space="preserve">Balanceamento entre trabalhadores brancos e negros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qualquer</w:t>
      </w:r>
      <w:r>
        <w:t xml:space="preserve"> </w:t>
      </w:r>
      <w:r>
        <w:t xml:space="preserve">controle — a tabela que mostra de que é feita a comparação (Angrist &amp; Pischke, cap. 3).</w:t>
      </w:r>
      <w:r>
        <w:t xml:space="preserve"> </w:t>
      </w:r>
      <w:r>
        <w:t xml:space="preserve">Diferença padronizada: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Sup>
              <m:e>
                <m:r>
                  <m:t>s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s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; valores acima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em módulo indicam desequilíbrio relevante. População completa da PEA com renda</w:t>
      </w:r>
      <w:r>
        <w:t xml:space="preserve"> </w:t>
      </w:r>
      <w:r>
        <w:t xml:space="preserve">positiva (</w:t>
      </w:r>
      <m:oMath>
        <m:r>
          <m:t>N</m:t>
        </m:r>
        <m:r>
          <m:rPr>
            <m:sty m:val="p"/>
          </m:rPr>
          <m:t>=</m:t>
        </m:r>
        <m:r>
          <m:t>7.699</m:t>
        </m:r>
        <m:r>
          <m:t>.278</m:t>
        </m:r>
      </m:oMath>
      <w:r>
        <w:t xml:space="preserve">; 3.271.443 brancos e 4.427.835 negros).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alanceamento entre trabalhadores brancos e negros antes de qualquer controle — a tabela que mostra de que é feita a comparação (Angrist &amp; Pischke, cap. 3). Diferença padronizada: d = (\bar x_b - \bar x_n)/\sqrt{(s_b^2+s_n^2)/2}; valores acima de 0{,}10 em módulo indicam desequilíbrio relevante. População completa da PEA com renda positiva (N = 7.699.278; 3.271.443 brancos e 4.427.835 negro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Brancos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do rendimento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 (centrada)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 feminino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completo ou 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completo ou 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Superior completo ou mais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Pós-graduação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log(horas trabalhadas)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 em área urbana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Emprego formal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própria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Trabalho doméstico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dirigente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profissional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técnico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negro na UPA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Desemprego na UPA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 média na UPA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</w:tr>
    </w:tbl>
    <w:bookmarkEnd w:id="22"/>
    <w:p>
      <w:pPr>
        <w:pStyle w:val="BodyText"/>
      </w:pPr>
      <w:r>
        <w:rPr>
          <w:i/>
          <w:iCs/>
        </w:rPr>
        <w:t xml:space="preserve">Suporte comum:</w:t>
      </w:r>
      <w:r>
        <w:t xml:space="preserve"> </w:t>
      </w:r>
      <w:r>
        <w:t xml:space="preserve">97,2% das UPAs têm</w:t>
      </w:r>
      <w:r>
        <w:t xml:space="preserve"> </w:t>
      </w:r>
      <w:r>
        <w:t xml:space="preserve">trabalhadores dos dois grupos, e 100,0% das células</w:t>
      </w:r>
      <w:r>
        <w:t xml:space="preserve"> </w:t>
      </w:r>
      <w:r>
        <w:t xml:space="preserve">UF </w:t>
      </w:r>
      <m:oMath>
        <m:r>
          <m:rPr>
            <m:sty m:val="p"/>
          </m:rPr>
          <m:t>×</m:t>
        </m:r>
      </m:oMath>
      <w:r>
        <w:t xml:space="preserve"> escolaridade também (100,0% das observações</w:t>
      </w:r>
      <w:r>
        <w:t xml:space="preserve"> </w:t>
      </w:r>
      <w:r>
        <w:t xml:space="preserve">estão em células com os dois grupos) — a comparação não depende de extrapolar para</w:t>
      </w:r>
      <w:r>
        <w:t xml:space="preserve"> </w:t>
      </w:r>
      <w:r>
        <w:t xml:space="preserve">regiões da amostra onde só existe um dos grupos.</w:t>
      </w:r>
    </w:p>
    <w:bookmarkEnd w:id="23"/>
    <w:bookmarkStart w:id="24" w:name="subsec:hlm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Modelo Linear Hierárquico: indivíduos em bairros (UPA), com efeitos fixos de UF</w:t>
      </w:r>
    </w:p>
    <w:p>
      <w:pPr>
        <w:pStyle w:val="FirstParagraph"/>
      </w:pPr>
      <w:r>
        <w:t xml:space="preserve">A PNAD Contínua é amostrada por conglomerados: pessoas dentro de unidades primárias de</w:t>
      </w:r>
      <w:r>
        <w:t xml:space="preserve"> </w:t>
      </w:r>
      <w:r>
        <w:t xml:space="preserve">amostragem (UPA, o proxy de bairro), dentro de estados. A hipótese substantiva do</w:t>
      </w:r>
      <w:r>
        <w:t xml:space="preserve"> </w:t>
      </w:r>
      <w:r>
        <w:t xml:space="preserve">trabalho (H1) é que o</w:t>
      </w:r>
      <w:r>
        <w:t xml:space="preserve"> </w:t>
      </w:r>
      <w:r>
        <w:rPr>
          <w:i/>
          <w:iCs/>
        </w:rPr>
        <w:t xml:space="preserve">bairro</w:t>
      </w:r>
      <w:r>
        <w:t xml:space="preserve"> </w:t>
      </w:r>
      <w:r>
        <w:t xml:space="preserve">media parte do gap racial; o modelo, portanto, coloca</w:t>
      </w:r>
      <w:r>
        <w:t xml:space="preserve"> </w:t>
      </w:r>
      <w:r>
        <w:t xml:space="preserve">a UPA no nível 2 e trata a UF como conjunto de efeitos fixos — 27 unidades são poucas para</w:t>
      </w:r>
      <w:r>
        <w:t xml:space="preserve"> </w:t>
      </w:r>
      <w:r>
        <w:t xml:space="preserve">um terceiro nível aleatório</w:t>
      </w:r>
      <w:r>
        <w:t xml:space="preserve"> </w:t>
      </w:r>
      <w:r>
        <w:t xml:space="preserve">(Angrist; Pischke, 2009)</w:t>
      </w:r>
      <w:r>
        <w:t xml:space="preserve">, e os 26</w:t>
      </w:r>
      <w:r>
        <w:t xml:space="preserve"> </w:t>
      </w:r>
      <w:r>
        <w:rPr>
          <w:i/>
          <w:iCs/>
        </w:rPr>
        <w:t xml:space="preserve">dummies</w:t>
      </w:r>
      <w:r>
        <w:t xml:space="preserve"> </w:t>
      </w:r>
      <w:r>
        <w:t xml:space="preserve">absorvem todo o</w:t>
      </w:r>
      <w:r>
        <w:t xml:space="preserve"> </w:t>
      </w:r>
      <w:r>
        <w:t xml:space="preserve">contexto estadual sem hipóteses distribucionais. O modelo de dois níveis é dado pelas eq. (1) e (2):</w:t>
      </w:r>
    </w:p>
    <w:p>
      <w:pPr>
        <w:pStyle w:val="BodyText"/>
      </w:pPr>
      <w:r>
        <w:rPr>
          <w:b/>
          <w:bCs/>
        </w:rPr>
        <w:t xml:space="preserve">Nível 1 — indivíduo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 UPA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, eq. (1):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W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Negro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rPr>
                  <m:nor/>
                  <m:sty m:val="p"/>
                </m:rPr>
                <m:t>Sexo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β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rPr>
                  <m:sty m:val="bi"/>
                </m:rP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β</m:t>
              </m:r>
            </m:e>
            <m:sub>
              <m:r>
                <m:t>5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rPr>
                  <m:sty m:val="bi"/>
                </m:rP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reúne as variáveis indicadoras cumulativas de escolaridade,</w:t>
      </w:r>
      <w:r>
        <w:t xml:space="preserve"> </w:t>
      </w:r>
      <m:oMath>
        <m:r>
          <m:rPr>
            <m:sty m:val="bi"/>
          </m:rPr>
          <m:t>Z</m:t>
        </m:r>
      </m:oMath>
      <w:r>
        <w:t xml:space="preserve"> </w:t>
      </w:r>
      <w:r>
        <w:t xml:space="preserve">reúne horas, situação urbana e ano (e, no M4, vínculo e grupo CBO), e o termo de erro é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Nível 2 — bairro</w:t>
      </w:r>
      <w:r>
        <w:rPr>
          <w:b/>
          <w:bCs/>
        </w:rPr>
        <w:t xml:space="preserve"> 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(UPA), eq. (2):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0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01</m:t>
              </m:r>
            </m:sub>
          </m:sSub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%</m:t>
                  </m:r>
                  <m:r>
                    <m:rPr>
                      <m:nor/>
                      <m:sty m:val="p"/>
                    </m:rPr>
                    <m:t>Negro</m:t>
                  </m:r>
                </m:e>
              </m:ba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02</m:t>
              </m:r>
            </m:sub>
          </m:sSub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Desemprego</m:t>
                  </m:r>
                </m:e>
              </m:ba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03</m:t>
              </m:r>
            </m:sub>
          </m:sSub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Educ</m:t>
                  </m:r>
                </m:e>
              </m:ba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27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nor/>
                  <m:sty m:val="p"/>
                </m:rPr>
                <m:t>UF</m:t>
              </m:r>
            </m:e>
            <m:sub>
              <m:r>
                <m:t>k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0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τ</m:t>
            </m:r>
          </m:e>
          <m:sub>
            <m:r>
              <m:rPr>
                <m:nor/>
                <m:sty m:val="p"/>
              </m:rPr>
              <m:t>UPA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 coeficiente</w:t>
      </w:r>
      <w:r>
        <w:t xml:space="preserve"> </w:t>
      </w:r>
      <m:oMath>
        <m:sSub>
          <m:e>
            <m:r>
              <m:t>γ</m:t>
            </m:r>
          </m:e>
          <m:sub>
            <m:r>
              <m:t>01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é a evidência de</w:t>
      </w:r>
      <w:r>
        <w:t xml:space="preserve"> </w:t>
      </w:r>
      <w:r>
        <w:rPr>
          <w:i/>
          <w:iCs/>
        </w:rPr>
        <w:t xml:space="preserve">duplo disadvantage</w:t>
      </w:r>
      <w:r>
        <w:t xml:space="preserve">: morar em</w:t>
      </w:r>
      <w:r>
        <w:t xml:space="preserve"> </w:t>
      </w:r>
      <w:r>
        <w:t xml:space="preserve">bairros com maior concentração de negros reduz o rendimento</w:t>
      </w:r>
      <w:r>
        <w:t xml:space="preserve"> </w:t>
      </w:r>
      <w:r>
        <w:rPr>
          <w:i/>
          <w:iCs/>
        </w:rPr>
        <w:t xml:space="preserve">independentemente</w:t>
      </w:r>
      <w:r>
        <w:t xml:space="preserve"> </w:t>
      </w:r>
      <w:r>
        <w:t xml:space="preserve">da raça individual. A correlação intraclasse, calculada por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UPA</m:t>
            </m:r>
          </m:sub>
        </m:sSub>
        <m:r>
          <m:rPr>
            <m:sty m:val="p"/>
          </m:rPr>
          <m:t>=</m:t>
        </m:r>
        <m:sSubSup>
          <m:e>
            <m:r>
              <m:t>τ</m:t>
            </m:r>
          </m:e>
          <m:sub>
            <m:r>
              <m:rPr>
                <m:nor/>
                <m:sty m:val="p"/>
              </m:rPr>
              <m:t>UPA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τ</m:t>
            </m:r>
          </m:e>
          <m:sub>
            <m:r>
              <m:rPr>
                <m:nor/>
                <m:sty m:val="p"/>
              </m:rPr>
              <m:t>UPA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mede a fração da variância do log-rendimento que está</w:t>
      </w:r>
      <w:r>
        <w:t xml:space="preserve"> </w:t>
      </w:r>
      <w:r>
        <w:rPr>
          <w:i/>
          <w:iCs/>
        </w:rPr>
        <w:t xml:space="preserve">entre</w:t>
      </w:r>
      <w:r>
        <w:t xml:space="preserve"> </w:t>
      </w:r>
      <w:r>
        <w:t xml:space="preserve">bairros; valores</w:t>
      </w:r>
      <w:r>
        <w:t xml:space="preserve"> </w:t>
      </w:r>
      <w:r>
        <w:t xml:space="preserve">acima de 5% justificam o modelo multinível</w:t>
      </w:r>
      <w:r>
        <w:t xml:space="preserve"> </w:t>
      </w:r>
      <w:r>
        <w:t xml:space="preserve">(Raudenbush; Bryk, 2002)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Estratégia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step-up</w:t>
      </w:r>
      <w:r>
        <w:rPr>
          <w:b/>
          <w:bCs/>
        </w:rPr>
        <w:t xml:space="preserve">.</w:t>
      </w:r>
      <w:r>
        <w:t xml:space="preserve"> </w:t>
      </w:r>
      <w:r>
        <w:t xml:space="preserve">Seguindo</w:t>
      </w:r>
      <w:r>
        <w:t xml:space="preserve"> </w:t>
      </w:r>
      <w:r>
        <w:t xml:space="preserve">Raudenbush; Bryk (2002)</w:t>
      </w:r>
      <w:r>
        <w:t xml:space="preserve">, os modelos</w:t>
      </w:r>
      <w:r>
        <w:t xml:space="preserve"> </w:t>
      </w:r>
      <w:r>
        <w:t xml:space="preserve">são estimados em degraus aninhados: M0 (nulo: só o intercepto aleatório, que dá o ICC);</w:t>
      </w:r>
      <w:r>
        <w:t xml:space="preserve"> </w:t>
      </w:r>
      <w:r>
        <w:t xml:space="preserve">M1 (+ capital humano e demografia); M2 (+ contexto do bairro, nível 2); M3 (+ efeitos</w:t>
      </w:r>
      <w:r>
        <w:t xml:space="preserve"> </w:t>
      </w:r>
      <w:r>
        <w:t xml:space="preserve">fixos de UF) — o modelo principal, que produz o</w:t>
      </w:r>
      <w:r>
        <w:t xml:space="preserve"> </w:t>
      </w:r>
      <w:r>
        <w:rPr>
          <w:b/>
          <w:bCs/>
        </w:rPr>
        <w:t xml:space="preserve">gap líquido</w:t>
      </w:r>
      <w:r>
        <w:t xml:space="preserve">; e M4 (+ vínculo</w:t>
      </w:r>
      <w:r>
        <w:t xml:space="preserve"> </w:t>
      </w:r>
      <w:r>
        <w:t xml:space="preserve">e grupo ocupacional), reportado como</w:t>
      </w:r>
      <w:r>
        <w:t xml:space="preserve"> </w:t>
      </w:r>
      <w:r>
        <w:rPr>
          <w:i/>
          <w:iCs/>
        </w:rPr>
        <w:t xml:space="preserve">limite inferior</w:t>
      </w:r>
      <w:r>
        <w:t xml:space="preserve"> </w:t>
      </w:r>
      <w:r>
        <w:t xml:space="preserve">porque ocupação e formalidade</w:t>
      </w:r>
      <w:r>
        <w:t xml:space="preserve"> </w:t>
      </w:r>
      <w:r>
        <w:t xml:space="preserve">são desfechos da própria discriminação (</w:t>
      </w:r>
      <w:r>
        <w:rPr>
          <w:i/>
          <w:iCs/>
        </w:rPr>
        <w:t xml:space="preserve">bad controls</w:t>
      </w:r>
      <w:r>
        <w:t xml:space="preserve">)</w:t>
      </w:r>
      <w:r>
        <w:t xml:space="preserve"> </w:t>
      </w:r>
      <w:r>
        <w:t xml:space="preserve">(Angrist; Pischke, 2009)</w:t>
      </w:r>
      <w:r>
        <w:t xml:space="preserve">.</w:t>
      </w:r>
      <w:r>
        <w:t xml:space="preserve"> </w:t>
      </w:r>
      <w:r>
        <w:t xml:space="preserve">Cada degrau é comparado ao anterior por teste de razão de verossimilhança (LR), e a</w:t>
      </w:r>
      <w:r>
        <w:t xml:space="preserve"> </w:t>
      </w:r>
      <w:r>
        <w:t xml:space="preserve">redução de</w:t>
      </w:r>
      <w:r>
        <w:t xml:space="preserve"> </w:t>
      </w:r>
      <m:oMath>
        <m:sSubSup>
          <m:e>
            <m:r>
              <m:t>τ</m:t>
            </m:r>
          </m:e>
          <m:sub>
            <m:r>
              <m:rPr>
                <m:nor/>
                <m:sty m:val="p"/>
              </m:rPr>
              <m:t>UPA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em relação ao M0 mede a variância entre bairros explicada</w:t>
      </w:r>
      <w:r>
        <w:t xml:space="preserve"> </w:t>
      </w:r>
      <w:r>
        <w:t xml:space="preserve">pelos controles. Testa-se ainda uma</w:t>
      </w:r>
      <w:r>
        <w:t xml:space="preserve"> </w:t>
      </w:r>
      <w:r>
        <w:rPr>
          <w:i/>
          <w:iCs/>
        </w:rPr>
        <w:t xml:space="preserve">inclinação aleatória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negro</w:t>
      </w:r>
      <w:r>
        <w:t xml:space="preserve"> </w:t>
      </w:r>
      <w:r>
        <w:t xml:space="preserve">por UPA</w:t>
      </w:r>
      <w:r>
        <w:t xml:space="preserve"> </w:t>
      </w:r>
      <w:r>
        <w:t xml:space="preserve">(M3 +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  <m:r>
              <m:t>j</m:t>
            </m:r>
          </m:sub>
        </m:sSub>
        <m:sSub>
          <m:e>
            <m:r>
              <m:rPr>
                <m:nor/>
                <m:sty m:val="p"/>
              </m:rPr>
              <m:t>Negro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com covariância não estruturada) — a penalidade racial</w:t>
      </w:r>
      <w:r>
        <w:t xml:space="preserve"> </w:t>
      </w:r>
      <w:r>
        <w:t xml:space="preserve">varia entre bairros? — por LR com dois graus de liberdade. Todos os modelos são</w:t>
      </w:r>
      <w:r>
        <w:t xml:space="preserve"> </w:t>
      </w:r>
      <w:r>
        <w:t xml:space="preserve">estimados por máxima verossimilhança (ML), necessária para comparar efeitos fixos entre</w:t>
      </w:r>
      <w:r>
        <w:t xml:space="preserve"> </w:t>
      </w:r>
      <w:r>
        <w:t xml:space="preserve">degraus;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7</m:t>
        </m:r>
      </m:oMath>
      <w:r>
        <w:t xml:space="preserve"> milhões, REML e ML produzem os mesmos componentes de variância</w:t>
      </w:r>
      <w:r>
        <w:t xml:space="preserve"> </w:t>
      </w:r>
      <w:r>
        <w:t xml:space="preserve">(no M0,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UPA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30182</m:t>
        </m:r>
      </m:oMath>
      <w:r>
        <w:t xml:space="preserve"> </w:t>
      </w:r>
      <w:r>
        <w:t xml:space="preserve">por ML e 0,30182 por REML;</w:t>
      </w:r>
      <w:r>
        <w:t xml:space="preserve"> </w:t>
      </w:r>
      <w:r>
        <w:t xml:space="preserve">ICC idêntico até a quarta casa).</w:t>
      </w:r>
    </w:p>
    <w:bookmarkEnd w:id="24"/>
    <w:bookmarkStart w:id="25" w:name="subsec:oaxaca_metodo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Decomposição de Oaxaca–Blinder</w:t>
      </w:r>
    </w:p>
    <w:p>
      <w:pPr>
        <w:pStyle w:val="FirstParagraph"/>
      </w:pPr>
      <w:r>
        <w:t xml:space="preserve">Estimam-se equações de rendimento separadas para brancos e negros e</w:t>
      </w:r>
      <w:r>
        <w:t xml:space="preserve"> </w:t>
      </w:r>
      <w:r>
        <w:t xml:space="preserve">decompõe-se a diferença de médias na forma</w:t>
      </w:r>
      <w:r>
        <w:t xml:space="preserve"> </w:t>
      </w:r>
      <w:r>
        <w:rPr>
          <w:i/>
          <w:iCs/>
        </w:rPr>
        <w:t xml:space="preserve">twofold</w:t>
      </w:r>
      <w:r>
        <w:t xml:space="preserve"> </w:t>
      </w:r>
      <w:r>
        <w:t xml:space="preserve">de</w:t>
      </w:r>
      <w:r>
        <w:t xml:space="preserve"> </w:t>
      </w:r>
      <w:r>
        <w:t xml:space="preserve">Blinder (1973)</w:t>
      </w:r>
      <w:r>
        <w:t xml:space="preserve"> </w:t>
      </w:r>
      <w:r>
        <w:t xml:space="preserve">e</w:t>
      </w:r>
      <w:r>
        <w:t xml:space="preserve"> </w:t>
      </w:r>
      <w:r>
        <w:t xml:space="preserve">Oaxaca (1973)</w:t>
      </w:r>
      <w:r>
        <w:t xml:space="preserve">, tomando a estrutura de preços dos brancos como</w:t>
      </w:r>
      <w:r>
        <w:t xml:space="preserve"> </w:t>
      </w:r>
      <w:r>
        <w:t xml:space="preserve">referência não discriminatória, conforme a eq. (3):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acc>
                <m:accPr>
                  <m:chr m:val="‾"/>
                </m:accPr>
                <m:e>
                  <m:r>
                    <m:t>W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em que o primeiro termo é a parcela de</w:t>
      </w:r>
      <w:r>
        <w:t xml:space="preserve"> </w:t>
      </w:r>
      <w:r>
        <w:t xml:space="preserve">dotações e o segundo, a de retornos. Duas especificações são reportadas:</w:t>
      </w:r>
      <w:r>
        <w:t xml:space="preserve"> </w:t>
      </w:r>
      <w:r>
        <w:t xml:space="preserve">(A) capital humano, jornada, área urbana, contexto de bairro e efeitos fixos de UF —</w:t>
      </w:r>
      <w:r>
        <w:t xml:space="preserve"> </w:t>
      </w:r>
      <w:r>
        <w:t xml:space="preserve">os controles do HLM M3 —, comparável à literatura; e (B) acrescentando formalidade e</w:t>
      </w:r>
      <w:r>
        <w:t xml:space="preserve"> </w:t>
      </w:r>
      <w:r>
        <w:t xml:space="preserve">grupo ocupacional como dotações (os controles do M4). Como</w:t>
      </w:r>
      <w:r>
        <w:t xml:space="preserve"> </w:t>
      </w:r>
      <w:r>
        <w:t xml:space="preserve">adverte</w:t>
      </w:r>
      <w:r>
        <w:t xml:space="preserve"> </w:t>
      </w:r>
      <w:r>
        <w:t xml:space="preserve">Oaxaca; Ransom (1999)</w:t>
      </w:r>
      <w:r>
        <w:t xml:space="preserve">, a especificação (B) subestima a</w:t>
      </w:r>
      <w:r>
        <w:t xml:space="preserve"> </w:t>
      </w:r>
      <w:r>
        <w:t xml:space="preserve">discriminação total, porque a segregação ocupacional é ela própria seu</w:t>
      </w:r>
      <w:r>
        <w:t xml:space="preserve"> </w:t>
      </w:r>
      <w:r>
        <w:t xml:space="preserve">produto — por isso ela é lida como limite inferior, e não como a estimativa</w:t>
      </w:r>
      <w:r>
        <w:t xml:space="preserve"> </w:t>
      </w:r>
      <w:r>
        <w:t xml:space="preserve">preferida. Os erros-padrão vêm de bootstrap em blocos de UPA, e não da fórmula</w:t>
      </w:r>
      <w:r>
        <w:t xml:space="preserve"> </w:t>
      </w:r>
      <w:r>
        <w:t xml:space="preserve">analítica, que pressupõe independência entre observações</w:t>
      </w:r>
      <w:r>
        <w:t xml:space="preserve"> </w:t>
      </w:r>
      <w:r>
        <w:t xml:space="preserve">(Cameron; Gelbach; Miller, 2008)</w:t>
      </w:r>
      <w:r>
        <w:t xml:space="preserve">.</w:t>
      </w:r>
    </w:p>
    <w:bookmarkEnd w:id="25"/>
    <w:bookmarkStart w:id="26" w:name="regressão-quantílica-e-decomposição-ri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Regressão quantílica e decomposição RIF</w:t>
      </w:r>
    </w:p>
    <w:p>
      <w:pPr>
        <w:pStyle w:val="FirstParagraph"/>
      </w:pPr>
      <w:r>
        <w:t xml:space="preserve">A regressão quantílica</w:t>
      </w:r>
      <w:r>
        <w:t xml:space="preserve"> </w:t>
      </w:r>
      <w:r>
        <w:t xml:space="preserve">(Koenker; Bassett, 1978)</w:t>
      </w:r>
      <w:r>
        <w:t xml:space="preserve"> </w:t>
      </w:r>
      <w:r>
        <w:t xml:space="preserve">estima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em seis</w:t>
      </w:r>
      <w:r>
        <w:t xml:space="preserve"> </w:t>
      </w:r>
      <w:r>
        <w:t xml:space="preserve">pontos da distribuição condicional (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}</m:t>
        </m:r>
      </m:oMath>
      <w:r>
        <w:t xml:space="preserve">), permitindo testar se a penalidade racial é constante ao</w:t>
      </w:r>
      <w:r>
        <w:t xml:space="preserve"> </w:t>
      </w:r>
      <w:r>
        <w:t xml:space="preserve">longo da distribuição. O teste de igualdade compara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— os mesmos extremos da decomposição RIF —; 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é apenas descritivo. Ele usa</w:t>
      </w:r>
      <w:r>
        <w:t xml:space="preserve"> </w:t>
      </w:r>
      <w:r>
        <w:t xml:space="preserve">bootstrap</w:t>
      </w:r>
      <w:r>
        <w:t xml:space="preserve"> </w:t>
      </w:r>
      <w:r>
        <w:rPr>
          <w:i/>
          <w:iCs/>
        </w:rPr>
        <w:t xml:space="preserve">m-out-of-n</w:t>
      </w:r>
      <w:r>
        <w:t xml:space="preserve"> </w:t>
      </w:r>
      <w:r>
        <w:t xml:space="preserve">em blocos de UPA, com reescala</w:t>
      </w:r>
      <w:r>
        <w:t xml:space="preserve"> </w:t>
      </w:r>
      <m:oMath>
        <m:rad>
          <m:radPr>
            <m:degHide m:val="on"/>
          </m:radPr>
          <m:deg/>
          <m:e>
            <m:r>
              <m:t>m</m:t>
            </m:r>
            <m:r>
              <m:rPr>
                <m:sty m:val="p"/>
              </m:rPr>
              <m:t>/</m:t>
            </m:r>
            <m:r>
              <m:t>G</m:t>
            </m:r>
          </m:e>
        </m:rad>
      </m:oMath>
      <w:r>
        <w:t xml:space="preserve"> </w:t>
      </w:r>
      <w:r>
        <w:t xml:space="preserve">(Bickel; Sakov, 2008)</w:t>
      </w:r>
      <w:r>
        <w:t xml:space="preserve"> </w:t>
      </w:r>
      <w:r>
        <w:t xml:space="preserve">— necessária porque reamostrar todas as 41.459 UPAs a cada</w:t>
      </w:r>
      <w:r>
        <w:t xml:space="preserve"> </w:t>
      </w:r>
      <w:r>
        <w:t xml:space="preserve">réplica seria proibitivo com 7</w:t>
      </w:r>
      <w:r>
        <w:t xml:space="preserve">,</w:t>
      </w:r>
      <w:r>
        <w:t xml:space="preserve">7 milhões de observações.</w:t>
      </w:r>
      <w:r>
        <w:t xml:space="preserve"> </w:t>
      </w:r>
      <w:r>
        <w:t xml:space="preserve">Complementarmente, a decomposição RIF</w:t>
      </w:r>
      <w:r>
        <w:t xml:space="preserve"> </w:t>
      </w:r>
      <w:r>
        <w:t xml:space="preserve">(Firpo; Fortin; Lemieux, 2018)</w:t>
      </w:r>
      <w:r>
        <w:t xml:space="preserve"> </w:t>
      </w:r>
      <w:r>
        <w:t xml:space="preserve">é aplicada aos quantis</w:t>
      </w:r>
      <w:r>
        <w:t xml:space="preserve"> </w:t>
      </w:r>
      <w:r>
        <w:t xml:space="preserve">incondicionais da distribuição de renda, separando dotações e retornos em cada</w:t>
      </w:r>
      <w:r>
        <w:t xml:space="preserve"> </w:t>
      </w:r>
      <w:r>
        <w:t xml:space="preserve">ponto.</w:t>
      </w:r>
    </w:p>
    <w:bookmarkEnd w:id="26"/>
    <w:bookmarkStart w:id="27" w:name="modelo-logístico-multinível-de-acesso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Modelo logístico multinível de acesso</w:t>
      </w:r>
    </w:p>
    <w:p>
      <w:pPr>
        <w:pStyle w:val="FirstParagraph"/>
      </w:pPr>
      <w:r>
        <w:t xml:space="preserve">A barreira de entrada é modelada por um GLMM logístico com intercepto</w:t>
      </w:r>
      <w:r>
        <w:t xml:space="preserve"> </w:t>
      </w:r>
      <w:r>
        <w:t xml:space="preserve">aleatório de UPA, estimado por</w:t>
      </w:r>
      <w:r>
        <w:t xml:space="preserve"> </w:t>
      </w:r>
      <w:r>
        <w:rPr>
          <w:rStyle w:val="VerbatimChar"/>
        </w:rPr>
        <w:t xml:space="preserve">lme4::glmer</w:t>
      </w:r>
      <w:r>
        <w:t xml:space="preserve"> </w:t>
      </w:r>
      <w:r>
        <w:t xml:space="preserve">em R, para três desfechos</w:t>
      </w:r>
      <w:r>
        <w:t xml:space="preserve"> </w:t>
      </w:r>
      <w:r>
        <w:t xml:space="preserve">binários: ocupar cargo qualificado (grupos CBO 1–4), estar no quintil superior</w:t>
      </w:r>
      <w:r>
        <w:t xml:space="preserve"> </w:t>
      </w:r>
      <w:r>
        <w:t xml:space="preserve">e estar no decil superior da renda. A estrutura multinível é a mesma do HLM</w:t>
      </w:r>
      <w:r>
        <w:t xml:space="preserve"> </w:t>
      </w:r>
      <w:r>
        <w:t xml:space="preserve">(Raudenbush; Bryk, 2002)</w:t>
      </w:r>
      <w:r>
        <w:t xml:space="preserve">, agora com função de ligação logit; o ICC do nível de</w:t>
      </w:r>
      <w:r>
        <w:t xml:space="preserve"> </w:t>
      </w:r>
      <w:r>
        <w:t xml:space="preserve">bairro é calculado por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, a formulação de variância</w:t>
      </w:r>
      <w:r>
        <w:t xml:space="preserve"> </w:t>
      </w:r>
      <w:r>
        <w:t xml:space="preserve">latente apropriada ao modelo logístico. Além da razão de chances, reporta-se o</w:t>
      </w:r>
      <w:r>
        <w:t xml:space="preserve"> </w:t>
      </w:r>
      <w:r>
        <w:t xml:space="preserve">efeito marginal médio em pontos percentuais, porque a razão de chances não é</w:t>
      </w:r>
      <w:r>
        <w:t xml:space="preserve"> </w:t>
      </w:r>
      <w:r>
        <w:t xml:space="preserve">interpretável como diferença de probabilidade.</w:t>
      </w:r>
    </w:p>
    <w:bookmarkEnd w:id="27"/>
    <w:bookmarkStart w:id="28" w:name="sensibilidade-a-variáveis-omitida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Sensibilidade a variáveis omitidas</w:t>
      </w:r>
    </w:p>
    <w:p>
      <w:pPr>
        <w:pStyle w:val="FirstParagraph"/>
      </w:pPr>
      <w:r>
        <w:t xml:space="preserve">A hipótese de seleção em observáveis não é testável, mas é possível quantificar</w:t>
      </w:r>
      <w:r>
        <w:t xml:space="preserve"> </w:t>
      </w:r>
      <w:r>
        <w:t xml:space="preserve">quanto de confundimento não observado seria necessário para anular os</w:t>
      </w:r>
      <w:r>
        <w:t xml:space="preserve"> </w:t>
      </w:r>
      <w:r>
        <w:t xml:space="preserve">resultados. Reportam-se duas medidas: o</w:t>
      </w:r>
      <w:r>
        <w:t xml:space="preserve"> </w:t>
      </w:r>
      <w:r>
        <w:rPr>
          <w:i/>
          <w:iCs/>
        </w:rPr>
        <w:t xml:space="preserve">E-value</w:t>
      </w:r>
      <w:r>
        <w:t xml:space="preserve"> </w:t>
      </w:r>
      <w:r>
        <w:t xml:space="preserve">(VanderWeele; Ding, 2017)</w:t>
      </w:r>
      <w:r>
        <w:t xml:space="preserve">, que é a associação mínima — em razão de chances —</w:t>
      </w:r>
      <w:r>
        <w:t xml:space="preserve"> </w:t>
      </w:r>
      <w:r>
        <w:t xml:space="preserve">que um confundidor precisaria ter simultaneamente com a raça e com o desfecho</w:t>
      </w:r>
      <w:r>
        <w:t xml:space="preserve"> </w:t>
      </w:r>
      <w:r>
        <w:t xml:space="preserve">para explicar o efeito observado; e o índice de</w:t>
      </w:r>
      <w:r>
        <w:t xml:space="preserve"> </w:t>
      </w:r>
      <w:r>
        <w:t xml:space="preserve">Frank et al. (2013)</w:t>
      </w:r>
      <w:r>
        <w:t xml:space="preserve">, que</w:t>
      </w:r>
      <w:r>
        <w:t xml:space="preserve"> </w:t>
      </w:r>
      <w:r>
        <w:t xml:space="preserve">expressa a fração da estimativa que precisaria ser viés para invalidar a</w:t>
      </w:r>
      <w:r>
        <w:t xml:space="preserve"> </w:t>
      </w:r>
      <w:r>
        <w:t xml:space="preserve">inferência.</w:t>
      </w:r>
    </w:p>
    <w:bookmarkEnd w:id="28"/>
    <w:bookmarkStart w:id="30" w:name="subsec:inferencia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Inferência: erros-padrão agrupados, poucos clusters e pesos</w:t>
      </w:r>
    </w:p>
    <w:p>
      <w:pPr>
        <w:pStyle w:val="FirstParagraph"/>
      </w:pPr>
      <w:r>
        <w:t xml:space="preserve">A PNAD Contínua é uma amostra por conglomerados: pessoas da mesma unidade primária de amostragem (UPA, proxy de bairro) compartilham choques não observados, e os regressores de contexto variam apenas no nível da UPA. Tratar as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7</m:t>
        </m:r>
      </m:oMath>
      <w:r>
        <w:t xml:space="preserve"> milhões de observações como independentes subestima os erros-padrão pelo fator de Moulton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acc>
              <m:accPr>
                <m:chr m:val="‾"/>
              </m:accPr>
              <m:e>
                <m:r>
                  <m:t>n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ρ</m:t>
            </m:r>
          </m:e>
        </m:rad>
      </m:oMath>
      <w:r>
        <w:t xml:space="preserve"> </w:t>
      </w:r>
      <w:r>
        <w:t xml:space="preserve">(Angrist; Pischke, 2009)</w:t>
      </w:r>
      <w:r>
        <w:t xml:space="preserve">. Por isso, todos os modelos de regressão (OLS com efeitos fixos de UF, decomposição de Oaxaca–Blinder, regressão quantílica e logit) reportam erros-padrão</w:t>
      </w:r>
      <w:r>
        <w:t xml:space="preserve"> </w:t>
      </w:r>
      <w:r>
        <w:rPr>
          <w:i/>
          <w:iCs/>
        </w:rPr>
        <w:t xml:space="preserve">agrupados por UPA</w:t>
      </w:r>
      <w:r>
        <w:t xml:space="preserve"> </w:t>
      </w:r>
      <w:r>
        <w:t xml:space="preserve">(41.459 clusters) — para a OB e a regressão quantílica, por bootstrap em blocos de UPA. O agrupamento por UF é mais conservador, mas com 27 clusters (</w:t>
      </w:r>
      <m:oMath>
        <m:r>
          <m:rPr>
            <m:sty m:val="p"/>
          </m:rPr>
          <m:t>&lt;</m:t>
        </m:r>
        <m:r>
          <m:t>42</m:t>
        </m:r>
      </m:oMath>
      <w:r>
        <w:t xml:space="preserve">) a inferência assintótica é pouco confiável</w:t>
      </w:r>
      <w:r>
        <w:t xml:space="preserve"> </w:t>
      </w:r>
      <w:r>
        <w:t xml:space="preserve">(Angrist; Pischke, 2009)</w:t>
      </w:r>
      <w:r>
        <w:t xml:space="preserve">; quando reportado, usa a distribuição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com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graus de liberdade. No HLM, o intercepto aleatório de UPA modela explicitamente a correlação intra-bairro, de modo que o erro-padrão do modelo já a incorpora (sob a hipótese de efeitos aleatórios); como contraprova, os coeficientes do HLM são comparados aos do OLS com efeitos fixos de UF e erro-padrão agrupado por UPA, que coincidem em sinal, magnitude e significância. No OLS com efeitos fixos de UF (especificação do M3), o erro-padrão de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passa de 0,0005 (convencional) para 0,0009 (agrupado por UPA) e 0,0033 (agrupado por UF); para o regressor de contexto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rPr>
                    <m:sty m:val="p"/>
                  </m:rPr>
                  <m:t>%</m:t>
                </m:r>
                <m:r>
                  <m:rPr>
                    <m:nor/>
                    <m:sty m:val="p"/>
                  </m:rPr>
                  <m:t>Negro</m:t>
                </m:r>
              </m:e>
            </m:bar>
          </m:e>
          <m:sub>
            <m:r>
              <m:rPr>
                <m:nor/>
                <m:sty m:val="p"/>
              </m:rPr>
              <m:t>UPA</m:t>
            </m:r>
          </m:sub>
        </m:sSub>
      </m:oMath>
      <w:r>
        <w:t xml:space="preserve">, que varia apenas no nível da UPA, a razão é de 4,1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(UPA) e 20,1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(UF) — a assinatura do efeito Moulton. Como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nor/>
            <m:sty m:val="p"/>
          </m:rPr>
          <m:t>SE</m:t>
        </m:r>
      </m:oMath>
      <w:r>
        <w:t xml:space="preserve"> </w:t>
      </w:r>
      <w:r>
        <w:t xml:space="preserve">permanece acima de 19 mesmo no agrupamento mais conservador, nenhuma conclusão sobre o gap racial depende da escolha do erro-padrão; a correção importa para os coeficientes contextuais e para as variáveis de UF.</w:t>
      </w:r>
    </w:p>
    <w:p>
      <w:pPr>
        <w:pStyle w:val="BodyText"/>
      </w:pPr>
      <w:r>
        <w:rPr>
          <w:b/>
          <w:bCs/>
        </w:rPr>
        <w:t xml:space="preserve">Pesos amostrais.</w:t>
      </w:r>
      <w:r>
        <w:t xml:space="preserve"> </w:t>
      </w:r>
      <w:r>
        <w:t xml:space="preserve">Os modelos são estimados sem o peso amostral da PNAD (V1028), isto é, descrevem a regressão na amostra, não a regressão populacional</w:t>
      </w:r>
      <w:r>
        <w:t xml:space="preserve"> </w:t>
      </w:r>
      <w:r>
        <w:t xml:space="preserve">(Angrist; Pischke, 2009)</w:t>
      </w:r>
      <w:r>
        <w:t xml:space="preserve">. Como robustez, o M3 foi reestimado por mínimos quadrados ponderados com V1028 e erro-padrão agrupado por UPA: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passa de -0,0630 (MQO equivalente, sem pesos) para -0,0575 (gap de 6,1% para 5,6%), diferença sem relevância econômica; os demais resultados são não ponderados.</w:t>
      </w:r>
    </w:p>
    <w:p>
      <w:pPr>
        <w:pStyle w:val="BodyText"/>
      </w:pPr>
      <w:r>
        <w:rPr>
          <w:b/>
          <w:bCs/>
        </w:rPr>
        <w:t xml:space="preserve">O conjunto das verificações.</w:t>
      </w:r>
      <w:r>
        <w:t xml:space="preserve"> </w:t>
      </w:r>
      <w:r>
        <w:t xml:space="preserve">A Tabela </w:t>
      </w:r>
      <w:hyperlink w:anchor="tab:robustez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reúne os diagnósticos aplicados ao longo do trabalho, o resultado de cada um e a providência que ele motivou.</w:t>
      </w:r>
    </w:p>
    <w:bookmarkStart w:id="29" w:name="tab:robustez"/>
    <w:p>
      <w:pPr>
        <w:pStyle w:val="TableCaption"/>
      </w:pPr>
      <w:r>
        <w:t xml:space="preserve">Testes de robustez e diagnóstico. Cada linha traz o que foi</w:t>
      </w:r>
      <w:r>
        <w:t xml:space="preserve"> </w:t>
      </w:r>
      <w:r>
        <w:t xml:space="preserve">verificado, o resultado e a providência tomada. Valores extraídos dos</w:t>
      </w:r>
      <w:r>
        <w:t xml:space="preserve"> </w:t>
      </w:r>
      <w:r>
        <w:t xml:space="preserve">mesmos csv que alimentam as demais tabelas.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es de robustez e diagnóstico. Cada linha traz o que foi verificado, o resultado e a providência tomada. Valores extraídos dos mesmos csv que alimentam as demais tabela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Heterocedasticidade (Breusch–Pagan)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da regressão auxiliar: 0</w:t>
            </w:r>
            <w:r>
              <w:t xml:space="preserve">,</w:t>
            </w:r>
            <w:r>
              <w:t xml:space="preserve">066 e 0</w:t>
            </w:r>
            <w:r>
              <w:t xml:space="preserve">,</w:t>
            </w:r>
            <w:r>
              <w:t xml:space="preserve">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erro-padrão agrupado por UPA e bootstrap em blocos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funcional (RESET)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de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com potências do predito: 0</w:t>
            </w:r>
            <w:r>
              <w:t xml:space="preserve">,</w:t>
            </w:r>
            <w:r>
              <w:t xml:space="preserve">0020 a 0</w:t>
            </w:r>
            <w:r>
              <w:t xml:space="preserve">,</w:t>
            </w:r>
            <w:r>
              <w:t xml:space="preserve">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rejeição sem relevância prática; forma mantida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Multicolinearidade (VIF)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VIF de</w:t>
            </w:r>
            <w:r>
              <w:t xml:space="preserve"> </w:t>
            </w:r>
            <w:r>
              <w:rPr>
                <w:rStyle w:val="VerbatimChar"/>
              </w:rPr>
              <w:t xml:space="preserve">negro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1</w:t>
            </w:r>
            <w:r>
              <w:t xml:space="preserve">,</w:t>
            </w:r>
            <w:r>
              <w:t xml:space="preserve">36; nenhum preditor acima de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colinearidade relevante; o coeficiente de interesse não é afetado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 multinível (teste de razão de verossimilhança)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 da UPA no modelo nulo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0</w:t>
            </w:r>
            <w:r>
              <w:t xml:space="preserve">,</w:t>
            </w:r>
            <w:r>
              <w:t xml:space="preserve">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 de bairro justificado (limiar de 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Método de estimação (ML vs. REML)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τ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da UPA: 0</w:t>
            </w:r>
            <w:r>
              <w:t xml:space="preserve">,</w:t>
            </w:r>
            <w:r>
              <w:t xml:space="preserve">30182 (ML) e 0</w:t>
            </w:r>
            <w:r>
              <w:t xml:space="preserve">,</w:t>
            </w:r>
            <w:r>
              <w:t xml:space="preserve">30182 (REML)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coincidem com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 milhões; ML usado para os testes aninhados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Confundidor não observado (Konfound/ITCV)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  <w:r>
              <w:t xml:space="preserve">,</w:t>
            </w:r>
            <w:r>
              <w:t xml:space="preserve">4% das estimativas teriam de ser viés para anular o 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 robusto a confundimento plausível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Confundidor não observado (E-value)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E-value entre 1</w:t>
            </w:r>
            <w:r>
              <w:t xml:space="preserve">,</w:t>
            </w:r>
            <w:r>
              <w:t xml:space="preserve">46 e 2</w:t>
            </w:r>
            <w:r>
              <w:t xml:space="preserve">,</w:t>
            </w: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confundidor precisaria dessa força com raça e desfecho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Sobreajuste (treino vs. teste)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diferença de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 0</w:t>
            </w:r>
            <w:r>
              <w:t xml:space="preserve">,</w:t>
            </w:r>
            <w:r>
              <w:t xml:space="preserve">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partição 80/20 e validação cruzada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</w:t>
            </w:r>
            <w:r>
              <w:rPr>
                <w:i/>
                <w:iCs/>
              </w:rPr>
              <w:t xml:space="preserve">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Ganho do ML sobre o linear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de teste: MQO 0</w:t>
            </w:r>
            <w:r>
              <w:t xml:space="preserve">,</w:t>
            </w:r>
            <w:r>
              <w:t xml:space="preserve">587; RF 0</w:t>
            </w:r>
            <w:r>
              <w:t xml:space="preserve">,</w:t>
            </w:r>
            <w:r>
              <w:t xml:space="preserve">589; XGBoost 0</w:t>
            </w:r>
            <w:r>
              <w:t xml:space="preserve">,</w:t>
            </w:r>
            <w:r>
              <w:t xml:space="preserve">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treino e teste: o RF empata com o linear (+0</w:t>
            </w:r>
            <w:r>
              <w:t xml:space="preserve">,</w:t>
            </w:r>
            <w:r>
              <w:t xml:space="preserve">002); o XGBoost ganha 0</w:t>
            </w:r>
            <w:r>
              <w:t xml:space="preserve">,</w:t>
            </w:r>
            <w:r>
              <w:t xml:space="preserve">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amostral (V1028) no acesso, no topo e na decomposição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do acesso 0</w:t>
            </w:r>
            <w:r>
              <w:t xml:space="preserve">,</w:t>
            </w:r>
            <w:r>
              <w:t xml:space="preserve">820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</w:t>
            </w:r>
            <w:r>
              <w:t xml:space="preserve">,</w:t>
            </w:r>
            <w:r>
              <w:t xml:space="preserve">808; topo 10% 0</w:t>
            </w:r>
            <w:r>
              <w:t xml:space="preserve">,</w:t>
            </w:r>
            <w:r>
              <w:t xml:space="preserve">758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</w:t>
            </w:r>
            <w:r>
              <w:t xml:space="preserve">,</w:t>
            </w:r>
            <w:r>
              <w:t xml:space="preserve">777; preço da Oaxaca (A, com peso) 17</w:t>
            </w:r>
            <w:r>
              <w:t xml:space="preserve">,</w:t>
            </w:r>
            <w:r>
              <w:t xml:space="preserve">9%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15</w:t>
            </w:r>
            <w:r>
              <w:t xml:space="preserve">,</w:t>
            </w: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com efeito fixo de estado e erro agrupado por UPA; conclusão inalterada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Validação cruzada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médio entre</w:t>
            </w:r>
            <w:r>
              <w:t xml:space="preserve"> </w:t>
            </w:r>
            <w:r>
              <w:rPr>
                <w:i/>
                <w:iCs/>
              </w:rPr>
              <w:t xml:space="preserve">folds</w:t>
            </w:r>
            <w:r>
              <w:t xml:space="preserve">: 0</w:t>
            </w:r>
            <w:r>
              <w:t xml:space="preserve">,</w:t>
            </w:r>
            <w:r>
              <w:t xml:space="preserve">6435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hiperparâmetros escolhidos em partição de validação e confirmados por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Balanceamento e suporte 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diferença padronizada entre grupos: 1</w:t>
            </w:r>
            <w:r>
              <w:t xml:space="preserve">,</w:t>
            </w: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desequilíbrio concentrado no contexto de bairro, absorvido pelo nível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Especificação do nível de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coeficiente racial com UF aleatória: −0</w:t>
            </w:r>
            <w:r>
              <w:t xml:space="preserve">,</w:t>
            </w:r>
            <w:r>
              <w:t xml:space="preserve">0629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ao da UF como efeito fixo; resultado não depende da escolha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Vazamento das médias de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médias do bairro e do estado calculadas sem a própria observação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que a raça do indivíduo entre no regressor que o descreve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intragrupo (Moulton)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regressores que variam no nível da 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erro-padrão agrupado por UPA em todos os modelos</w:t>
            </w:r>
          </w:p>
        </w:tc>
      </w:tr>
    </w:tbl>
    <w:bookmarkEnd w:id="29"/>
    <w:p>
      <w:pPr>
        <w:pStyle w:val="BodyText"/>
      </w:pPr>
      <w:r>
        <w:t xml:space="preserve">Fonte: Resultados originais da pesquisa.</w:t>
      </w:r>
    </w:p>
    <w:bookmarkEnd w:id="30"/>
    <w:bookmarkStart w:id="31" w:name="random-forest-xgboost-e-shap-values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Random Forest, XGBoost e SHAP Values</w:t>
      </w:r>
    </w:p>
    <w:p>
      <w:pPr>
        <w:pStyle w:val="FirstParagraph"/>
      </w:pPr>
      <w:r>
        <w:t xml:space="preserve">Para predição do log-rendimento, foram ajustados dois modelos de ensemble:</w:t>
      </w:r>
      <w:r>
        <w:t xml:space="preserve"> </w:t>
      </w:r>
      <w:r>
        <w:t xml:space="preserve">(i) 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(Breiman, 2001)</w:t>
      </w:r>
      <w:r>
        <w:t xml:space="preserve"> </w:t>
      </w:r>
      <w:r>
        <w:t xml:space="preserve">com 200 árvores, profundidade</w:t>
      </w:r>
      <w:r>
        <w:t xml:space="preserve"> </w:t>
      </w:r>
      <w:r>
        <w:t xml:space="preserve">máxima 10, ao menos 50 observações por folha e todas as variáveis candidatas em cada</w:t>
      </w:r>
      <w:r>
        <w:t xml:space="preserve"> </w:t>
      </w:r>
      <w:r>
        <w:t xml:space="preserve">divisão (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padrão do</w:t>
      </w:r>
      <w:r>
        <w:t xml:space="preserve"> </w:t>
      </w:r>
      <w:r>
        <w:rPr>
          <w:i/>
          <w:iCs/>
        </w:rPr>
        <w:t xml:space="preserve">scikit-learn</w:t>
      </w:r>
      <w:r>
        <w:t xml:space="preserve"> </w:t>
      </w:r>
      <w:r>
        <w:t xml:space="preserve">para regressão); e (ii) </w:t>
      </w:r>
      <w:r>
        <w:rPr>
          <w:i/>
          <w:iCs/>
        </w:rPr>
        <w:t xml:space="preserve">XGBoost</w:t>
      </w:r>
      <w:r>
        <w:t xml:space="preserve"> </w:t>
      </w:r>
      <w:r>
        <w:t xml:space="preserve">(Chen; Guestrin, 2016)</w:t>
      </w:r>
      <w:r>
        <w:t xml:space="preserve"> </w:t>
      </w:r>
      <w:r>
        <w:t xml:space="preserve">com 300 iterações, taxa de aprendizado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profundidade máxima 10 e regularização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. A profundidade</w:t>
      </w:r>
      <w:r>
        <w:t xml:space="preserve"> </w:t>
      </w:r>
      <w:r>
        <w:t xml:space="preserve">foi escolhida por validação cruzada (Tabela </w:t>
      </w:r>
      <w:hyperlink w:anchor="tab:ml_cv">
        <w:r>
          <w:rPr>
            <w:rStyle w:val="Hyperlink"/>
          </w:rPr>
          <w:t xml:space="preserve">7</w:t>
        </w:r>
      </w:hyperlink>
      <w:r>
        <w:t xml:space="preserve">), e não por conveniência;</w:t>
      </w:r>
      <w:r>
        <w:t xml:space="preserve"> </w:t>
      </w:r>
      <w:r>
        <w:t xml:space="preserve">os dois modelos usam o mesmo conjunto de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e a mesma partição de teste. Sobre o modelo XGBoost,</w:t>
      </w:r>
      <w:r>
        <w:t xml:space="preserve"> </w:t>
      </w:r>
      <w:r>
        <w:t xml:space="preserve">foi aplicado o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da biblioteca SHAP</w:t>
      </w:r>
      <w:r>
        <w:t xml:space="preserve"> </w:t>
      </w:r>
      <w:r>
        <w:t xml:space="preserve">(Lundberg; Lee, 2017)</w:t>
      </w:r>
      <w:r>
        <w:t xml:space="preserve"> </w:t>
      </w:r>
      <w:r>
        <w:t xml:space="preserve">para calcular os valores de Shapley de cada variável. Os modelos são</w:t>
      </w:r>
      <w:r>
        <w:t xml:space="preserve"> </w:t>
      </w:r>
      <w:r>
        <w:t xml:space="preserve">ajustados e avaliados na população completa; só o cálculo dos valores SHAP usa uma amostra</w:t>
      </w:r>
      <w:r>
        <w:t xml:space="preserve"> </w:t>
      </w:r>
      <w:r>
        <w:t xml:space="preserve">de 50 mil observações sorteadas do conjunto de treino, com semente fixa, porque o custo do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cresce com o número de casos explicados.</w:t>
      </w:r>
    </w:p>
    <w:bookmarkEnd w:id="31"/>
    <w:bookmarkEnd w:id="32"/>
    <w:bookmarkStart w:id="113" w:name="sec:resultado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Resultados</w:t>
      </w:r>
    </w:p>
    <w:p>
      <w:pPr>
        <w:pStyle w:val="FirstParagraph"/>
      </w:pPr>
      <w:r>
        <w:t xml:space="preserve">As evidências deste capítulo estão organizadas em duas camadas de exclusão</w:t>
      </w:r>
      <w:r>
        <w:t xml:space="preserve"> </w:t>
      </w:r>
      <w:r>
        <w:t xml:space="preserve">— duas barreiras que operam em sequência e se reforçam mutuamente.</w:t>
      </w:r>
      <w:r>
        <w:t xml:space="preserve"> </w:t>
      </w:r>
      <w:r>
        <w:t xml:space="preserve">O leitor não encontrará aqui um catálogo de modelos estatísticos:</w:t>
      </w:r>
      <w:r>
        <w:t xml:space="preserve"> </w:t>
      </w:r>
      <w:r>
        <w:t xml:space="preserve">encontrará a trajetória de um trabalhador negro no mercado de trabalho</w:t>
      </w:r>
      <w:r>
        <w:t xml:space="preserve"> </w:t>
      </w:r>
      <w:r>
        <w:t xml:space="preserve">brasileiro, documentada com rigor empírico em cada etapa.</w:t>
      </w:r>
    </w:p>
    <w:bookmarkStart w:id="33" w:name="tab:mapa_barreiras"/>
    <w:p>
      <w:pPr>
        <w:pStyle w:val="TableCaption"/>
      </w:pPr>
      <w:r>
        <w:t xml:space="preserve">Mapa das duas camadas de exclusão racial — guia de leitura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pa das duas camadas de exclusão racial — guia de leitur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Pergunta central e 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BARREIRA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negros raramente chegam às ocupações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Acesso e Segregação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prestígio? O GLMM de acesso e o HLM contextual mostram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 a exclusão começa antes do salário.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BARREIRA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os que superam a barreira de entrada — qual é 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Penalidade e Teto de Vidro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ser negro? Gap líquido de 6,1% (M3) e de 5,6% dentro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 mesma ocupação (M4), crescendo nos quantis mais altos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  <w:r>
              <w:t xml:space="preserve">).</w:t>
            </w:r>
          </w:p>
        </w:tc>
      </w:tr>
    </w:tbl>
    <w:bookmarkEnd w:id="33"/>
    <w:p>
      <w:pPr>
        <w:pStyle w:val="BodyText"/>
      </w:pPr>
      <w:r>
        <w:t xml:space="preserve">Cada seção a seguir documenta empiricamente uma dessas camadas.</w:t>
      </w:r>
      <w:r>
        <w:t xml:space="preserve"> </w:t>
      </w:r>
      <w:r>
        <w:t xml:space="preserve">Nenhum método isolado teria identificado o sistema como um todo.</w:t>
      </w:r>
    </w:p>
    <w:p>
      <w:pPr>
        <w:pStyle w:val="BodyText"/>
      </w:pPr>
      <w:r>
        <w:rPr>
          <w:b/>
          <w:bCs/>
        </w:rPr>
        <w:t xml:space="preserve">BARREIRA I — ACESSO E SEGREGAÇÃO ESTRUTURAL</w:t>
      </w:r>
    </w:p>
    <w:p>
      <w:pPr>
        <w:pStyle w:val="BodyText"/>
      </w:pPr>
      <w:r>
        <w:rPr>
          <w:i/>
          <w:iCs/>
        </w:rPr>
        <w:t xml:space="preserve">Como a exclusão começa antes do primeiro salário</w:t>
      </w:r>
    </w:p>
    <w:bookmarkStart w:id="54" w:name="subsec:hlm_resultado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Modelos Hierárquicos Lineares — Mediação Contextual do Gap</w:t>
      </w:r>
    </w:p>
    <w:p>
      <w:pPr>
        <w:pStyle w:val="FirstParagraph"/>
      </w:pPr>
      <w:r>
        <w:t xml:space="preserve">Quanto do gap racial sobrevive à comparação entre dois trabalhadores que moram no</w:t>
      </w:r>
      <w:r>
        <w:t xml:space="preserve"> </w:t>
      </w:r>
      <w:r>
        <w:t xml:space="preserve">mesmo bairro? A pergunta separa duas histórias muito diferentes. Se quase nada</w:t>
      </w:r>
      <w:r>
        <w:t xml:space="preserve"> </w:t>
      </w:r>
      <w:r>
        <w:t xml:space="preserve">sobrevive, o diferencial de renda é sobretudo consequência de onde negros e brancos</w:t>
      </w:r>
      <w:r>
        <w:t xml:space="preserve"> </w:t>
      </w:r>
      <w:r>
        <w:t xml:space="preserve">conseguem morar. Se quase tudo sobrevive, o bairro é cenário, e a diferença se produz</w:t>
      </w:r>
      <w:r>
        <w:t xml:space="preserve"> </w:t>
      </w:r>
      <w:r>
        <w:t xml:space="preserve">pessoa a pessoa, dentro da mesma rua. A Tabela </w:t>
      </w:r>
      <w:hyperlink w:anchor="tab:hlm_resultado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responde em</w:t>
      </w:r>
      <w:r>
        <w:t xml:space="preserve"> </w:t>
      </w:r>
      <w:r>
        <w:t xml:space="preserve">cinco degraus, do modelo nulo (M0) ao modelo com ocupação (M4), todos com intercepto</w:t>
      </w:r>
      <w:r>
        <w:t xml:space="preserve"> </w:t>
      </w:r>
      <w:r>
        <w:t xml:space="preserve">aleatório por UPA e estimados por máxima verossimilhança sobre a população completa:</w:t>
      </w:r>
      <w:r>
        <w:t xml:space="preserve"> </w:t>
      </w:r>
      <w:r>
        <w:t xml:space="preserve">acompanhe a linha</w:t>
      </w:r>
      <w:r>
        <w:t xml:space="preserve"> </w:t>
      </w:r>
      <w:r>
        <w:rPr>
          <w:b/>
          <w:bCs/>
        </w:rPr>
        <w:t xml:space="preserve">Raça (negro)</w:t>
      </w:r>
      <w:r>
        <w:t xml:space="preserve"> </w:t>
      </w:r>
      <w:r>
        <w:t xml:space="preserve">da esquerda para a direita e veja o coeficiente</w:t>
      </w:r>
      <w:r>
        <w:t xml:space="preserve"> </w:t>
      </w:r>
      <w:r>
        <w:t xml:space="preserve">aproximar-se de zero à medida que cada degrau acrescenta um bloco de controles.</w:t>
      </w:r>
    </w:p>
    <w:p>
      <w:pPr>
        <w:pStyle w:val="BodyText"/>
      </w:pPr>
      <w:r>
        <w:rPr>
          <w:b/>
          <w:bCs/>
        </w:rPr>
        <w:t xml:space="preserve">Mais de um terço da diferença de renda está entre bairros, não dentro deles.</w:t>
      </w:r>
      <w:r>
        <w:t xml:space="preserve"> </w:t>
      </w:r>
      <w:r>
        <w:t xml:space="preserve">Antes de qualquer controle, o modelo nulo reparte a variação do log-rendimento em duas</w:t>
      </w:r>
      <w:r>
        <w:t xml:space="preserve"> </w:t>
      </w:r>
      <w:r>
        <w:t xml:space="preserve">parcelas: a que separa um bairro de outro e a que separa dois vizinhos. O ICC da UPA é</w:t>
      </w:r>
      <w:r>
        <w:t xml:space="preserve"> </w:t>
      </w:r>
      <w:r>
        <w:t xml:space="preserve">de 0,353</w:t>
      </w:r>
      <w:r>
        <w:rPr>
          <w:rStyle w:val="FootnoteReference"/>
        </w:rPr>
        <w:footnoteReference w:id="34"/>
      </w:r>
      <w:r>
        <w:t xml:space="preserve"> </w:t>
      </w:r>
      <w:r>
        <w:t xml:space="preserve">— isto é,</w:t>
      </w:r>
      <w:r>
        <w:t xml:space="preserve"> </w:t>
      </w:r>
      <w:r>
        <w:rPr>
          <w:b/>
          <w:bCs/>
        </w:rPr>
        <w:t xml:space="preserve">35,3% da</w:t>
      </w:r>
      <w:r>
        <w:rPr>
          <w:b/>
          <w:bCs/>
        </w:rPr>
        <w:t xml:space="preserve"> </w:t>
      </w:r>
      <w:r>
        <w:rPr>
          <w:b/>
          <w:bCs/>
        </w:rPr>
        <w:t xml:space="preserve">variância do log-rendimento está entre bairros</w:t>
      </w:r>
      <w:r>
        <w:t xml:space="preserve">. Em linguagem de leitor: de toda a</w:t>
      </w:r>
      <w:r>
        <w:t xml:space="preserve"> </w:t>
      </w:r>
      <w:r>
        <w:t xml:space="preserve">diferença de renda entre duas pessoas sorteadas ao acaso no país, mais de um terço já</w:t>
      </w:r>
      <w:r>
        <w:t xml:space="preserve"> </w:t>
      </w:r>
      <w:r>
        <w:t xml:space="preserve">está associada a morarem em bairros diferentes, antes de se saber qualquer outra coisa</w:t>
      </w:r>
      <w:r>
        <w:t xml:space="preserve"> </w:t>
      </w:r>
      <w:r>
        <w:t xml:space="preserve">sobre elas. É muito acima do limiar de 5% a partir do qual</w:t>
      </w:r>
      <w:r>
        <w:t xml:space="preserve"> </w:t>
      </w:r>
      <w:r>
        <w:t xml:space="preserve">Raudenbush; Bryk (2002)</w:t>
      </w:r>
      <w:r>
        <w:t xml:space="preserve"> </w:t>
      </w:r>
      <w:r>
        <w:t xml:space="preserve">consideram indispensável tratar a estrutura aninhada, e maior do que a parcela entre</w:t>
      </w:r>
      <w:r>
        <w:t xml:space="preserve"> </w:t>
      </w:r>
      <w:r>
        <w:t xml:space="preserve">estados (cerca de 11%, no modelo alternativo com UF aleatória usado como robustez).</w:t>
      </w:r>
      <w:r>
        <w:t xml:space="preserve"> </w:t>
      </w:r>
      <w:r>
        <w:t xml:space="preserve">Ignorar essa estrutura trataria como independentes pessoas que compartilham o mesmo</w:t>
      </w:r>
      <w:r>
        <w:t xml:space="preserve"> </w:t>
      </w:r>
      <w:r>
        <w:t xml:space="preserve">mercado de trabalho local.</w:t>
      </w:r>
    </w:p>
    <w:p>
      <w:pPr>
        <w:pStyle w:val="BodyText"/>
      </w:pPr>
      <w:r>
        <w:rPr>
          <w:b/>
          <w:bCs/>
        </w:rPr>
        <w:t xml:space="preserve">Comparar vizinhos reduz o gap em cerca de 40%.</w:t>
      </w:r>
      <w:r>
        <w:t xml:space="preserve"> </w:t>
      </w:r>
      <w:r>
        <w:t xml:space="preserve">Com escolaridade, idade, sexo, horas, situação urbana e ano, mas</w:t>
      </w:r>
      <w:r>
        <w:t xml:space="preserve"> </w:t>
      </w:r>
      <w:r>
        <w:rPr>
          <w:i/>
          <w:iCs/>
        </w:rPr>
        <w:t xml:space="preserve">sem</w:t>
      </w:r>
      <w:r>
        <w:t xml:space="preserve"> </w:t>
      </w:r>
      <w:r>
        <w:t xml:space="preserve">nenhum</w:t>
      </w:r>
      <w:r>
        <w:t xml:space="preserve"> </w:t>
      </w:r>
      <w:r>
        <w:t xml:space="preserve">efeito de bairro (OLS com efeitos fixos de UF, Subseção </w:t>
      </w:r>
      <w:hyperlink w:anchor="subsec:inferencia">
        <w:r>
          <w:rPr>
            <w:rStyle w:val="Hyperlink"/>
          </w:rPr>
          <w:t xml:space="preserve">3.7</w:t>
        </w:r>
      </w:hyperlink>
      <w:r>
        <w:t xml:space="preserve">),</w:t>
      </w:r>
      <w:r>
        <w:t xml:space="preserve"> </w:t>
      </w:r>
      <w:r>
        <w:t xml:space="preserve">trabalhadores negros recebem</w:t>
      </w:r>
      <w:r>
        <w:t xml:space="preserve"> </w:t>
      </w:r>
      <w:r>
        <w:rPr>
          <w:b/>
          <w:bCs/>
        </w:rPr>
        <w:t xml:space="preserve">10,5% a menos</w:t>
      </w:r>
      <w:r>
        <w:t xml:space="preserve"> </w:t>
      </w:r>
      <w:r>
        <w:t xml:space="preserve">que brancos comparáveis</w:t>
      </w:r>
      <w:r>
        <w:t xml:space="preserve"> </w:t>
      </w:r>
      <w:r>
        <w:t xml:space="preserve">(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1104</m:t>
        </m:r>
      </m:oMath>
      <w:r>
        <w:t xml:space="preserve">). O M1 acrescenta o intercepto aleatório de UPA — na</w:t>
      </w:r>
      <w:r>
        <w:t xml:space="preserve"> </w:t>
      </w:r>
      <w:r>
        <w:t xml:space="preserve">prática, um nível de renda próprio para cada bairro — e com ele a comparação deixa de</w:t>
      </w:r>
      <w:r>
        <w:t xml:space="preserve"> </w:t>
      </w:r>
      <w:r>
        <w:t xml:space="preserve">ser entre todos os trabalhadores do país e passa a ser entre negros e brancos</w:t>
      </w:r>
      <w:r>
        <w:t xml:space="preserve"> </w:t>
      </w:r>
      <w:r>
        <w:rPr>
          <w:i/>
          <w:iCs/>
        </w:rPr>
        <w:t xml:space="preserve">do</w:t>
      </w:r>
      <w:r>
        <w:rPr>
          <w:i/>
          <w:iCs/>
        </w:rPr>
        <w:t xml:space="preserve"> </w:t>
      </w:r>
      <w:r>
        <w:rPr>
          <w:i/>
          <w:iCs/>
        </w:rPr>
        <w:t xml:space="preserve">mesmo bairro</w:t>
      </w:r>
      <w:r>
        <w:t xml:space="preserve">: a penalidade cai para</w:t>
      </w:r>
      <w:r>
        <w:t xml:space="preserve"> </w:t>
      </w:r>
      <w:r>
        <w:rPr>
          <w:b/>
          <w:bCs/>
        </w:rPr>
        <w:t xml:space="preserve">6,5%</w:t>
      </w:r>
      <w:r>
        <w:rPr>
          <w:rStyle w:val="FootnoteReference"/>
        </w:rPr>
        <w:footnoteReference w:id="35"/>
      </w:r>
      <w:r>
        <w:t xml:space="preserve">. Medida na régua do gap agregado,</w:t>
      </w:r>
      <w:r>
        <w:t xml:space="preserve"> </w:t>
      </w:r>
      <w:r>
        <w:rPr>
          <w:b/>
          <w:bCs/>
        </w:rPr>
        <w:t xml:space="preserve">39,5% da distância já foi percorrida</w:t>
      </w:r>
      <w:r>
        <w:t xml:space="preserve"> </w:t>
      </w:r>
      <w:r>
        <w:t xml:space="preserve">— percorrida no sentido de</w:t>
      </w:r>
      <w:r>
        <w:t xml:space="preserve"> </w:t>
      </w:r>
      <w:r>
        <w:t xml:space="preserve">atribuída a um fator observável, e não no sentido de explicada sem discriminação, já que</w:t>
      </w:r>
      <w:r>
        <w:t xml:space="preserve"> </w:t>
      </w:r>
      <w:r>
        <w:t xml:space="preserve">o bairro em que se consegue morar é ele próprio produto de exclusão. Esse é o teste da</w:t>
      </w:r>
      <w:r>
        <w:t xml:space="preserve"> </w:t>
      </w:r>
      <w:r>
        <w:t xml:space="preserve">Hipótese H1, e ele passa: negros e brancos com o mesmo capital humano não moram nos</w:t>
      </w:r>
      <w:r>
        <w:t xml:space="preserve"> </w:t>
      </w:r>
      <w:r>
        <w:t xml:space="preserve">mesmos bairros, e os bairros pagam diferente. Os controles individuais explicam, além</w:t>
      </w:r>
      <w:r>
        <w:t xml:space="preserve"> </w:t>
      </w:r>
      <w:r>
        <w:t xml:space="preserve">disso, 66,5% da variância entre bairros do M0 — parte do que parecia</w:t>
      </w:r>
      <w:r>
        <w:t xml:space="preserve"> </w:t>
      </w:r>
      <w:r>
        <w:t xml:space="preserve">“bairro”</w:t>
      </w:r>
      <w:r>
        <w:t xml:space="preserve"> </w:t>
      </w:r>
      <w:r>
        <w:t xml:space="preserve">é composição de quem mora nele.</w:t>
      </w:r>
    </w:p>
    <w:p>
      <w:pPr>
        <w:pStyle w:val="BodyText"/>
      </w:pPr>
      <w:r>
        <w:t xml:space="preserve">Vale guardar a frase: 39</w:t>
      </w:r>
      <w:r>
        <w:t xml:space="preserve">,</w:t>
      </w:r>
      <w:r>
        <w:t xml:space="preserve">5% do gap racial não separam duas pessoas,</w:t>
      </w:r>
      <w:r>
        <w:t xml:space="preserve"> </w:t>
      </w:r>
      <w:r>
        <w:t xml:space="preserve">separam dois endereços. Resta saber o que, num endereço, produz essa diferença.</w:t>
      </w:r>
    </w:p>
    <w:p>
      <w:pPr>
        <w:pStyle w:val="BodyText"/>
      </w:pPr>
      <w:r>
        <w:rPr>
          <w:b/>
          <w:bCs/>
        </w:rPr>
        <w:t xml:space="preserve">Morar onde moram os negros custa outra vez.</w:t>
      </w:r>
      <w:r>
        <w:t xml:space="preserve"> </w:t>
      </w:r>
      <w:r>
        <w:t xml:space="preserve">O M2 pergunta o que, num bairro, faz a renda ser mais alta ou mais baixa, e responde com</w:t>
      </w:r>
      <w:r>
        <w:t xml:space="preserve"> </w:t>
      </w:r>
      <w:r>
        <w:t xml:space="preserve">três covariáveis de nível 2 que juntas explicam 55,2% da variância</w:t>
      </w:r>
      <w:r>
        <w:t xml:space="preserve"> </w:t>
      </w:r>
      <w:r>
        <w:t xml:space="preserve">entre bairros que restava no M1</w:t>
      </w:r>
      <w:r>
        <w:rPr>
          <w:rStyle w:val="FootnoteReference"/>
        </w:rPr>
        <w:footnoteReference w:id="36"/>
      </w:r>
      <w:r>
        <w:t xml:space="preserve">. A mais eloquente é a</w:t>
      </w:r>
      <w:r>
        <w:t xml:space="preserve"> </w:t>
      </w:r>
      <w:r>
        <w:t xml:space="preserve">composição racial: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γ</m:t>
                </m:r>
              </m:e>
            </m:acc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1272</m:t>
        </m:r>
      </m:oMath>
      <w:r>
        <w:t xml:space="preserve"> </w:t>
      </w:r>
      <w:r>
        <w:t xml:space="preserve">significa que um desvio-padrão a mais</w:t>
      </w:r>
      <w:r>
        <w:t xml:space="preserve"> </w:t>
      </w:r>
      <w:r>
        <w:t xml:space="preserve">na proporção de moradores negros da UPA reduz o rendimento de</w:t>
      </w:r>
      <w:r>
        <w:t xml:space="preserve"> </w:t>
      </w:r>
      <w:r>
        <w:rPr>
          <w:i/>
          <w:iCs/>
        </w:rPr>
        <w:t xml:space="preserve">todos</w:t>
      </w:r>
      <w:r>
        <w:t xml:space="preserve"> </w:t>
      </w:r>
      <w:r>
        <w:t xml:space="preserve">os moradores,</w:t>
      </w:r>
      <w:r>
        <w:t xml:space="preserve"> </w:t>
      </w:r>
      <w:r>
        <w:t xml:space="preserve">negros e brancos, em 0,13 log-pontos — cerca de 2</w:t>
      </w:r>
      <w:r>
        <w:t xml:space="preserve">,</w:t>
      </w:r>
      <w:r>
        <w:t xml:space="preserve">0 vezes a</w:t>
      </w:r>
      <w:r>
        <w:t xml:space="preserve"> </w:t>
      </w:r>
      <w:r>
        <w:t xml:space="preserve">penalidade que um trabalhador negro carrega individualmente no mesmo modelo. É a evidência</w:t>
      </w:r>
      <w:r>
        <w:t xml:space="preserve"> </w:t>
      </w:r>
      <w:r>
        <w:t xml:space="preserve">mais direta da</w:t>
      </w:r>
      <w:r>
        <w:t xml:space="preserve"> </w:t>
      </w:r>
      <w:r>
        <w:rPr>
          <w:i/>
          <w:iCs/>
        </w:rPr>
        <w:t xml:space="preserve">dupla desvantagem</w:t>
      </w:r>
      <w:r>
        <w:t xml:space="preserve">: ser negro custa, e morar onde moram os negros</w:t>
      </w:r>
      <w:r>
        <w:t xml:space="preserve"> </w:t>
      </w:r>
      <w:r>
        <w:t xml:space="preserve">custa outra vez, inclusive para quem não é negro. Já o coeficiente individual mal se move</w:t>
      </w:r>
      <w:r>
        <w:t xml:space="preserve"> </w:t>
      </w:r>
      <w:r>
        <w:t xml:space="preserve">(de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0669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0637</m:t>
        </m:r>
      </m:oMath>
      <w:r>
        <w:t xml:space="preserve">): acrescentar a composição do bairro quase não altera a</w:t>
      </w:r>
      <w:r>
        <w:t xml:space="preserve"> </w:t>
      </w:r>
      <w:r>
        <w:t xml:space="preserve">penalidade racial média — as duas desvantagens se somam, em vez de uma explicar a outra.</w:t>
      </w:r>
    </w:p>
    <w:p>
      <w:pPr>
        <w:pStyle w:val="BodyText"/>
      </w:pPr>
      <w:r>
        <w:t xml:space="preserve">Em uma frase: o bairro cobra duas vezes — da pessoa negra, pela cor; e de todos</w:t>
      </w:r>
      <w:r>
        <w:t xml:space="preserve"> </w:t>
      </w:r>
      <w:r>
        <w:t xml:space="preserve">os que moram ali, pela composição racial do lugar.</w:t>
      </w:r>
    </w:p>
    <w:p>
      <w:pPr>
        <w:pStyle w:val="BodyText"/>
      </w:pPr>
      <w:r>
        <w:rPr>
          <w:b/>
          <w:bCs/>
        </w:rPr>
        <w:t xml:space="preserve">Acrescentar o estado não move a régua.</w:t>
      </w:r>
      <w:r>
        <w:t xml:space="preserve"> </w:t>
      </w:r>
      <w:r>
        <w:t xml:space="preserve">Com os efeitos fixos de UF, a penalidade é de</w:t>
      </w:r>
      <w:r>
        <w:t xml:space="preserve"> </w:t>
      </w:r>
      <w:r>
        <w:rPr>
          <w:b/>
          <w:bCs/>
        </w:rPr>
        <w:t xml:space="preserve">6,1%</w:t>
      </w:r>
      <w:r>
        <w:t xml:space="preserve"> </w:t>
      </w:r>
      <w:r>
        <w:t xml:space="preserve">(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  <m:sup>
            <m:r>
              <m:t>M</m:t>
            </m:r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0629</m:t>
        </m:r>
      </m:oMath>
      <w:r>
        <w:t xml:space="preserve">). Na régua do gap</w:t>
      </w:r>
      <w:r>
        <w:t xml:space="preserve"> </w:t>
      </w:r>
      <w:r>
        <w:t xml:space="preserve">agregado, 43,0% — praticamente os mesmos 39,5% do M1. O</w:t>
      </w:r>
      <w:r>
        <w:t xml:space="preserve"> </w:t>
      </w:r>
      <w:r>
        <w:t xml:space="preserve">dado relevante aqui é o que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aconteceu: depois que a comparação já é entre</w:t>
      </w:r>
      <w:r>
        <w:t xml:space="preserve"> </w:t>
      </w:r>
      <w:r>
        <w:t xml:space="preserve">vizinhos, o contexto do bairro (M2) e a unidade da federação (M3) retiram pouco</w:t>
      </w:r>
      <w:r>
        <w:t xml:space="preserve"> </w:t>
      </w:r>
      <w:r>
        <w:t xml:space="preserve">mais do diferencial. É esse patamar que este trabalho chama de</w:t>
      </w:r>
      <w:r>
        <w:t xml:space="preserve"> </w:t>
      </w:r>
      <w:r>
        <w:rPr>
          <w:b/>
          <w:bCs/>
        </w:rPr>
        <w:t xml:space="preserve">gap líquido</w:t>
      </w:r>
      <w:r>
        <w:t xml:space="preserve">: o</w:t>
      </w:r>
      <w:r>
        <w:t xml:space="preserve"> </w:t>
      </w:r>
      <w:r>
        <w:t xml:space="preserve">que capital humano, contexto de bairro e estado não explicam — um limite superior da</w:t>
      </w:r>
      <w:r>
        <w:t xml:space="preserve"> </w:t>
      </w:r>
      <w:r>
        <w:t xml:space="preserve">penalidade direta sob seleção em observáveis (o M4 é o inferior), e não uma medida de</w:t>
      </w:r>
      <w:r>
        <w:t xml:space="preserve"> </w:t>
      </w:r>
      <w:r>
        <w:t xml:space="preserve">discriminação.</w:t>
      </w:r>
      <w:r>
        <w:rPr>
          <w:rStyle w:val="FootnoteReference"/>
        </w:rPr>
        <w:footnoteReference w:id="37"/>
      </w:r>
    </w:p>
    <w:p>
      <w:pPr>
        <w:pStyle w:val="BodyText"/>
      </w:pPr>
      <w:r>
        <w:rPr>
          <w:b/>
          <w:bCs/>
        </w:rPr>
        <w:t xml:space="preserve">Bairro ou estado? A separação em três camadas.</w:t>
      </w:r>
      <w:r>
        <w:t xml:space="preserve"> </w:t>
      </w:r>
      <w:r>
        <w:t xml:space="preserve">Uma objeção natural: se bairros pobres se concentram em estados pobres, o que este</w:t>
      </w:r>
      <w:r>
        <w:t xml:space="preserve"> </w:t>
      </w:r>
      <w:r>
        <w:t xml:space="preserve">trabalho chama de efeito do bairro pode ser efeito da região. O modelo de dois</w:t>
      </w:r>
      <w:r>
        <w:t xml:space="preserve"> </w:t>
      </w:r>
      <w:r>
        <w:t xml:space="preserve">níveis não separa as duas coisas — ele trata a UF como efeito fixo, e por isso</w:t>
      </w:r>
      <w:r>
        <w:t xml:space="preserve"> </w:t>
      </w:r>
      <w:r>
        <w:t xml:space="preserve">credita ao bairro tudo o que é territorial. Para medir a separação, o modelo nulo</w:t>
      </w:r>
      <w:r>
        <w:t xml:space="preserve"> </w:t>
      </w:r>
      <w:r>
        <w:t xml:space="preserve">foi reestimado com</w:t>
      </w:r>
      <w:r>
        <w:t xml:space="preserve"> </w:t>
      </w:r>
      <w:r>
        <w:rPr>
          <w:b/>
          <w:bCs/>
        </w:rPr>
        <w:t xml:space="preserve">três</w:t>
      </w:r>
      <w:r>
        <w:t xml:space="preserve"> </w:t>
      </w:r>
      <w:r>
        <w:t xml:space="preserve">níveis: pessoa dentro de bairro dentro de estado,</w:t>
      </w:r>
      <w:r>
        <w:t xml:space="preserve"> </w:t>
      </w:r>
      <w:r>
        <w:t xml:space="preserve">com intercepto aleatório nos dois.</w:t>
      </w:r>
    </w:p>
    <w:p>
      <w:pPr>
        <w:pStyle w:val="BodyText"/>
      </w:pPr>
      <w:r>
        <w:t xml:space="preserve">O resultado divide o território em duas partes desiguais. Dos</w:t>
      </w:r>
      <w:r>
        <w:t xml:space="preserve"> </w:t>
      </w:r>
      <w:r>
        <w:t xml:space="preserve">35,3% que o modelo de dois níveis atribui ao bairro,</w:t>
      </w:r>
      <w:r>
        <w:t xml:space="preserve"> </w:t>
      </w:r>
      <w:r>
        <w:rPr>
          <w:b/>
          <w:bCs/>
        </w:rPr>
        <w:t xml:space="preserve">23,4%</w:t>
      </w:r>
      <w:r>
        <w:t xml:space="preserve"> </w:t>
      </w:r>
      <w:r>
        <w:t xml:space="preserve">permanecem entre bairros do</w:t>
      </w:r>
      <w:r>
        <w:t xml:space="preserve"> </w:t>
      </w:r>
      <w:r>
        <w:rPr>
          <w:i/>
          <w:iCs/>
        </w:rPr>
        <w:t xml:space="preserve">mesmo</w:t>
      </w:r>
      <w:r>
        <w:t xml:space="preserve"> </w:t>
      </w:r>
      <w:r>
        <w:t xml:space="preserve">estado e</w:t>
      </w:r>
      <w:r>
        <w:t xml:space="preserve"> </w:t>
      </w:r>
      <w:r>
        <w:rPr>
          <w:b/>
          <w:bCs/>
        </w:rPr>
        <w:t xml:space="preserve">11,4%</w:t>
      </w:r>
      <w:r>
        <w:t xml:space="preserve"> </w:t>
      </w:r>
      <w:r>
        <w:t xml:space="preserve">são diferenças entre estados. Depois dos controles</w:t>
      </w:r>
      <w:r>
        <w:t xml:space="preserve"> </w:t>
      </w:r>
      <w:r>
        <w:t xml:space="preserve">individuais e do contexto do bairro, o bairro cai para 7,2% e o estado</w:t>
      </w:r>
      <w:r>
        <w:t xml:space="preserve"> </w:t>
      </w:r>
      <w:r>
        <w:t xml:space="preserve">para 5,6%: a camada do bairro encolhe mais (de 2,1 para 1,3 vez o estado), mas continua sendo a maior.</w:t>
      </w:r>
      <w:r>
        <w:rPr>
          <w:rStyle w:val="FootnoteReference"/>
        </w:rPr>
        <w:footnoteReference w:id="38"/>
      </w:r>
    </w:p>
    <w:p>
      <w:pPr>
        <w:pStyle w:val="BodyText"/>
      </w:pPr>
      <w:r>
        <w:rPr>
          <w:b/>
          <w:bCs/>
        </w:rPr>
        <w:t xml:space="preserve">Dentro da mesma ocupação o gap encolhe — o que não é o mesmo que explicá-lo.</w:t>
      </w:r>
      <w:r>
        <w:t xml:space="preserve"> </w:t>
      </w:r>
      <w:r>
        <w:t xml:space="preserve">O M4 acrescenta vínculo e grupo ocupacional, e a penalidade cai para</w:t>
      </w:r>
      <w:r>
        <w:t xml:space="preserve"> </w:t>
      </w:r>
      <w:r>
        <w:rPr>
          <w:b/>
          <w:bCs/>
        </w:rPr>
        <w:t xml:space="preserve">5,6%</w:t>
      </w:r>
      <w:r>
        <w:t xml:space="preserve"> </w:t>
      </w:r>
      <w:r>
        <w:t xml:space="preserve">(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  <m:sup>
            <m:r>
              <m:t>M</m:t>
            </m:r>
            <m:r>
              <m:t>4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0579</m:t>
        </m:r>
      </m:oMath>
      <w:r>
        <w:t xml:space="preserve">). A régua vai a</w:t>
      </w:r>
      <w:r>
        <w:t xml:space="preserve"> </w:t>
      </w:r>
      <w:r>
        <w:rPr>
          <w:b/>
          <w:bCs/>
        </w:rPr>
        <w:t xml:space="preserve">47,6% do gap agregado</w:t>
      </w:r>
      <w:r>
        <w:t xml:space="preserve">. A tentação é ler esse número como a parte do</w:t>
      </w:r>
      <w:r>
        <w:t xml:space="preserve"> </w:t>
      </w:r>
      <w:r>
        <w:t xml:space="preserve">gap que está</w:t>
      </w:r>
      <w:r>
        <w:t xml:space="preserve"> </w:t>
      </w:r>
      <w:r>
        <w:t xml:space="preserve">“explicada”</w:t>
      </w:r>
      <w:r>
        <w:t xml:space="preserve">, e é precisamente essa leitura que o desenho do estudo</w:t>
      </w:r>
      <w:r>
        <w:t xml:space="preserve"> </w:t>
      </w:r>
      <w:r>
        <w:t xml:space="preserve">não autoriza: a ocupação não é uma característica que a pessoa traz consigo, é um</w:t>
      </w:r>
      <w:r>
        <w:t xml:space="preserve"> </w:t>
      </w:r>
      <w:r>
        <w:t xml:space="preserve">resultado ao qual ela precisou obter acesso — e o acesso é justamente onde a</w:t>
      </w:r>
      <w:r>
        <w:t xml:space="preserve"> </w:t>
      </w:r>
      <w:r>
        <w:t xml:space="preserve">Subseção </w:t>
      </w:r>
      <w:hyperlink w:anchor="subsec:glmm_resultados">
        <w:r>
          <w:rPr>
            <w:rStyle w:val="Hyperlink"/>
          </w:rPr>
          <w:t xml:space="preserve">4.6</w:t>
        </w:r>
      </w:hyperlink>
      <w:r>
        <w:t xml:space="preserve"> </w:t>
      </w:r>
      <w:r>
        <w:t xml:space="preserve">encontra uma barreira própria, que a decomposição</w:t>
      </w:r>
      <w:r>
        <w:t xml:space="preserve"> </w:t>
      </w:r>
      <w:r>
        <w:t xml:space="preserve">salarial só capta em parte. Controlar por</w:t>
      </w:r>
      <w:r>
        <w:t xml:space="preserve"> </w:t>
      </w:r>
      <w:r>
        <w:t xml:space="preserve">ocupação é, portanto, descontar do gap uma parte do próprio gap. Por isso o M4 é um</w:t>
      </w:r>
      <w:r>
        <w:t xml:space="preserve"> </w:t>
      </w:r>
      <w:r>
        <w:t xml:space="preserve">limite inferior descritivo, e não o número a citar como a penalidade racial brasileira.</w:t>
      </w:r>
    </w:p>
    <w:p>
      <w:pPr>
        <w:pStyle w:val="BodyText"/>
      </w:pPr>
      <w:r>
        <w:rPr>
          <w:b/>
          <w:bCs/>
        </w:rPr>
        <w:t xml:space="preserve">O mesmo controle pode ser legítimo num modelo e viciado noutro.</w:t>
      </w:r>
      <w:r>
        <w:t xml:space="preserve"> </w:t>
      </w:r>
      <w:r>
        <w:t xml:space="preserve">A regra não é</w:t>
      </w:r>
      <w:r>
        <w:t xml:space="preserve"> </w:t>
      </w:r>
      <w:r>
        <w:t xml:space="preserve">“controlar por tudo”</w:t>
      </w:r>
      <w:r>
        <w:t xml:space="preserve"> </w:t>
      </w:r>
      <w:r>
        <w:t xml:space="preserve">nem</w:t>
      </w:r>
      <w:r>
        <w:t xml:space="preserve"> </w:t>
      </w:r>
      <w:r>
        <w:t xml:space="preserve">“nunca controlar por resultado”</w:t>
      </w:r>
      <w:r>
        <w:t xml:space="preserve">: depende do</w:t>
      </w:r>
      <w:r>
        <w:t xml:space="preserve"> </w:t>
      </w:r>
      <w:r>
        <w:t xml:space="preserve">que se está explicando. A jornada trabalhada ilustra bem. No modelo de rendimento ela</w:t>
      </w:r>
      <w:r>
        <w:t xml:space="preserve"> </w:t>
      </w:r>
      <w:r>
        <w:t xml:space="preserve">é</w:t>
      </w:r>
      <w:r>
        <w:t xml:space="preserve"> </w:t>
      </w:r>
      <w:r>
        <w:rPr>
          <w:i/>
          <w:iCs/>
        </w:rPr>
        <w:t xml:space="preserve">necessária</w:t>
      </w:r>
      <w:r>
        <w:t xml:space="preserve">, porque o desfecho é o rendimento</w:t>
      </w:r>
      <w:r>
        <w:t xml:space="preserve"> </w:t>
      </w:r>
      <w:r>
        <w:rPr>
          <w:b/>
          <w:bCs/>
        </w:rPr>
        <w:t xml:space="preserve">mensal</w:t>
      </w:r>
      <w:r>
        <w:t xml:space="preserve">: sem ela,</w:t>
      </w:r>
      <w:r>
        <w:t xml:space="preserve"> </w:t>
      </w:r>
      <w:r>
        <w:t xml:space="preserve">comparar-se-ia quem trabalha meio período com quem trabalha jornada integral e a</w:t>
      </w:r>
      <w:r>
        <w:t xml:space="preserve"> </w:t>
      </w:r>
      <w:r>
        <w:t xml:space="preserve">diferença seria creditada à raça. No modelo de acesso o desfecho é</w:t>
      </w:r>
      <w:r>
        <w:t xml:space="preserve"> </w:t>
      </w:r>
      <w:r>
        <w:rPr>
          <w:i/>
          <w:iCs/>
        </w:rPr>
        <w:t xml:space="preserve">ocupar</w:t>
      </w:r>
      <w:r>
        <w:t xml:space="preserve"> </w:t>
      </w:r>
      <w:r>
        <w:t xml:space="preserve">o</w:t>
      </w:r>
      <w:r>
        <w:t xml:space="preserve"> </w:t>
      </w:r>
      <w:r>
        <w:t xml:space="preserve">cargo, e a jornada não causa esse acesso — ela é determinada junto com a ocupação,</w:t>
      </w:r>
      <w:r>
        <w:t xml:space="preserve"> </w:t>
      </w:r>
      <w:r>
        <w:t xml:space="preserve">de modo que condicionar nela desconta parte do próprio fenômeno. Por isso a jornada</w:t>
      </w:r>
      <w:r>
        <w:t xml:space="preserve"> </w:t>
      </w:r>
      <w:r>
        <w:t xml:space="preserve">entra no bloco individual do modelo de rendimento e, no de acesso, só no degrau</w:t>
      </w:r>
      <w:r>
        <w:t xml:space="preserve"> </w:t>
      </w:r>
      <w:r>
        <w:t xml:space="preserve">rotulado como limite inferior, ao lado do vínculo.</w:t>
      </w:r>
    </w:p>
    <w:p>
      <w:pPr>
        <w:pStyle w:val="BodyText"/>
      </w:pPr>
      <w:r>
        <w:t xml:space="preserve">O critério que organiza os dois modelos é, então, o</w:t>
      </w:r>
      <w:r>
        <w:t xml:space="preserve"> </w:t>
      </w:r>
      <w:r>
        <w:rPr>
          <w:i/>
          <w:iCs/>
        </w:rPr>
        <w:t xml:space="preserve">estatuto causal</w:t>
      </w:r>
      <w:r>
        <w:t xml:space="preserve"> </w:t>
      </w:r>
      <w:r>
        <w:t xml:space="preserve">de cada</w:t>
      </w:r>
      <w:r>
        <w:t xml:space="preserve"> </w:t>
      </w:r>
      <w:r>
        <w:t xml:space="preserve">variável em relação ao desfecho daquele modelo, e não a semelhança das listas</w:t>
      </w:r>
      <w:r>
        <w:t xml:space="preserve"> </w:t>
      </w:r>
      <w:r>
        <w:t xml:space="preserve">(Tabela </w:t>
      </w:r>
      <w:hyperlink w:anchor="tab:simetria">
        <w:r>
          <w:rPr>
            <w:rStyle w:val="Hyperlink"/>
          </w:rPr>
          <w:t xml:space="preserve">4</w:t>
        </w:r>
      </w:hyperlink>
      <w:r>
        <w:t xml:space="preserve">):</w:t>
      </w:r>
    </w:p>
    <w:bookmarkStart w:id="39" w:name="tab:simetria"/>
    <w:p>
      <w:pPr>
        <w:pStyle w:val="TableCaption"/>
      </w:pPr>
      <w:r>
        <w:t xml:space="preserve">Simetria dos controles entre os dois modelos. Os blocos predeterminados são</w:t>
      </w:r>
      <w:r>
        <w:t xml:space="preserve"> </w:t>
      </w:r>
      <w:r>
        <w:t xml:space="preserve">idênticos; o que difere é o tratamento das variáveis que são elas próprias desfecho</w:t>
      </w:r>
      <w:r>
        <w:t xml:space="preserve"> </w:t>
      </w:r>
      <w:r>
        <w:t xml:space="preserve">do processo estudado.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metria dos controles entre os dois modelos. Os blocos predeterminados são idênticos; o que difere é o tratamento das variáveis que são elas próprias desfecho do processo estudad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rendimento (HLM)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acesso (GLMM)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Predeterminados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sexo, idade, idade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escolaridade (4 degraus</w:t>
            </w:r>
            <w:r>
              <w:t xml:space="preserve"> </w:t>
            </w:r>
            <w:r>
              <w:t xml:space="preserve">cumulativos), área urbana, ano,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mesmos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do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negro, desemprego e escolaridade média da UPA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mesmos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necessário: o desfecho é rendimento 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desfecho do processo:</w:t>
            </w:r>
            <w:r>
              <w:t xml:space="preserve"> </w:t>
            </w:r>
            <w:r>
              <w:t xml:space="preserve">entra só no degrau de limite inferior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Vínculo e ocupação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inferior (M4)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inferior (A3); a ocupação não entra,</w:t>
            </w:r>
            <w:r>
              <w:t xml:space="preserve"> </w:t>
            </w:r>
            <w:r>
              <w:t xml:space="preserve">pois é o próprio desfecho</w:t>
            </w:r>
          </w:p>
        </w:tc>
      </w:tr>
    </w:tbl>
    <w:bookmarkEnd w:id="39"/>
    <w:p>
      <w:pPr>
        <w:pStyle w:val="BodyText"/>
      </w:pPr>
      <w:r>
        <w:t xml:space="preserve">Fonte: Resultados originais da pesquisa.</w:t>
      </w:r>
    </w:p>
    <w:p>
      <w:pPr>
        <w:pStyle w:val="BodyText"/>
      </w:pPr>
      <w:r>
        <w:t xml:space="preserve">Dito de outro modo: 5,6% é onde a régua termina, não onde o gap</w:t>
      </w:r>
      <w:r>
        <w:t xml:space="preserve"> </w:t>
      </w:r>
      <w:r>
        <w:t xml:space="preserve">verdadeiro está. O número deste trabalho é o gap líquido de 6,1% do M3; o</w:t>
      </w:r>
      <w:r>
        <w:t xml:space="preserve"> </w:t>
      </w:r>
      <w:r>
        <w:t xml:space="preserve">5,6% mede o que sobra depois de descontar um canal que é ele próprio</w:t>
      </w:r>
      <w:r>
        <w:t xml:space="preserve"> </w:t>
      </w:r>
      <w:r>
        <w:t xml:space="preserve">discriminatório.</w:t>
      </w:r>
    </w:p>
    <w:p>
      <w:pPr>
        <w:pStyle w:val="BodyText"/>
      </w:pPr>
      <w:r>
        <w:rPr>
          <w:b/>
          <w:bCs/>
        </w:rPr>
        <w:t xml:space="preserve">A penalidade não é a mesma em todo bairro.</w:t>
      </w:r>
      <w:r>
        <w:t xml:space="preserve"> </w:t>
      </w:r>
      <w:r>
        <w:t xml:space="preserve">Até aqui a penalidade racial foi tratada como um número único. Deixá-la variar de bairro</w:t>
      </w:r>
      <w:r>
        <w:t xml:space="preserve"> </w:t>
      </w:r>
      <w:r>
        <w:t xml:space="preserve">para bairro melhora significativamente o ajuste (LR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26.267, 2 g.l.,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), e o desvio-padrão dessa variação é de 0,145</w:t>
      </w:r>
      <w:r>
        <w:t xml:space="preserve"> </w:t>
      </w:r>
      <w:r>
        <w:t xml:space="preserve">log-pontos</w:t>
      </w:r>
      <w:r>
        <w:rPr>
          <w:rStyle w:val="FootnoteReference"/>
        </w:rPr>
        <w:footnoteReference w:id="40"/>
      </w:r>
      <w:r>
        <w:t xml:space="preserve">. Em bairros a um desvio-padrão de cada lado da</w:t>
      </w:r>
      <w:r>
        <w:t xml:space="preserve"> </w:t>
      </w:r>
      <w:r>
        <w:t xml:space="preserve">média, a penalidade vai de −0,211 a 0,079 log-pontos: há bairros em que o</w:t>
      </w:r>
      <w:r>
        <w:t xml:space="preserve"> </w:t>
      </w:r>
      <w:r>
        <w:t xml:space="preserve">diferencial é mais do que o dobro da média e bairros em que ele se inverte. A</w:t>
      </w:r>
      <w:r>
        <w:t xml:space="preserve"> </w:t>
      </w:r>
      <w:r>
        <w:t xml:space="preserve">discriminação salarial tem geografia — e a covariância entre intercepto e inclinação</w:t>
      </w:r>
      <w:r>
        <w:t xml:space="preserve"> </w:t>
      </w:r>
      <w:r>
        <w:t xml:space="preserve">(−0,0157) indica que a penalidade é maior nos bairros de renda-base</w:t>
      </w:r>
      <w:r>
        <w:t xml:space="preserve"> </w:t>
      </w:r>
      <w:r>
        <w:t xml:space="preserve">mais alta. A Figura </w:t>
      </w:r>
      <w:hyperlink w:anchor="fig:hlm_blup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contrasta os efeitos fixos de estado com os</w:t>
      </w:r>
      <w:r>
        <w:t xml:space="preserve"> </w:t>
      </w:r>
      <w:r>
        <w:t xml:space="preserve">interceptos estimados para os bairros, e a Figura </w:t>
      </w:r>
      <w:hyperlink w:anchor="fig:hlm_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mostra a reta de</w:t>
      </w:r>
      <w:r>
        <w:t xml:space="preserve"> </w:t>
      </w:r>
      <w:r>
        <w:t xml:space="preserve">cada bairro.</w:t>
      </w:r>
    </w:p>
    <w:bookmarkStart w:id="44" w:name="fig:hlm_blups"/>
    <w:p>
      <w:pPr>
        <w:pStyle w:val="CaptionedFigure"/>
      </w:pPr>
      <w:r>
        <w:drawing>
          <wp:inline>
            <wp:extent cx="5334000" cy="23410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outputs/figures/hlm_efeitos_uf_blup_up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variação entre bairros supera a variação entre estados. À esquerda, os</w:t>
      </w:r>
      <w:r>
        <w:t xml:space="preserve"> </w:t>
      </w:r>
      <w:r>
        <w:t xml:space="preserve">efeitos fixos de UF do M3 com IC 95% (referência: primeira UF); à direita, a</w:t>
      </w:r>
      <w:r>
        <w:t xml:space="preserve"> </w:t>
      </w:r>
      <w:r>
        <w:t xml:space="preserve">distribuição dos interceptos aleatórios das UPAs (</w:t>
      </w:r>
      <m:oMath>
        <m:sSub>
          <m:e>
            <m:r>
              <m:t>u</m:t>
            </m:r>
          </m:e>
          <m:sub>
            <m:r>
              <m:t>0</m:t>
            </m:r>
            <m:r>
              <m:t>j</m:t>
            </m:r>
          </m:sub>
        </m:sSub>
      </m:oMath>
      <w:r>
        <w:t xml:space="preserve">, BLUPs do M3).</w:t>
      </w:r>
    </w:p>
    <w:bookmarkEnd w:id="44"/>
    <w:p>
      <w:pPr>
        <w:pStyle w:val="BodyText"/>
      </w:pPr>
      <w:r>
        <w:rPr>
          <w:i/>
          <w:iCs/>
        </w:rPr>
        <w:t xml:space="preserve">Como ler a Figura </w:t>
      </w:r>
      <w:hyperlink w:anchor="fig:hlm_blups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ponto à esquerda é um estado;</w:t>
      </w:r>
      <w:r>
        <w:t xml:space="preserve"> </w:t>
      </w:r>
      <w:r>
        <w:t xml:space="preserve">a largura do histograma à direita é o quanto a renda-base muda de um bairro para outro,</w:t>
      </w:r>
      <w:r>
        <w:t xml:space="preserve"> </w:t>
      </w:r>
      <w:r>
        <w:t xml:space="preserve">já descontados capital humano, contexto e estado.</w:t>
      </w:r>
    </w:p>
    <w:bookmarkStart w:id="48" w:name="fig:hlm_rs"/>
    <w:p>
      <w:pPr>
        <w:pStyle w:val="CaptionedFigure"/>
      </w:pPr>
      <w:r>
        <w:drawing>
          <wp:inline>
            <wp:extent cx="5334000" cy="232756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outputs/figures/hlm_rs_retas_up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Nos bairros de renda mais alta, a penalidade racial é maior. M3 com</w:t>
      </w:r>
      <w:r>
        <w:t xml:space="preserve"> </w:t>
      </w:r>
      <w:r>
        <w:t xml:space="preserve">intercepto e inclinação de</w:t>
      </w:r>
      <w:r>
        <w:t xml:space="preserve"> </w:t>
      </w:r>
      <w:r>
        <w:rPr>
          <w:rStyle w:val="VerbatimChar"/>
        </w:rPr>
        <w:t xml:space="preserve">negro</w:t>
      </w:r>
      <w:r>
        <w:t xml:space="preserve"> </w:t>
      </w:r>
      <w:r>
        <w:t xml:space="preserve">aleatórios por UPA: à esquerda, a reta ajustada</w:t>
      </w:r>
      <w:r>
        <w:t xml:space="preserve"> </w:t>
      </w:r>
      <w:r>
        <w:t xml:space="preserve">de cada bairro (amostra de 250 UPAs com brancos e negros) e, em azul, a média; à direita,</w:t>
      </w:r>
      <w:r>
        <w:t xml:space="preserve"> </w:t>
      </w:r>
      <w:r>
        <w:t xml:space="preserve">os BLUPs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  <m:r>
              <m:t>j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das 40.728 UPAs, com correlação estimada de</w:t>
      </w:r>
      <w:r>
        <w:t xml:space="preserve"> </w:t>
      </w:r>
      <w:r>
        <w:t xml:space="preserve">−0</w:t>
      </w:r>
      <w:r>
        <w:t xml:space="preserve">,</w:t>
      </w:r>
      <w:r>
        <w:t xml:space="preserve">53.</w:t>
      </w:r>
    </w:p>
    <w:bookmarkEnd w:id="48"/>
    <w:p>
      <w:pPr>
        <w:pStyle w:val="BodyText"/>
      </w:pPr>
      <w:r>
        <w:rPr>
          <w:i/>
          <w:iCs/>
        </w:rPr>
        <w:t xml:space="preserve">Como ler a Figura </w:t>
      </w:r>
      <w:hyperlink w:anchor="fig:hlm_rs">
        <w:r>
          <w:rPr>
            <w:rStyle w:val="Hyperlink"/>
            <w:i/>
            <w:iCs/>
          </w:rPr>
          <w:t xml:space="preserve">2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à esquerda, a altura de cada reta é a</w:t>
      </w:r>
      <w:r>
        <w:t xml:space="preserve"> </w:t>
      </w:r>
      <w:r>
        <w:t xml:space="preserve">renda-base do bairro e a inclinação é a penalidade racial dentro dele — retas que descem</w:t>
      </w:r>
      <w:r>
        <w:t xml:space="preserve"> </w:t>
      </w:r>
      <w:r>
        <w:t xml:space="preserve">mais são bairros que penalizam mais. À direita, cada ponto é um bairro, e a reta azul resume a</w:t>
      </w:r>
      <w:r>
        <w:t xml:space="preserve"> </w:t>
      </w:r>
      <w:r>
        <w:t xml:space="preserve">relação: se ela desce, bairros de renda-base maior têm inclinação mais negativa, isto é,</w:t>
      </w:r>
      <w:r>
        <w:t xml:space="preserve"> </w:t>
      </w:r>
      <w:r>
        <w:t xml:space="preserve">penalizam mais.</w:t>
      </w:r>
    </w:p>
    <w:p>
      <w:pPr>
        <w:pStyle w:val="BodyText"/>
      </w:pPr>
      <w:r>
        <w:rPr>
          <w:b/>
          <w:bCs/>
        </w:rPr>
        <w:t xml:space="preserve">A penalidade ao longo da escada educacional.</w:t>
      </w:r>
      <w:r>
        <w:t xml:space="preserve"> </w:t>
      </w:r>
      <w:r>
        <w:t xml:space="preserve">O M3 impõe uma única penalidade racial a todos os níveis de escolaridade. Reestimado com o</w:t>
      </w:r>
      <w:r>
        <w:t xml:space="preserve"> </w:t>
      </w:r>
      <w:r>
        <w:t xml:space="preserve">coeficiente de raça livre em cada nível — mesma especificação, mesma população —, ele mostra</w:t>
      </w:r>
      <w:r>
        <w:t xml:space="preserve"> </w:t>
      </w:r>
      <w:r>
        <w:t xml:space="preserve">que a penalidade condicional diminui da base para o topo da escada: 9</w:t>
      </w:r>
      <w:r>
        <w:t xml:space="preserve">,</w:t>
      </w:r>
      <w:r>
        <w:t xml:space="preserve">6% entre quem está sem fundamental completo e 1</w:t>
      </w:r>
      <w:r>
        <w:t xml:space="preserve">,</w:t>
      </w:r>
      <w:r>
        <w:t xml:space="preserve">1% entre quem está com pós-graduação. O teste de razão de verossimilhança contra o M3, que impõe uma penalidade única, rejeita a igualdade entre os níveis (LR</w:t>
      </w:r>
      <w:r>
        <w:t xml:space="preserve"> </w:t>
      </w:r>
      <m:oMath>
        <m:r>
          <m:rPr>
            <m:sty m:val="p"/>
          </m:rPr>
          <m:t>=</m:t>
        </m:r>
        <m:r>
          <m:t>3319</m:t>
        </m:r>
      </m:oMath>
      <w:r>
        <w:t xml:space="preserve">, 4 g.l.,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). Sem controles, o gap mediano é de 14</w:t>
      </w:r>
      <w:r>
        <w:t xml:space="preserve">,</w:t>
      </w:r>
      <w:r>
        <w:t xml:space="preserve">1% sem fundamental completo e de 26</w:t>
      </w:r>
      <w:r>
        <w:t xml:space="preserve">,</w:t>
      </w:r>
      <w:r>
        <w:t xml:space="preserve">1% com pós-graduação; a diferença entre o bruto e o condicional, em cada nível, é o que idade, sexo, jornada, bairro e estado explicam ali. A composição também difere: os negros são 67% de quem está sem fundamental completo e 37% de quem está com pós-graduação. Como no restante do trabalho, são diferenças condicionais entre pessoas comparáveis, não o efeito de estudar mais.</w:t>
      </w:r>
    </w:p>
    <w:bookmarkStart w:id="52" w:name="fig:hlm_negro_educ"/>
    <w:p>
      <w:pPr>
        <w:pStyle w:val="CaptionedFigure"/>
      </w:pPr>
      <w:r>
        <w:drawing>
          <wp:inline>
            <wp:extent cx="4800600" cy="281386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utputs/figures/hlm_negro_por_educ_reta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1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Retorno de cada nível de escolaridade e penalidade racial dentro dele: M3 do</w:t>
      </w:r>
      <w:r>
        <w:t xml:space="preserve"> </w:t>
      </w:r>
      <w:r>
        <w:t xml:space="preserve">núcleo com o coeficiente de raça estimado em cada nível.</w:t>
      </w:r>
    </w:p>
    <w:bookmarkEnd w:id="52"/>
    <w:p>
      <w:pPr>
        <w:pStyle w:val="BodyText"/>
      </w:pPr>
      <w:r>
        <w:rPr>
          <w:i/>
          <w:iCs/>
        </w:rPr>
        <w:t xml:space="preserve">Como ler a Figura </w:t>
      </w:r>
      <w:hyperlink w:anchor="fig:hlm_negro_educ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reta é um nível de</w:t>
      </w:r>
      <w:r>
        <w:t xml:space="preserve"> </w:t>
      </w:r>
      <w:r>
        <w:t xml:space="preserve">escolaridade e vai do trabalhador branco (à esquerda) ao negro (à direita). A altura da reta</w:t>
      </w:r>
      <w:r>
        <w:t xml:space="preserve"> </w:t>
      </w:r>
      <w:r>
        <w:t xml:space="preserve">é o rendimento do nível em relação ao branco sem fundamental completo; a inclinação é a</w:t>
      </w:r>
      <w:r>
        <w:t xml:space="preserve"> </w:t>
      </w:r>
      <w:r>
        <w:t xml:space="preserve">penalidade racial dentro do nível, escrita à direita.</w:t>
      </w:r>
    </w:p>
    <w:p>
      <w:pPr>
        <w:pStyle w:val="BodyText"/>
      </w:pPr>
      <w:r>
        <w:rPr>
          <w:b/>
          <w:bCs/>
        </w:rPr>
        <w:t xml:space="preserve">O gap verdadeiro está entre dois limites, e nenhum confundidor plausível o anula.</w:t>
      </w:r>
      <w:r>
        <w:t xml:space="preserve"> </w:t>
      </w:r>
      <w:r>
        <w:t xml:space="preserve">O coeficiente racial é uma associação condicional: pela fórmula do viés de variável</w:t>
      </w:r>
      <w:r>
        <w:t xml:space="preserve"> </w:t>
      </w:r>
      <w:r>
        <w:t xml:space="preserve">omitida</w:t>
      </w:r>
      <w:r>
        <w:t xml:space="preserve"> </w:t>
      </w:r>
      <w:r>
        <w:t xml:space="preserve">(Angrist; Pischke, 2009)</w:t>
      </w:r>
      <w:r>
        <w:t xml:space="preserve">, o coeficiente</w:t>
      </w:r>
      <w:r>
        <w:t xml:space="preserve"> </w:t>
      </w:r>
      <w:r>
        <w:t xml:space="preserve">“curto”</w:t>
      </w:r>
      <w:r>
        <w:t xml:space="preserve"> </w:t>
      </w:r>
      <w:r>
        <w:t xml:space="preserve">iguala o</w:t>
      </w:r>
      <w:r>
        <w:t xml:space="preserve"> </w:t>
      </w:r>
      <w:r>
        <w:t xml:space="preserve">“longo”</w:t>
      </w:r>
      <w:r>
        <w:t xml:space="preserve"> </w:t>
      </w:r>
      <w:r>
        <w:t xml:space="preserve">mais o efeito do</w:t>
      </w:r>
      <w:r>
        <w:t xml:space="preserve"> </w:t>
      </w:r>
      <w:r>
        <w:t xml:space="preserve">omitido vezes sua relação com a raça. Qualidade da escola, habilidade não observada e</w:t>
      </w:r>
      <w:r>
        <w:t xml:space="preserve"> </w:t>
      </w:r>
      <w:r>
        <w:t xml:space="preserve">redes de contato correlacionam-se negativamente com ser negro e positivamente com a</w:t>
      </w:r>
      <w:r>
        <w:t xml:space="preserve"> </w:t>
      </w:r>
      <w:r>
        <w:t xml:space="preserve">renda: omiti-las</w:t>
      </w:r>
      <w:r>
        <w:t xml:space="preserve"> </w:t>
      </w:r>
      <w:r>
        <w:rPr>
          <w:i/>
          <w:iCs/>
        </w:rPr>
        <w:t xml:space="preserve">superestima</w:t>
      </w:r>
      <w:r>
        <w:t xml:space="preserve"> </w:t>
      </w:r>
      <w:r>
        <w:t xml:space="preserve">a penalidade — o que faz do M3 um limite superior</w:t>
      </w:r>
      <w:r>
        <w:t xml:space="preserve"> </w:t>
      </w:r>
      <w:r>
        <w:t xml:space="preserve">para o efeito de tratamento diferencial condicional a essas características. Na direção</w:t>
      </w:r>
      <w:r>
        <w:t xml:space="preserve"> </w:t>
      </w:r>
      <w:r>
        <w:t xml:space="preserve">oposta, os controles que são desfechos (ocupação no M4)</w:t>
      </w:r>
      <w:r>
        <w:t xml:space="preserve"> </w:t>
      </w:r>
      <w:r>
        <w:rPr>
          <w:i/>
          <w:iCs/>
        </w:rPr>
        <w:t xml:space="preserve">subestimam</w:t>
      </w:r>
      <w:r>
        <w:t xml:space="preserve">. O gap líquido</w:t>
      </w:r>
      <w:r>
        <w:t xml:space="preserve"> </w:t>
      </w:r>
      <w:r>
        <w:t xml:space="preserve">deve ser lido entre esses dois limites. Para anular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  <m:sup>
            <m:r>
              <m:t>M</m:t>
            </m:r>
            <m:r>
              <m:t>3</m:t>
            </m:r>
          </m:sup>
        </m:sSubSup>
      </m:oMath>
      <w:r>
        <w:t xml:space="preserve"> </w:t>
      </w:r>
      <w:r>
        <w:t xml:space="preserve">seria</w:t>
      </w:r>
      <w:r>
        <w:t xml:space="preserve"> </w:t>
      </w:r>
      <w:r>
        <w:t xml:space="preserve">preciso um viés de 98,4% do coeficiente, pelo Konfound</w:t>
      </w:r>
      <w:r>
        <w:t xml:space="preserve"> </w:t>
      </w:r>
      <w:r>
        <w:t xml:space="preserve">(Frank et al., 2013)</w:t>
      </w:r>
      <w:r>
        <w:t xml:space="preserve">, e o</w:t>
      </w:r>
      <w:r>
        <w:t xml:space="preserve"> </w:t>
      </w:r>
      <w:r>
        <w:t xml:space="preserve">E-value do modelo de acesso (Tabela </w:t>
      </w:r>
      <w:hyperlink w:anchor="tab:glmm_glassceil">
        <w:r>
          <w:rPr>
            <w:rStyle w:val="Hyperlink"/>
          </w:rPr>
          <w:t xml:space="preserve">14</w:t>
        </w:r>
      </w:hyperlink>
      <w:r>
        <w:t xml:space="preserve">) exige um confundidor</w:t>
      </w:r>
      <w:r>
        <w:t xml:space="preserve"> </w:t>
      </w:r>
      <w:r>
        <w:t xml:space="preserve">associado à raça e ao desfecho com razão de risco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uma associação</w:t>
      </w:r>
      <w:r>
        <w:t xml:space="preserve"> </w:t>
      </w:r>
      <w:r>
        <w:t xml:space="preserve">modesta, que sozinha não descarta viés.</w:t>
      </w:r>
    </w:p>
    <w:bookmarkStart w:id="53" w:name="tab:hlm_resultados"/>
    <w:p>
      <w:pPr>
        <w:pStyle w:val="TableCaption"/>
      </w:pPr>
      <w:r>
        <w:t xml:space="preserve">HLM de dois níveis (indivíduo em UPA) com efeitos fixos de UF — estratégia</w:t>
      </w:r>
      <w:r>
        <w:t xml:space="preserve"> </w:t>
      </w:r>
      <w:r>
        <w:rPr>
          <w:i/>
          <w:iCs/>
        </w:rPr>
        <w:t xml:space="preserve">step-up</w:t>
      </w:r>
      <w:r>
        <w:t xml:space="preserve">, PNAD Contínua 2016–2025, população completa (</w:t>
      </w:r>
      <m:oMath>
        <m:r>
          <m:t>N</m:t>
        </m:r>
        <m:r>
          <m:rPr>
            <m:sty m:val="p"/>
          </m:rPr>
          <m:t>=</m:t>
        </m:r>
        <m:r>
          <m:t>7.694</m:t>
        </m:r>
        <m:r>
          <m:t>.080</m:t>
        </m:r>
      </m:oMath>
      <w:r>
        <w:t xml:space="preserve">; 40.728 UPAs; 27 UFs). Coeficientes com erro-padrão do modelo entre parênteses (a correlação intra-UPA já está no efeito aleatório). Estimação por máxima verossimilhança (ML), para os testes LR entre degraus; REML coincide.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desta ordem quase todo coeficiente é significante; a inferência relevante está nos intervalos de confiança, não nos asteriscos</w:t>
      </w:r>
      <w:r>
        <w:t xml:space="preserve"> </w:t>
      </w:r>
      <w:r>
        <w:t xml:space="preserve">(Angrist; Pischke, 2009, cap. 8)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LM de dois níveis (indivíduo em UPA) com efeitos fixos de UF — estratégia step-up, PNAD Contínua 2016–2025, população completa (N = 7.694.080; 40.728 UPAs; 27 UFs). Coeficientes com erro-padrão do modelo entre parênteses (a correlação intra-UPA já está no efeito aleatório). Estimação por máxima verossimilhança (ML), para os testes LR entre degraus; REML coincide. Com N desta ordem quase todo coeficiente é significante; a inferência relevante está nos intervalos de confiança, não nos asteriscos (Angrist; Pischke, 2009, cap. 8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Variável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7,5778 (0,0028)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4,8436 (0,0039)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5,0132 (0,0034)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5,2269 (0,0078)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5,4140 (0,0074)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Raça (negro)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−0,0669 (0,0005)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−0,0637 (0,0005)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−0,0629 (0,0005)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−0,0579 (0,0005)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 feminino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−0,2594 (0,0005)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−0,2590 (0,0005)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−0,2592 (0,0005)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−0,2394 (0,0005)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 (centrada)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0,0079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0,0078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0,0078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0,0088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−0,0004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−0,0004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−0,0004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−0,0004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0,0001)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fundamental 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0,1884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0,1880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0,1877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0,1464 (0,0007)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médio 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0,1965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0,1956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0,1958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0,1013 (0,0007)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superior 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0,5133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0,5107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0,5112 (0,0007)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0,2937 (0,0008)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pós-graduação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0,3359 (0,0011)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0,3341 (0,0011)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0,3350 (0,0011)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0,2445 (0,0011)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0,6536 (0,0006)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0,6539 (0,0006)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0,6534 (0,0006)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0,5801 (0,0006)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0,3419 (0,0037)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0,0927 (0,0032)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0,0492 (0,0027)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0,0071 (0,0025)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negro na UPA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−0,1272 (0,0013)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−0,0528 (0,0018)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−0,0576 (0,0017)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Desemprego na UPA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−0,0183 (0,0012)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−0,0007 (0,0010)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−0,0051 (0,0010)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 média na UPA (</w:t>
            </w:r>
            <m:oMath>
              <m:r>
                <m:t>z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0,1577 (0,0014)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0,1694 (0,0013)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0,1427 (0,0012)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Emprego formal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0,1585 (0,0006)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própria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−0,1658 (0,0006)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Trab. doméstico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−0,1052 (0,0010)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dirigente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0,6250 (0,0013)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profissional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0,5608 (0,0011)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0,4001 (0,0010)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administrativo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0,1771 (0,0010)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serviços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0,1517 (0,0007)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agropecuária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0,0844 (0,0010)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operário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0,1839 (0,0008)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operador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0,2152 (0,0009)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FFAA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0,7871 (0,0023)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 95% de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negro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[−0,0679; −0,0658]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[−0,0647; −0,0627]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[−0,0639; −0,0619]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[−0,0588; −0,0569]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(%)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β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−6,2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−6,1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−5,6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Efeitos fixos de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τ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UPA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0,0263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UPA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explicada vs. M0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</m:oMath>
            <w:r>
              <w:t xml:space="preserve">LL (deviance)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17.439.754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14.160.374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14.130.562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14.115.850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13.255.146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17.439.760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14.160.418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14.130.612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14.115.952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13.255.272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17.439.802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14.160.722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14.130.959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14.116.659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13.256.145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 vs. degrau anterior (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g.l.)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3.279.380 (19)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29.811 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14.712 (26)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860.704 (12)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do 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</w:tbl>
    <w:bookmarkEnd w:id="53"/>
    <w:p>
      <w:pPr>
        <w:pStyle w:val="BodyText"/>
      </w:pPr>
      <w:r>
        <w:rPr>
          <w:i/>
          <w:iCs/>
        </w:rPr>
        <w:t xml:space="preserve">Inclinação aleatória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negro</w:t>
      </w:r>
      <w:r>
        <w:rPr>
          <w:i/>
          <w:iCs/>
        </w:rPr>
        <w:t xml:space="preserve"> </w:t>
      </w:r>
      <w:r>
        <w:rPr>
          <w:i/>
          <w:iCs/>
        </w:rPr>
        <w:t xml:space="preserve">por UPA (M3 +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  <m:r>
              <m:t>j</m:t>
            </m:r>
          </m:sub>
        </m:sSub>
      </m:oMath>
      <w:r>
        <w:rPr>
          <w:i/>
          <w:iCs/>
        </w:rPr>
        <w:t xml:space="preserve">):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0210</m:t>
        </m:r>
      </m:oMath>
      <w:r>
        <w:t xml:space="preserve"> </w:t>
      </w:r>
      <w:r>
        <w:t xml:space="preserve">(DP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145</m:t>
        </m:r>
      </m:oMath>
      <w:r>
        <w:t xml:space="preserve"> </w:t>
      </w:r>
      <w:r>
        <w:t xml:space="preserve">em log-pontos), cov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0157</m:t>
        </m:r>
      </m:oMath>
      <w:r>
        <w:t xml:space="preserve">; LR</w:t>
      </w:r>
      <w:r>
        <w:t xml:space="preserve"> </w:t>
      </w:r>
      <m:oMath>
        <m:r>
          <m:rPr>
            <m:sty m:val="p"/>
          </m:rPr>
          <m:t>=</m:t>
        </m:r>
        <m:r>
          <m:t>26.267</m:t>
        </m:r>
      </m:oMath>
      <w:r>
        <w:t xml:space="preserve"> </w:t>
      </w:r>
      <w:r>
        <w:t xml:space="preserve">(2 g.l.),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: a penalidade racial varia entre bairros;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médio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0659</m:t>
        </m:r>
      </m:oMath>
      <w:r>
        <w:t xml:space="preserve">.</w:t>
      </w:r>
    </w:p>
    <w:bookmarkEnd w:id="54"/>
    <w:bookmarkStart w:id="71" w:name="subsec:m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Modelos de Machine Learning e SHAP Values</w:t>
      </w:r>
    </w:p>
    <w:p>
      <w:pPr>
        <w:pStyle w:val="FirstParagraph"/>
      </w:pPr>
      <w:r>
        <w:t xml:space="preserve">Todos os modelos até aqui impuseram uma forma à realidade: rendimento linear nos</w:t>
      </w:r>
      <w:r>
        <w:t xml:space="preserve"> </w:t>
      </w:r>
      <w:r>
        <w:t xml:space="preserve">controles, efeitos que se somam, penalidade racial constante. E se a forma estiver</w:t>
      </w:r>
      <w:r>
        <w:t xml:space="preserve"> </w:t>
      </w:r>
      <w:r>
        <w:t xml:space="preserve">errada — se o gap que os coeficientes mostram for, em alguma medida, artefato da</w:t>
      </w:r>
      <w:r>
        <w:t xml:space="preserve"> </w:t>
      </w:r>
      <w:r>
        <w:t xml:space="preserve">equação escolhida? Árvores de decisão respondem a essa objeção porque não pressupõem</w:t>
      </w:r>
      <w:r>
        <w:t xml:space="preserve"> </w:t>
      </w:r>
      <w:r>
        <w:t xml:space="preserve">forma nenhuma: descobrem sozinhas interações e não linearidades e, com os valores SHAP,</w:t>
      </w:r>
      <w:r>
        <w:t xml:space="preserve"> </w:t>
      </w:r>
      <w:r>
        <w:t xml:space="preserve">dizem quanto cada variável pesou em cada previsão. Se a raça aparecer entre os</w:t>
      </w:r>
      <w:r>
        <w:t xml:space="preserve"> </w:t>
      </w:r>
      <w:r>
        <w:t xml:space="preserve">preditores relevantes de um modelo que nunca foi instruído a procurá-la, o achado deixa</w:t>
      </w:r>
      <w:r>
        <w:t xml:space="preserve"> </w:t>
      </w:r>
      <w:r>
        <w:t xml:space="preserve">de depender da especificação. A Tabela </w:t>
      </w:r>
      <w:hyperlink w:anchor="tab:ml_per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traz o desempenho dos modelos</w:t>
      </w:r>
      <w:r>
        <w:t xml:space="preserve"> </w:t>
      </w:r>
      <w:r>
        <w:t xml:space="preserve">sobre o conjunto de teste, separado antes de qualquer ajuste.</w:t>
      </w:r>
    </w:p>
    <w:bookmarkStart w:id="55" w:name="tab:ml_perf"/>
    <w:p>
      <w:pPr>
        <w:pStyle w:val="TableCaption"/>
      </w:pPr>
      <w:r>
        <w:t xml:space="preserve">Desempenho preditivo — Random Forest, XGBoost e XGBoost sem renda de vizinhança (robustez ao problema do reflexo).</w:t>
      </w:r>
      <w:r>
        <w:t xml:space="preserve"> </w:t>
      </w:r>
      <w:r>
        <w:rPr>
          <w:i/>
          <w:iCs/>
        </w:rPr>
        <w:t xml:space="preserve">Hold-out</w:t>
      </w:r>
      <w:r>
        <w:t xml:space="preserve"> </w:t>
      </w:r>
      <w:r>
        <w:t xml:space="preserve">20% da população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teste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 </w:t>
      </w:r>
      <w:r>
        <w:t xml:space="preserve">milhão).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empenho preditivo — Random Forest, XGBoost e XGBoost sem renda de vizinhança (robustez ao problema do reflexo). Hold-out 20% da população (N_\text{teste}\approx 1{,}54 milhão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Gap treino–teste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0,5753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0,6444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0,3970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0,5352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0,0084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 (sem renda da UPA)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0,0081</w:t>
            </w:r>
          </w:p>
        </w:tc>
      </w:tr>
    </w:tbl>
    <w:bookmarkEnd w:id="55"/>
    <w:p>
      <w:pPr>
        <w:pStyle w:val="BodyText"/>
      </w:pPr>
      <w:r>
        <w:rPr>
          <w:i/>
          <w:iCs/>
        </w:rPr>
        <w:t xml:space="preserve">Como ler a Tabela </w:t>
      </w:r>
      <w:hyperlink w:anchor="tab:ml_perf">
        <w:r>
          <w:rPr>
            <w:rStyle w:val="Hyperlink"/>
            <w:i/>
            <w:iCs/>
          </w:rPr>
          <w:t xml:space="preserve">6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mais alto = melhor previsão; 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treino–teste próximo de zero indica ausência de sobreajuste.</w:t>
      </w:r>
    </w:p>
    <w:p>
      <w:pPr>
        <w:pStyle w:val="BodyText"/>
      </w:pPr>
      <w:r>
        <w:t xml:space="preserve">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teste de 0</w:t>
      </w:r>
      <w:r>
        <w:t xml:space="preserve">,</w:t>
      </w:r>
      <w:r>
        <w:t xml:space="preserve">64 (XGBoost) é elevado para dados de rendimento individual,</w:t>
      </w:r>
      <w:r>
        <w:t xml:space="preserve"> </w:t>
      </w:r>
      <w:r>
        <w:t xml:space="preserve">onde a variância não observada (setor, cargo, tempo de serviço) responde</w:t>
      </w:r>
      <w:r>
        <w:t xml:space="preserve"> </w:t>
      </w:r>
      <w:r>
        <w:t xml:space="preserve">pela maior parte do resíduo.</w:t>
      </w:r>
    </w:p>
    <w:p>
      <w:pPr>
        <w:pStyle w:val="BodyText"/>
      </w:pPr>
      <w:r>
        <w:rPr>
          <w:b/>
          <w:bCs/>
        </w:rPr>
        <w:t xml:space="preserve">Escolha de hiperparâmetros e validação cruzada.</w:t>
      </w:r>
      <w:r>
        <w:t xml:space="preserve"> </w:t>
      </w:r>
      <w:r>
        <w:t xml:space="preserve">A profundidade das árvores, a taxa de aprendizado e o número de iterações não foram</w:t>
      </w:r>
      <w:r>
        <w:t xml:space="preserve"> </w:t>
      </w:r>
      <w:r>
        <w:t xml:space="preserve">fixados por conveniência: seis configurações foram comparadas numa partição de validação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do conjunto de treino — o teste permanece intocado —, e a vencedora foi</w:t>
      </w:r>
      <w:r>
        <w:t xml:space="preserve"> </w:t>
      </w:r>
      <w:r>
        <w:t xml:space="preserve">submetida a validação cruzada</w:t>
      </w:r>
      <w:r>
        <w:t xml:space="preserve"> </w:t>
      </w:r>
      <m:oMath>
        <m:r>
          <m:t>k</m:t>
        </m:r>
      </m:oMath>
      <w:r>
        <w:t xml:space="preserve">-</w:t>
      </w:r>
      <w:r>
        <w:rPr>
          <w:i/>
          <w:iCs/>
        </w:rPr>
        <w:t xml:space="preserve">fold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 no treino completo</w:t>
      </w:r>
      <w:r>
        <w:t xml:space="preserve"> </w:t>
      </w:r>
      <w:r>
        <w:t xml:space="preserve">(Tabelas </w:t>
      </w:r>
      <w:hyperlink w:anchor="tab:ml_cv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e </w:t>
      </w:r>
      <w:hyperlink w:anchor="tab:ml_cv_b">
        <w:r>
          <w:rPr>
            <w:rStyle w:val="Hyperlink"/>
          </w:rPr>
          <w:t xml:space="preserve">8</w:t>
        </w:r>
      </w:hyperlink>
      <w:r>
        <w:t xml:space="preserve">). A configuração escolhida melhora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em relação à configuração de referência</w:t>
      </w:r>
      <w:r>
        <w:t xml:space="preserve"> </w:t>
      </w:r>
      <w:r>
        <w:t xml:space="preserve">(profundidade 6), com sobreajuste maior, mas ainda desprezível</w:t>
      </w:r>
      <w:r>
        <w:t xml:space="preserve"> </w:t>
      </w:r>
      <w:r>
        <w:t xml:space="preserve">(Tabelas </w:t>
      </w:r>
      <w:hyperlink w:anchor="tab:ml_cv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e </w:t>
      </w:r>
      <w:hyperlink w:anchor="tab:ml_cv_b">
        <w:r>
          <w:rPr>
            <w:rStyle w:val="Hyperlink"/>
          </w:rPr>
          <w:t xml:space="preserve">8</w:t>
        </w:r>
      </w:hyperlink>
      <w:r>
        <w:t xml:space="preserve">).</w:t>
      </w:r>
      <w:r>
        <w:rPr>
          <w:rStyle w:val="FootnoteReference"/>
        </w:rPr>
        <w:footnoteReference w:id="56"/>
      </w:r>
      <w:r>
        <w:t xml:space="preserve"> </w:t>
      </w:r>
      <w:r>
        <w:t xml:space="preserve">Com um treino desse tamanho, a variação entre</w:t>
      </w:r>
      <w:r>
        <w:t xml:space="preserve"> </w:t>
      </w:r>
      <w:r>
        <w:rPr>
          <w:i/>
          <w:iCs/>
        </w:rPr>
        <w:t xml:space="preserve">folds</w:t>
      </w:r>
      <w:r>
        <w:t xml:space="preserve"> </w:t>
      </w:r>
      <w:r>
        <w:t xml:space="preserve">cai na quarta casa decimal: aqui a validação cruzada serve menos para</w:t>
      </w:r>
      <w:r>
        <w:t xml:space="preserve"> </w:t>
      </w:r>
      <w:r>
        <w:t xml:space="preserve">estimar incerteza e mais para justificar a especificação.</w:t>
      </w:r>
    </w:p>
    <w:bookmarkStart w:id="57" w:name="tab:ml_cv"/>
    <w:p>
      <w:pPr>
        <w:pStyle w:val="TableCaption"/>
      </w:pPr>
      <w:r>
        <w:t xml:space="preserve">Escolha de hiperparâmetros do XGBoost na partição de validação</w:t>
      </w:r>
      <w:r>
        <w:t xml:space="preserve"> </w:t>
      </w:r>
      <w:r>
        <w:t xml:space="preserve">(Alencar, 2026a, 2026b, 2026c; Géron, 2021)</w:t>
      </w:r>
      <w:r>
        <w:t xml:space="preserve">. Seis configurações comparadas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do treino — o conjunto de teste permanece intocado. População completa:</w:t>
      </w:r>
      <w:r>
        <w:t xml:space="preserve"> </w:t>
      </w:r>
      <w:r>
        <w:t xml:space="preserve">6.159.418 observações de treino e 1.539.855 de teste; nenhuma amostragem.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colha de hiperparâmetros do XGBoost na partição de validação (Alencar, 2026a, 2026b, 2026c; Géron, 2021). Seis configurações comparadas dentro do treino — o conjunto de teste permanece intocado. População completa: 6.159.418 observações de treino e 1.539.855 de teste; nenhuma amostragem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Profundidade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Taxa de aprendizado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Árvores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Sobreajuste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 (referência)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0,6182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0,0011</w:t>
            </w:r>
          </w:p>
        </w:tc>
      </w:tr>
    </w:tbl>
    <w:bookmarkEnd w:id="57"/>
    <w:p>
      <w:pPr>
        <w:pStyle w:val="BodyText"/>
      </w:pPr>
      <w:r>
        <w:rPr>
          <w:i/>
          <w:iCs/>
        </w:rPr>
        <w:t xml:space="preserve">Como ler:</w:t>
      </w:r>
      <w:r>
        <w:t xml:space="preserve"> </w:t>
      </w:r>
      <w:r>
        <w:t xml:space="preserve">“Sobreajuste”</w:t>
      </w:r>
      <w:r>
        <w:t xml:space="preserve"> </w:t>
      </w:r>
      <w:r>
        <w:t xml:space="preserve">é a diferença entre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treino e o de</w:t>
      </w:r>
      <w:r>
        <w:t xml:space="preserve"> </w:t>
      </w:r>
      <w:r>
        <w:t xml:space="preserve">validação — valores próximos de zero indicam que o modelo não decorou os dados. A</w:t>
      </w:r>
      <w:r>
        <w:t xml:space="preserve"> </w:t>
      </w:r>
      <w:r>
        <w:t xml:space="preserve">primeira linha é a configuração escolhida.</w:t>
      </w:r>
    </w:p>
    <w:bookmarkStart w:id="58" w:name="tab:ml_cv_b"/>
    <w:p>
      <w:pPr>
        <w:pStyle w:val="TableCaption"/>
      </w:pPr>
      <w:r>
        <w:t xml:space="preserve">Validação cruzada</w:t>
      </w:r>
      <w:r>
        <w:t xml:space="preserve"> </w:t>
      </w:r>
      <m:oMath>
        <m:r>
          <m:t>k</m:t>
        </m:r>
      </m:oMath>
      <w:r>
        <w:t xml:space="preserve">-</w:t>
      </w:r>
      <w:r>
        <w:rPr>
          <w:i/>
          <w:iCs/>
        </w:rPr>
        <w:t xml:space="preserve">fold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 do XGBoost no treino completo,</w:t>
      </w:r>
      <w:r>
        <w:t xml:space="preserve"> </w:t>
      </w:r>
      <w:r>
        <w:t xml:space="preserve">com média e desvio-padrão entre</w:t>
      </w:r>
      <w:r>
        <w:t xml:space="preserve"> </w:t>
      </w:r>
      <w:r>
        <w:rPr>
          <w:i/>
          <w:iCs/>
        </w:rPr>
        <w:t xml:space="preserve">folds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lidação cruzada k-fold (k=5) do XGBoost no treino completo, com média e desvio-padrão entre fol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(média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dp)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Escolhida (profundidade 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0,6435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0,0006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0,3978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0,0002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0,5360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0,0002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 (profundidade 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0,6294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0,0006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0,4064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0,0002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0,5466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0,0002</w:t>
            </w:r>
          </w:p>
        </w:tc>
      </w:tr>
    </w:tbl>
    <w:bookmarkEnd w:id="58"/>
    <w:p>
      <w:pPr>
        <w:pStyle w:val="BodyText"/>
      </w:pPr>
      <w:r>
        <w:rPr>
          <w:i/>
          <w:iCs/>
        </w:rPr>
        <w:t xml:space="preserve">Como ler:</w:t>
      </w:r>
      <w:r>
        <w:t xml:space="preserve"> </w:t>
      </w:r>
      <w:r>
        <w:t xml:space="preserve">a configuração escolhida ganha 1,4 ponto percentual</w:t>
      </w:r>
      <w:r>
        <w:t xml:space="preserve"> </w:t>
      </w:r>
      <w:r>
        <w:t xml:space="preserve">de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ao custo de um sobreajuste maior, mas ainda pequeno (Tabela </w:t>
      </w:r>
      <w:hyperlink w:anchor="tab:ml_cv">
        <w:r>
          <w:rPr>
            <w:rStyle w:val="Hyperlink"/>
          </w:rPr>
          <w:t xml:space="preserve">7</w:t>
        </w:r>
      </w:hyperlink>
      <w:r>
        <w:t xml:space="preserve">). No</w:t>
      </w:r>
      <w:r>
        <w:t xml:space="preserve"> </w:t>
      </w:r>
      <w:r>
        <w:t xml:space="preserve">conjunto de teste (intocado durante a escolha),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6444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 erro na unidade original.</w:t>
      </w:r>
      <w:r>
        <w:t xml:space="preserve"> </w:t>
      </w:r>
      <w:r>
        <w:t xml:space="preserve">Os modelos preveem o</w:t>
      </w:r>
      <w:r>
        <w:t xml:space="preserve"> </w:t>
      </w:r>
      <w:r>
        <w:rPr>
          <w:i/>
          <w:iCs/>
        </w:rPr>
        <w:t xml:space="preserve">logaritmo</w:t>
      </w:r>
      <w:r>
        <w:t xml:space="preserve"> </w:t>
      </w:r>
      <w:r>
        <w:t xml:space="preserve">do</w:t>
      </w:r>
      <w:r>
        <w:t xml:space="preserve"> </w:t>
      </w:r>
      <w:r>
        <w:t xml:space="preserve">rendimento; para o leitor, o que importa é o erro em reais. Retransformando com a correção</w:t>
      </w:r>
      <w:r>
        <w:t xml:space="preserve"> </w:t>
      </w:r>
      <w:r>
        <w:t xml:space="preserve">de</w:t>
      </w:r>
      <w:r>
        <w:t xml:space="preserve"> </w:t>
      </w:r>
      <w:r>
        <w:t xml:space="preserve">Duan (1983)</w:t>
      </w:r>
      <w:r>
        <w:t xml:space="preserve"> </w:t>
      </w:r>
      <w:r>
        <w:t xml:space="preserve">(fator de</w:t>
      </w:r>
      <w:r>
        <w:t xml:space="preserve"> </w:t>
      </w:r>
      <w:r>
        <w:rPr>
          <w:i/>
          <w:iCs/>
        </w:rPr>
        <w:t xml:space="preserve">smearing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159</m:t>
        </m:r>
      </m:oMath>
      <w:r>
        <w:t xml:space="preserve">), o erro mediano de</w:t>
      </w:r>
      <w:r>
        <w:t xml:space="preserve"> </w:t>
      </w:r>
      <w:r>
        <w:t xml:space="preserve">previsão é de</w:t>
      </w:r>
      <w:r>
        <w:t xml:space="preserve"> </w:t>
      </w:r>
      <w:r>
        <w:rPr>
          <w:b/>
          <w:bCs/>
        </w:rPr>
        <w:t xml:space="preserve">R$ 664 por mês</w:t>
      </w:r>
      <w:r>
        <w:t xml:space="preserve"> </w:t>
      </w:r>
      <w:r>
        <w:t xml:space="preserve">(reais do 2º trimestre de 2026), ou 35% do rendimento</w:t>
      </w:r>
      <w:r>
        <w:t xml:space="preserve"> </w:t>
      </w:r>
      <w:r>
        <w:t xml:space="preserve">observado — a ordem de grandeza que se deve ter em mente ao ler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 o modelo acerta</w:t>
      </w:r>
      <w:r>
        <w:t xml:space="preserve"> </w:t>
      </w:r>
      <w:r>
        <w:t xml:space="preserve">a posição relativa das pessoas muito melhor do que o valor exato do salário de cada uma.</w:t>
      </w:r>
    </w:p>
    <w:p>
      <w:pPr>
        <w:pStyle w:val="BodyText"/>
      </w:pPr>
      <w:r>
        <w:rPr>
          <w:b/>
          <w:bCs/>
        </w:rPr>
        <w:t xml:space="preserve">Ampliar a base reduz o risco de sobreajuste, em vez de aumentá-lo.</w:t>
      </w:r>
      <w:r>
        <w:t xml:space="preserve"> </w:t>
      </w:r>
      <w:r>
        <w:t xml:space="preserve">A objeção usual a modelos flexíveis é que eles decoram os dados em vez de aprender com</w:t>
      </w:r>
      <w:r>
        <w:t xml:space="preserve"> </w:t>
      </w:r>
      <w:r>
        <w:t xml:space="preserve">eles — e quem decorou prevê bem o que já viu e mal o que não viu. Não é o caso aqui, e</w:t>
      </w:r>
      <w:r>
        <w:t xml:space="preserve"> </w:t>
      </w:r>
      <w:r>
        <w:t xml:space="preserve">a razão é o tamanho da base: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treino e o de teste praticamente coincidem, com</w:t>
      </w:r>
      <w:r>
        <w:t xml:space="preserve"> </w:t>
      </w:r>
      <w:r>
        <w:t xml:space="preserve">diferença de 0,0084</w:t>
      </w:r>
      <w:r>
        <w:rPr>
          <w:rStyle w:val="FootnoteReference"/>
        </w:rPr>
        <w:footnoteReference w:id="59"/>
      </w:r>
      <w:r>
        <w:t xml:space="preserve">. Três evidências</w:t>
      </w:r>
      <w:r>
        <w:t xml:space="preserve"> </w:t>
      </w:r>
      <w:r>
        <w:t xml:space="preserve">convergem: a diferença entre treino e teste é praticamente nula; o número de observações</w:t>
      </w:r>
      <w:r>
        <w:t xml:space="preserve"> </w:t>
      </w:r>
      <w:r>
        <w:t xml:space="preserve">supera em muitas ordens de grandeza a complexidade dos modelos, todos regularizados; e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teste quase não muda ao se passar de uma subamostra para a população inteira. É</w:t>
      </w:r>
      <w:r>
        <w:t xml:space="preserve"> </w:t>
      </w:r>
      <w:r>
        <w:t xml:space="preserve">o contrário da intuição corrente: ampliar a base, de amostral para populacional, reduz o</w:t>
      </w:r>
      <w:r>
        <w:t xml:space="preserve"> </w:t>
      </w:r>
      <w:r>
        <w:t xml:space="preserve">risco de sobreajuste em vez de aumentá-lo.</w:t>
      </w:r>
    </w:p>
    <w:bookmarkStart w:id="60" w:name="tab:shap_importance"/>
    <w:p>
      <w:pPr>
        <w:pStyle w:val="TableCaption"/>
      </w:pPr>
      <w:r>
        <w:t xml:space="preserve">Importância SHAP Comparada — Random Forest e XGBoost. Predição de log-rendimento, PNAD 2016–2025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SHAP</m:t>
            </m:r>
          </m:sub>
        </m:sSub>
        <m:r>
          <m:rPr>
            <m:sty m:val="p"/>
          </m:rPr>
          <m:t>=</m:t>
        </m:r>
        <m:r>
          <m:t>50.000</m:t>
        </m:r>
      </m:oMath>
      <w:r>
        <w:t xml:space="preserve">). Valores: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SHAP</m:t>
        </m:r>
        <m:r>
          <m:rPr>
            <m:sty m:val="p"/>
          </m:rPr>
          <m:t>|</m:t>
        </m:r>
      </m:oMath>
      <w:r>
        <w:t xml:space="preserve"> </w:t>
      </w:r>
      <w:r>
        <w:t xml:space="preserve">médio.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ortância SHAP Comparada — Random Forest e XGBoost. Predição de log-rendimento, PNAD 2016–2025 (N_{\text{SHAP}}=50.000). Valores: |\text{SHAP}| médio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SHAP</m:t>
              </m:r>
              <m:r>
                <m:rPr>
                  <m:sty m:val="p"/>
                </m:rPr>
                <m:t>|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Rank RF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SHAP</m:t>
              </m:r>
              <m:r>
                <m:rPr>
                  <m:sty m:val="p"/>
                </m:rPr>
                <m:t>|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Rank XGB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média UPA (exceto o próprio)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0,18775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superior 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0,24464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0,17823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trabalhadas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0,19383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0,17220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Gênero (feminino)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0,10557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Emprego formal (carteira)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 (centrada)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própria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0,02228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médio 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0,04494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Técnicos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 média 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0,03339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Dirigentes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fundamental completo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Raça (negro)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Serviços/Vendas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Operários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Op. Máquinas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0,02144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 média UPA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0,01753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Educ.: pós-graduação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0,01489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Trabalho doméstico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0,01658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Desemprego no 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0,01634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Agropecuária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Negro no 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Idade² (experiência)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Administrativo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0,00348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CBO: FFAA/Polícia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0,00803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Desemprego na UPA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% Negro na UPA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0,00731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</w:tbl>
    <w:bookmarkEnd w:id="60"/>
    <w:p>
      <w:pPr>
        <w:pStyle w:val="BodyText"/>
      </w:pPr>
      <w:r>
        <w:rPr>
          <w:i/>
          <w:iCs/>
        </w:rPr>
        <w:t xml:space="preserve">Como ler a Tabela </w:t>
      </w:r>
      <w:hyperlink w:anchor="tab:shap_importance">
        <w:r>
          <w:rPr>
            <w:rStyle w:val="Hyperlink"/>
            <w:i/>
            <w:iCs/>
          </w:rPr>
          <w:t xml:space="preserve">9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variáveis ordenadas pela importância média (</w:t>
      </w:r>
      <m:oMath>
        <m:r>
          <m:rPr>
            <m:sty m:val="p"/>
          </m:rPr>
          <m:t>|</m:t>
        </m:r>
        <m:r>
          <m:rPr>
            <m:nor/>
            <m:sty m:val="p"/>
          </m:rPr>
          <m:t>SHAP</m:t>
        </m:r>
        <m:r>
          <m:rPr>
            <m:sty m:val="p"/>
          </m:rPr>
          <m:t>|</m:t>
        </m:r>
      </m:oMath>
      <w:r>
        <w:t xml:space="preserve">); valores maiores = maior peso na previsão da renda.</w:t>
      </w:r>
    </w:p>
    <w:bookmarkStart w:id="64" w:name="fig:shap"/>
    <w:p>
      <w:pPr>
        <w:pStyle w:val="CaptionedFigure"/>
      </w:pPr>
      <w:r>
        <w:drawing>
          <wp:inline>
            <wp:extent cx="4907280" cy="382294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outputs/figures/shap_beeswarm_xgb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2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Contexto do bairro, diploma superior e jornada dominam a previsão de renda; a raça</w:t>
      </w:r>
      <w:r>
        <w:t xml:space="preserve"> </w:t>
      </w:r>
      <w:r>
        <w:t xml:space="preserve">aparece na 14</w:t>
      </w:r>
      <w:r>
        <w:rPr>
          <w:vertAlign w:val="superscript"/>
        </w:rPr>
        <w:t xml:space="preserve">a</w:t>
      </w:r>
      <w:r>
        <w:t xml:space="preserve"> </w:t>
      </w:r>
      <w:r>
        <w:t xml:space="preserve">posição entre 28 preditores (SHAP, XGBoost,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SHAP</m:t>
            </m:r>
          </m:sub>
        </m:sSub>
        <m:r>
          <m:rPr>
            <m:sty m:val="p"/>
          </m:rPr>
          <m:t>=</m:t>
        </m:r>
        <m:r>
          <m:t>50.000</m:t>
        </m:r>
      </m:oMath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Como ler a Figura </w:t>
      </w:r>
      <w:hyperlink w:anchor="fig:shap">
        <w:r>
          <w:rPr>
            <w:rStyle w:val="Hyperlink"/>
            <w:i/>
            <w:iCs/>
          </w:rPr>
          <w:t xml:space="preserve">4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ponto é um trabalhador; quanto mais à direita (ou maior a barra), maior o efeito da variável na renda prevista. A cor indica se o valor da variável é alto ou baixo.</w:t>
      </w:r>
    </w:p>
    <w:p>
      <w:pPr>
        <w:pStyle w:val="BodyText"/>
      </w:pPr>
      <w:r>
        <w:t xml:space="preserve">A Tabela </w:t>
      </w:r>
      <w:hyperlink w:anchor="tab:shap_importance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mostra o</w:t>
      </w:r>
      <w:r>
        <w:t xml:space="preserve"> </w:t>
      </w:r>
      <w:r>
        <w:rPr>
          <w:b/>
          <w:bCs/>
        </w:rPr>
        <w:t xml:space="preserve">contexto do bairro</w:t>
      </w:r>
      <w:r>
        <w:t xml:space="preserve"> </w:t>
      </w:r>
      <w:r>
        <w:t xml:space="preserve">entre os</w:t>
      </w:r>
      <w:r>
        <w:t xml:space="preserve"> </w:t>
      </w:r>
      <w:r>
        <w:t xml:space="preserve">preditores de maior peso do rendimento individual. A variável usada aqui é a renda</w:t>
      </w:r>
      <w:r>
        <w:t xml:space="preserve"> </w:t>
      </w:r>
      <w:r>
        <w:t xml:space="preserve">média da UPA</w:t>
      </w:r>
      <w:r>
        <w:t xml:space="preserve"> </w:t>
      </w:r>
      <w:r>
        <w:rPr>
          <w:i/>
          <w:iCs/>
        </w:rPr>
        <w:t xml:space="preserve">excluindo o próprio indivíduo</w:t>
      </w:r>
      <w:r>
        <w:t xml:space="preserve"> </w:t>
      </w:r>
      <w:r>
        <w:t xml:space="preserve">(</w:t>
      </w:r>
      <w:r>
        <w:rPr>
          <w:i/>
          <w:iCs/>
        </w:rPr>
        <w:t xml:space="preserve">leave-one-out</w:t>
      </w:r>
      <w:r>
        <w:t xml:space="preserve">): a média que</w:t>
      </w:r>
      <w:r>
        <w:t xml:space="preserve"> </w:t>
      </w:r>
      <w:r>
        <w:t xml:space="preserve">inclui a própria pessoa é mecanicamente correlacionada com seu rendimento — o</w:t>
      </w:r>
      <w:r>
        <w:t xml:space="preserve"> </w:t>
      </w:r>
      <w:r>
        <w:t xml:space="preserve">problema do reflexo</w:t>
      </w:r>
      <w:r>
        <w:t xml:space="preserve"> </w:t>
      </w:r>
      <w:r>
        <w:t xml:space="preserve">(Manski, 1993)</w:t>
      </w:r>
      <w:r>
        <w:t xml:space="preserve"> </w:t>
      </w:r>
      <w:r>
        <w:t xml:space="preserve">— e inflaria artificialmente a importância do</w:t>
      </w:r>
      <w:r>
        <w:t xml:space="preserve"> </w:t>
      </w:r>
      <w:r>
        <w:t xml:space="preserve">território. Mesmo sem essa contaminação, o bairro permanece entre os preditores de</w:t>
      </w:r>
      <w:r>
        <w:t xml:space="preserve"> </w:t>
      </w:r>
      <w:r>
        <w:t xml:space="preserve">primeira ordem, o que é consistente com a hipótese de</w:t>
      </w:r>
      <w:r>
        <w:t xml:space="preserve"> </w:t>
      </w:r>
      <w:r>
        <w:t xml:space="preserve">Wilson (1987)</w:t>
      </w:r>
      <w:r>
        <w:t xml:space="preserve">; a</w:t>
      </w:r>
      <w:r>
        <w:t xml:space="preserve"> </w:t>
      </w:r>
      <w:r>
        <w:t xml:space="preserve">leitura correta, porém, é de</w:t>
      </w:r>
      <w:r>
        <w:t xml:space="preserve"> </w:t>
      </w:r>
      <w:r>
        <w:rPr>
          <w:i/>
          <w:iCs/>
        </w:rPr>
        <w:t xml:space="preserve">mediação</w:t>
      </w:r>
      <w:r>
        <w:t xml:space="preserve"> </w:t>
      </w:r>
      <w:r>
        <w:t xml:space="preserve">territorial — choques comuns ao bairro</w:t>
      </w:r>
      <w:r>
        <w:t xml:space="preserve"> </w:t>
      </w:r>
      <w:r>
        <w:t xml:space="preserve">(mercado de trabalho local, transporte, redes) afetam todos os moradores — e não de</w:t>
      </w:r>
      <w:r>
        <w:t xml:space="preserve"> </w:t>
      </w:r>
      <w:r>
        <w:t xml:space="preserve">efeito causal de um vizinho sobre o outro. Como checagem extrema, o mesmo XGBoost</w:t>
      </w:r>
      <w:r>
        <w:t xml:space="preserve"> </w:t>
      </w:r>
      <w:r>
        <w:t xml:space="preserve">estimado</w:t>
      </w:r>
      <w:r>
        <w:t xml:space="preserve"> </w:t>
      </w:r>
      <w:r>
        <w:rPr>
          <w:i/>
          <w:iCs/>
        </w:rPr>
        <w:t xml:space="preserve">sem qualquer</w:t>
      </w:r>
      <w:r>
        <w:t xml:space="preserve"> </w:t>
      </w:r>
      <w:r>
        <w:t xml:space="preserve">renda de vizinhança perde pouco poder preditivo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632</m:t>
        </m:r>
      </m:oMath>
      <w:r>
        <w:t xml:space="preserve"> </w:t>
      </w:r>
      <w:r>
        <w:t xml:space="preserve">contra 0,644 do modelo completo) e, nele, a contribuição</w:t>
      </w:r>
      <w:r>
        <w:t xml:space="preserve"> </w:t>
      </w:r>
      <w:r>
        <w:t xml:space="preserve">média da raça é praticamente a mesma (0,029 contra 0,027 em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SHAP</m:t>
        </m:r>
        <m:r>
          <m:rPr>
            <m:sty m:val="p"/>
          </m:rPr>
          <m:t>|</m:t>
        </m:r>
      </m:oMath>
      <w:r>
        <w:t xml:space="preserve">): o sinal racial não é um artefato da variável de contexto —</w:t>
      </w:r>
      <w:r>
        <w:t xml:space="preserve"> </w:t>
      </w:r>
      <w:r>
        <w:t xml:space="preserve">muda apenas a posição relativa no</w:t>
      </w:r>
      <w:r>
        <w:t xml:space="preserve"> </w:t>
      </w:r>
      <w:r>
        <w:rPr>
          <w:i/>
          <w:iCs/>
        </w:rPr>
        <w:t xml:space="preserve">ranking</w:t>
      </w:r>
      <w:r>
        <w:t xml:space="preserve">,</w:t>
      </w:r>
      <w:r>
        <w:rPr>
          <w:rStyle w:val="FootnoteReference"/>
        </w:rPr>
        <w:footnoteReference w:id="65"/>
      </w:r>
      <w:r>
        <w:t xml:space="preserve"> </w:t>
      </w:r>
      <w:r>
        <w:t xml:space="preserve">porque as demais</w:t>
      </w:r>
      <w:r>
        <w:t xml:space="preserve"> </w:t>
      </w:r>
      <w:r>
        <w:t xml:space="preserve">variáveis absorvem parte do que o território explicava.</w:t>
      </w:r>
    </w:p>
    <w:p>
      <w:pPr>
        <w:pStyle w:val="BodyText"/>
      </w:pPr>
      <w:r>
        <w:t xml:space="preserve">A variável racial ocupa o 14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lugar no ranking de</w:t>
      </w:r>
      <w:r>
        <w:t xml:space="preserve"> </w:t>
      </w:r>
      <w:r>
        <w:t xml:space="preserve">importância mesmo após controlar por todos os demais fatores. A parcela do</w:t>
      </w:r>
      <w:r>
        <w:t xml:space="preserve"> </w:t>
      </w:r>
      <w:r>
        <w:t xml:space="preserve">rendimento predito que o modelo atribui à raça difere em</w:t>
      </w:r>
      <w:r>
        <w:t xml:space="preserve"> </w:t>
      </w:r>
      <w:r>
        <w:t xml:space="preserve">5</w:t>
      </w:r>
      <w:r>
        <w:t xml:space="preserve">,</w:t>
      </w:r>
      <w:r>
        <w:t xml:space="preserve">3% entre trabalhadores negros e</w:t>
      </w:r>
      <w:r>
        <w:t xml:space="preserve"> </w:t>
      </w:r>
      <w:r>
        <w:t xml:space="preserve">brancos</w:t>
      </w:r>
      <w:r>
        <w:rPr>
          <w:rStyle w:val="FootnoteReference"/>
        </w:rPr>
        <w:footnoteReference w:id="66"/>
      </w:r>
      <w:r>
        <w:t xml:space="preserve"> </w:t>
      </w:r>
      <w:r>
        <w:t xml:space="preserve">— o que resta depois de educação, experiência, gênero, contexto de moradia e</w:t>
      </w:r>
      <w:r>
        <w:t xml:space="preserve"> </w:t>
      </w:r>
      <w:r>
        <w:t xml:space="preserve">ocupação. O valor fica a 0</w:t>
      </w:r>
      <w:r>
        <w:t xml:space="preserve">,</w:t>
      </w:r>
      <w:r>
        <w:t xml:space="preserve">4 ponto percentual do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estimado</w:t>
      </w:r>
      <w:r>
        <w:t xml:space="preserve"> </w:t>
      </w:r>
      <w:r>
        <w:t xml:space="preserve">pelo M4 hierárquico, que usa controles semelhantes (o XGBoost acrescenta a renda média do</w:t>
      </w:r>
      <w:r>
        <w:t xml:space="preserve"> </w:t>
      </w:r>
      <w:r>
        <w:t xml:space="preserve">bairro): um algoritmo que não</w:t>
      </w:r>
      <w:r>
        <w:t xml:space="preserve"> </w:t>
      </w:r>
      <w:r>
        <w:t xml:space="preserve">impõe forma funcional alguma chega perto do modelo linear, sinal de que o</w:t>
      </w:r>
      <w:r>
        <w:t xml:space="preserve"> </w:t>
      </w:r>
      <w:r>
        <w:t xml:space="preserve">achado não depende da especificação de Mincer.</w:t>
      </w:r>
    </w:p>
    <w:p>
      <w:pPr>
        <w:pStyle w:val="BodyText"/>
      </w:pPr>
      <w:r>
        <w:t xml:space="preserve">Os dois modelos discordam quanto à raça, e a Tabela </w:t>
      </w:r>
      <w:hyperlink w:anchor="tab:shap_importance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mostra a discordância: no Random Forest ela cai para o</w:t>
      </w:r>
      <w:r>
        <w:t xml:space="preserve"> </w:t>
      </w:r>
      <w:r>
        <w:t xml:space="preserve">20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lugar, com contribuição média próxima de zero,</w:t>
      </w:r>
      <w:r>
        <w:t xml:space="preserve"> </w:t>
      </w:r>
      <w:r>
        <w:t xml:space="preserve">enquanto as demais variáveis têm peso semelhante nos dois. A diferença é de</w:t>
      </w:r>
      <w:r>
        <w:t xml:space="preserve"> </w:t>
      </w:r>
      <w:r>
        <w:t xml:space="preserve">arquitetura, não de dados. Cada árvore da floresta escolhe, em cada nó, a</w:t>
      </w:r>
      <w:r>
        <w:t xml:space="preserve"> </w:t>
      </w:r>
      <w:r>
        <w:t xml:space="preserve">variável de maior ganho entre todas as disponíveis; com a profundidade limitada</w:t>
      </w:r>
      <w:r>
        <w:t xml:space="preserve"> </w:t>
      </w:r>
      <w:r>
        <w:t xml:space="preserve">a dez níveis, uma variável de efeito pequeno perde essa disputa em todos os nós</w:t>
      </w:r>
      <w:r>
        <w:t xml:space="preserve"> </w:t>
      </w:r>
      <w:r>
        <w:t xml:space="preserve">e acaba nunca sendo usada. O</w:t>
      </w:r>
      <w:r>
        <w:t xml:space="preserve"> </w:t>
      </w:r>
      <w:r>
        <w:rPr>
          <w:i/>
          <w:iCs/>
        </w:rPr>
        <w:t xml:space="preserve">boosting</w:t>
      </w:r>
      <w:r>
        <w:t xml:space="preserve"> </w:t>
      </w:r>
      <w:r>
        <w:t xml:space="preserve">trabalha em sequência sobre o</w:t>
      </w:r>
      <w:r>
        <w:t xml:space="preserve"> </w:t>
      </w:r>
      <w:r>
        <w:t xml:space="preserve">resíduo: consumidas as variáveis de maior peso nas primeiras iterações, o que</w:t>
      </w:r>
      <w:r>
        <w:t xml:space="preserve"> </w:t>
      </w:r>
      <w:r>
        <w:t xml:space="preserve">sobra passa a ter estrutura racial, e as árvores seguintes chegam a ela. É por</w:t>
      </w:r>
      <w:r>
        <w:t xml:space="preserve"> </w:t>
      </w:r>
      <w:r>
        <w:t xml:space="preserve">isso que a leitura se apoia no XGBoost, que é também o de melhor ajuste — e é</w:t>
      </w:r>
      <w:r>
        <w:t xml:space="preserve"> </w:t>
      </w:r>
      <w:r>
        <w:t xml:space="preserve">uma ilustração do que a literatura de</w:t>
      </w:r>
      <w:r>
        <w:t xml:space="preserve"> </w:t>
      </w:r>
      <w:r>
        <w:rPr>
          <w:i/>
          <w:iCs/>
        </w:rPr>
        <w:t xml:space="preserve">ensembles</w:t>
      </w:r>
      <w:r>
        <w:t xml:space="preserve"> </w:t>
      </w:r>
      <w:r>
        <w:t xml:space="preserve">chama de sensibilidade</w:t>
      </w:r>
      <w:r>
        <w:t xml:space="preserve"> </w:t>
      </w:r>
      <w:r>
        <w:t xml:space="preserve">do modelo à forma como o erro é decomposto.</w:t>
      </w:r>
    </w:p>
    <w:bookmarkStart w:id="70" w:name="fig:shap_wf"/>
    <w:p>
      <w:pPr>
        <w:pStyle w:val="CaptionedFigure"/>
      </w:pPr>
      <w:r>
        <w:drawing>
          <wp:inline>
            <wp:extent cx="3307080" cy="606255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outputs/figures/shap_waterfall_AB_xgb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6062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mesma variável, sinais opostos: a raça soma à previsão do</w:t>
      </w:r>
      <w:r>
        <w:t xml:space="preserve"> </w:t>
      </w:r>
      <w:r>
        <w:t xml:space="preserve">trabalhador branco e subtrai da do negro. Decomposição SHAP individual</w:t>
      </w:r>
      <w:r>
        <w:t xml:space="preserve"> </w:t>
      </w:r>
      <w:r>
        <w:t xml:space="preserve">(</w:t>
      </w:r>
      <w:r>
        <w:rPr>
          <w:i/>
          <w:iCs/>
        </w:rPr>
        <w:t xml:space="preserve">waterfall</w:t>
      </w:r>
      <w:r>
        <w:t xml:space="preserve">) de dois trabalhadores, cada um no percentil 75 de rendimento</w:t>
      </w:r>
      <w:r>
        <w:t xml:space="preserve"> </w:t>
      </w:r>
      <w:r>
        <w:t xml:space="preserve">do próprio grupo; cada barra é a contribuição de uma variável ao afastamento entre</w:t>
      </w:r>
      <w:r>
        <w:t xml:space="preserve"> </w:t>
      </w:r>
      <w:r>
        <w:t xml:space="preserve">a previsão média da base e a previsão daquele caso, em log-pontos, e as de menor</w:t>
      </w:r>
      <w:r>
        <w:t xml:space="preserve"> </w:t>
      </w:r>
      <w:r>
        <w:t xml:space="preserve">peso estão agrupadas na linha das demais. O painel A é o trabalhador branco, e o B, o</w:t>
      </w:r>
      <w:r>
        <w:t xml:space="preserve"> </w:t>
      </w:r>
      <w:r>
        <w:t xml:space="preserve">negro. Os painéis mostram como o modelo compõe</w:t>
      </w:r>
      <w:r>
        <w:t xml:space="preserve"> </w:t>
      </w:r>
      <w:r>
        <w:t xml:space="preserve">uma previsão: a diferença de rendimento entre os dois é bruta, sem os controles</w:t>
      </w:r>
      <w:r>
        <w:t xml:space="preserve"> </w:t>
      </w:r>
      <w:r>
        <w:t xml:space="preserve">que os modelos aplicam.</w:t>
      </w:r>
    </w:p>
    <w:bookmarkEnd w:id="70"/>
    <w:p>
      <w:pPr>
        <w:pStyle w:val="BodyText"/>
      </w:pPr>
      <w:r>
        <w:rPr>
          <w:i/>
          <w:iCs/>
        </w:rPr>
        <w:t xml:space="preserve">Como ler a Figura </w:t>
      </w:r>
      <w:hyperlink w:anchor="fig:shap_wf">
        <w:r>
          <w:rPr>
            <w:rStyle w:val="Hyperlink"/>
            <w:i/>
            <w:iCs/>
          </w:rPr>
          <w:t xml:space="preserve">5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linha é uma variável de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trabalhador — não de uma média. A barra mostra quanto aquela variável empurra a previsão para cima ou para baixo, partindo da previsão média da base até a previsão final do caso. Compare a linha</w:t>
      </w:r>
      <w:r>
        <w:t xml:space="preserve"> </w:t>
      </w:r>
      <w:r>
        <w:rPr>
          <w:i/>
          <w:iCs/>
        </w:rPr>
        <w:t xml:space="preserve">Raça (negro)</w:t>
      </w:r>
      <w:r>
        <w:t xml:space="preserve"> </w:t>
      </w:r>
      <w:r>
        <w:t xml:space="preserve">nos dois painéis: é a mesma variável, com o sinal trocado — soma no branco, subtrai no negro. Serve para ver como o modelo compõe uma decisão, não para generalizar: a magnitude média está na Figura </w:t>
      </w:r>
      <w:hyperlink w:anchor="fig:shap">
        <w:r>
          <w:rPr>
            <w:rStyle w:val="Hyperlink"/>
          </w:rPr>
          <w:t xml:space="preserve">4</w:t>
        </w:r>
      </w:hyperlink>
      <w:r>
        <w:t xml:space="preserve">, sobre os 50 mil casos.</w:t>
      </w:r>
    </w:p>
    <w:p>
      <w:pPr>
        <w:pStyle w:val="BodyText"/>
      </w:pPr>
      <w:r>
        <w:rPr>
          <w:b/>
          <w:bCs/>
        </w:rPr>
        <w:t xml:space="preserve">BARREIRA II — PENALIDADE SALARIAL E TETO DE VIDRO</w:t>
      </w:r>
    </w:p>
    <w:p>
      <w:pPr>
        <w:pStyle w:val="BodyText"/>
      </w:pPr>
      <w:r>
        <w:rPr>
          <w:i/>
          <w:iCs/>
        </w:rPr>
        <w:t xml:space="preserve">Para quem supera a porta de entrada, qual é o custo de ser negro?</w:t>
      </w:r>
    </w:p>
    <w:bookmarkEnd w:id="71"/>
    <w:bookmarkStart w:id="77" w:name="X03c9c993697b2951d32c364cc1a724101cab21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Decomposição do gap por mediação contextual e ocupacional</w:t>
      </w:r>
    </w:p>
    <w:p>
      <w:pPr>
        <w:pStyle w:val="FirstParagraph"/>
      </w:pPr>
      <w:r>
        <w:t xml:space="preserve">A Tabela </w:t>
      </w:r>
      <w:hyperlink w:anchor="tab:mediacao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resume o resultado central dos modelos HLM: à medida</w:t>
      </w:r>
      <w:r>
        <w:t xml:space="preserve"> </w:t>
      </w:r>
      <w:r>
        <w:t xml:space="preserve">que se adiciona o bairro (intercepto aleatório e contexto da UPA), o estado e a ocupação,</w:t>
      </w:r>
      <w:r>
        <w:t xml:space="preserve"> </w:t>
      </w:r>
      <w:r>
        <w:t xml:space="preserve">o gap racial encolhe de 10,5% (agregado) para 5,6% (M4); o que resta</w:t>
      </w:r>
      <w:r>
        <w:t xml:space="preserve"> </w:t>
      </w:r>
      <w:r>
        <w:t xml:space="preserve">no M4 é a penalidade que nenhum atributo observável explica.</w:t>
      </w:r>
    </w:p>
    <w:bookmarkStart w:id="72" w:name="tab:mediacao"/>
    <w:p>
      <w:pPr>
        <w:pStyle w:val="TableCaption"/>
      </w:pPr>
      <w:r>
        <w:t xml:space="preserve">Decomposição do gap salarial racial por mediação contextual e ocupacional</w:t>
      </w:r>
      <w:r>
        <w:t xml:space="preserve"> </w:t>
      </w:r>
      <w:r>
        <w:t xml:space="preserve">(HLM de dois níveis, indivíduos em UPA, com efeitos fixos de UF; PNAD Contínua</w:t>
      </w:r>
      <w:r>
        <w:t xml:space="preserve"> </w:t>
      </w:r>
      <w:r>
        <w:t xml:space="preserve">2016–2025, população completa). Cada linha</w:t>
      </w:r>
      <w:r>
        <w:t xml:space="preserve"> </w:t>
      </w:r>
      <w:r>
        <w:t xml:space="preserve">acrescenta um bloco de controles ao anterior; à medida que se adiciona contexto e ocupação,</w:t>
      </w:r>
      <w:r>
        <w:t xml:space="preserve"> </w:t>
      </w:r>
      <w:r>
        <w:t xml:space="preserve">o gap encolhe e a mediação acumulada cresce.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composição do gap salarial racial por mediação contextual e ocupacional (HLM de dois níveis, indivíduos em UPA, com efeitos fixos de UF; PNAD Contínua 2016–2025, população completa). Cada linha acrescenta um bloco de controles ao anterior; à medida que se adiciona contexto e ocupação, o gap encolhe e a mediação acumulada cresc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 (controles acumulados)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negro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Gap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Mediação acum.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Agregado: individual + UF, sem efeito de bairro (OLS)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+ intercepto aleatório de bairro (UPA)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+ contexto do bairro (UPA)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+ efeitos fixos de UF (gap líquido)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+ ocupação e formalidade (limite inferior)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47,6</w:t>
            </w:r>
          </w:p>
        </w:tc>
      </w:tr>
    </w:tbl>
    <w:bookmarkEnd w:id="72"/>
    <w:p>
      <w:pPr>
        <w:pStyle w:val="BodyText"/>
      </w:pPr>
      <w:r>
        <w:rPr>
          <w:i/>
          <w:iCs/>
        </w:rPr>
        <w:t xml:space="preserve">Como ler:</w:t>
      </w:r>
      <w:r>
        <w:t xml:space="preserve"> </w:t>
      </w:r>
      <w:r>
        <w:t xml:space="preserve">cada linha adiciona algo à anterior.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é a penalidade racial em log-rendimento (mais próximo de zero = menor gap);</w:t>
      </w:r>
      <w:r>
        <w:t xml:space="preserve"> </w:t>
      </w:r>
      <w:r>
        <w:t xml:space="preserve">“Gap (%)”</w:t>
      </w:r>
      <w:r>
        <w:t xml:space="preserve"> </w:t>
      </w:r>
      <w:r>
        <w:t xml:space="preserve">é a</w:t>
      </w:r>
      <w:r>
        <w:t xml:space="preserve"> </w:t>
      </w:r>
      <w:r>
        <w:t xml:space="preserve">penalidade em % de renda;</w:t>
      </w:r>
      <w:r>
        <w:t xml:space="preserve"> </w:t>
      </w:r>
      <w:r>
        <w:t xml:space="preserve">“Mediação acum.”</w:t>
      </w:r>
      <w:r>
        <w:t xml:space="preserve"> é a fração do gap agregado (primeira linha) já</w:t>
      </w:r>
      <w:r>
        <w:t xml:space="preserve"> </w:t>
      </w:r>
      <w:r>
        <w:t xml:space="preserve">explicada. O salto da primeira para a segunda linha é a mediação pela segregação residencial:</w:t>
      </w:r>
      <w:r>
        <w:t xml:space="preserve"> </w:t>
      </w:r>
      <w:r>
        <w:t xml:space="preserve">comparar negros e brancos</w:t>
      </w:r>
      <w:r>
        <w:t xml:space="preserve"> </w:t>
      </w:r>
      <w:r>
        <w:rPr>
          <w:i/>
          <w:iCs/>
        </w:rPr>
        <w:t xml:space="preserve">do mesmo bairro</w:t>
      </w:r>
      <w:r>
        <w:t xml:space="preserve"> </w:t>
      </w:r>
      <w:r>
        <w:t xml:space="preserve">reduz o gap em 39,5%. Do modelo agregado</w:t>
      </w:r>
      <w:r>
        <w:t xml:space="preserve"> </w:t>
      </w:r>
      <w:r>
        <w:t xml:space="preserve">ao M4 o gap cai de 10,5% para 5,6%: 47,6% do gap é mediado por</w:t>
      </w:r>
      <w:r>
        <w:t xml:space="preserve"> </w:t>
      </w:r>
      <w:r>
        <w:t xml:space="preserve">onde a pessoa mora, o estado e a ocupação que acessa — e a penalidade de 5,6% persiste</w:t>
      </w:r>
      <w:r>
        <w:t xml:space="preserve"> </w:t>
      </w:r>
      <w:r>
        <w:t xml:space="preserve">dentro da mesma ocupação (limite inferior, pois a ocupação é ela própria resultado da barreira de acesso). O agregado inclui efeitos fixos de UF e o M1 e o M2 não (o M3 os reintroduz). Reestimado com UF, na mesma base, o M1 dá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negro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0645</m:t>
        </m:r>
      </m:oMath>
      <w:r>
        <w:t xml:space="preserve"> </w:t>
      </w:r>
      <w:r>
        <w:t xml:space="preserve">e uma mediação pelo bairro de 41,6% (contra 39,5% na tabela): com o estado mantido no modelo, a mediação pelo bairro é ainda maior — a leitura da tabela é conservadora. Sem os efeitos fixos de UF, o gap agregado seria de 20,1% — a diferença entre estados é, ela própria, parte do diferencial.</w:t>
      </w:r>
    </w:p>
    <w:bookmarkStart w:id="76" w:name="fig:hlm_gap"/>
    <w:p>
      <w:pPr>
        <w:pStyle w:val="CaptionedFigure"/>
      </w:pPr>
      <w:r>
        <w:drawing>
          <wp:inline>
            <wp:extent cx="4907280" cy="193708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outputs/figures/fig_hlm_gap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93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Comparar vizinhos reduz o gap em cerca de 40% — e o que</w:t>
      </w:r>
      <w:r>
        <w:t xml:space="preserve"> </w:t>
      </w:r>
      <w:r>
        <w:t xml:space="preserve">sobra não é explicado por escolaridade, idade, sexo, estado nem ocupação. Barras: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de cada modelo; traço: IC 95% (estreito pelo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 milhões);</w:t>
      </w:r>
      <w:r>
        <w:t xml:space="preserve"> </w:t>
      </w:r>
      <w:r>
        <w:t xml:space="preserve">rótulo: gap em % de renda. Em azul, o M3 (gap líquido).</w:t>
      </w:r>
    </w:p>
    <w:bookmarkEnd w:id="76"/>
    <w:p>
      <w:pPr>
        <w:pStyle w:val="BodyText"/>
      </w:pPr>
      <w:r>
        <w:rPr>
          <w:i/>
          <w:iCs/>
        </w:rPr>
        <w:t xml:space="preserve">Como ler a Figura </w:t>
      </w:r>
      <w:hyperlink w:anchor="fig:hlm_gap">
        <w:r>
          <w:rPr>
            <w:rStyle w:val="Hyperlink"/>
            <w:i/>
            <w:iCs/>
          </w:rPr>
          <w:t xml:space="preserve">6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barra é um modelo da sequência e, de cima para baixo, acrescenta-se um bloco de controles ao anterior. O comprimento da barra é a penalidade racial em log-rendimento e o rótulo dentro dela, a mesma penalidade em % de renda; o traço fino é o intervalo de confiança de 95% com erro-padrão agrupado por UPA. Em azul, o M3 — o gap líquido.</w:t>
      </w:r>
    </w:p>
    <w:bookmarkEnd w:id="77"/>
    <w:bookmarkStart w:id="83" w:name="X0e69078f56ff2fc58d4b5157c72cc4a5dec12b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Decomposição de Oaxaca–Blinder: composição</w:t>
      </w:r>
      <w:r>
        <w:t xml:space="preserve"> </w:t>
      </w:r>
      <w:r>
        <w:rPr>
          <w:i/>
          <w:iCs/>
        </w:rPr>
        <w:t xml:space="preserve">vs.</w:t>
      </w:r>
      <w:r>
        <w:t xml:space="preserve"> discriminação</w:t>
      </w:r>
    </w:p>
    <w:p>
      <w:pPr>
        <w:pStyle w:val="FirstParagraph"/>
      </w:pPr>
      <w:r>
        <w:t xml:space="preserve">De que é feito o gap? Duas explicações rivalizam desde</w:t>
      </w:r>
      <w:r>
        <w:t xml:space="preserve"> </w:t>
      </w:r>
      <w:r>
        <w:t xml:space="preserve">Becker (1957)</w:t>
      </w:r>
      <w:r>
        <w:t xml:space="preserve">, e</w:t>
      </w:r>
      <w:r>
        <w:t xml:space="preserve"> </w:t>
      </w:r>
      <w:r>
        <w:t xml:space="preserve">elas pedem políticas opostas. Ou negros e brancos chegam ao mercado com características</w:t>
      </w:r>
      <w:r>
        <w:t xml:space="preserve"> </w:t>
      </w:r>
      <w:r>
        <w:t xml:space="preserve">diferentes e o mercado paga igual por características iguais — o gap é</w:t>
      </w:r>
      <w:r>
        <w:t xml:space="preserve"> </w:t>
      </w:r>
      <w:r>
        <w:rPr>
          <w:i/>
          <w:iCs/>
        </w:rPr>
        <w:t xml:space="preserve">composição</w:t>
      </w:r>
      <w:r>
        <w:t xml:space="preserve">, e a política tem de agir antes do mercado, na escola e na formação.</w:t>
      </w:r>
      <w:r>
        <w:t xml:space="preserve"> </w:t>
      </w:r>
      <w:r>
        <w:t xml:space="preserve">Ou chegam com as mesmas características e o mercado paga diferente — o gap é</w:t>
      </w:r>
      <w:r>
        <w:t xml:space="preserve"> </w:t>
      </w:r>
      <w:r>
        <w:rPr>
          <w:i/>
          <w:iCs/>
        </w:rPr>
        <w:t xml:space="preserve">preço</w:t>
      </w:r>
      <w:r>
        <w:t xml:space="preserve">, e a política tem de agir dentro dele, na contratação e na fiscalização.</w:t>
      </w:r>
      <w:r>
        <w:t xml:space="preserve"> </w:t>
      </w:r>
      <w:r>
        <w:t xml:space="preserve">A distinção é empírica, e a decomposição de Oaxaca–Blinder foi construída para fazê-la.</w:t>
      </w:r>
    </w:p>
    <w:p>
      <w:pPr>
        <w:pStyle w:val="BodyText"/>
      </w:pPr>
      <w:r>
        <w:t xml:space="preserve">A decomposição de Oaxaca–Blinder separa o gap bruto de log-rendimento</w:t>
      </w:r>
      <w:r>
        <w:t xml:space="preserve"> </w:t>
      </w:r>
      <w:r>
        <w:t xml:space="preserve">(0,4252 log-pontos, ou 53,0%) em uma parcela explicada por diferenças de</w:t>
      </w:r>
      <w:r>
        <w:t xml:space="preserve"> </w:t>
      </w:r>
      <w:r>
        <w:t xml:space="preserve">dotações e uma parcela não explicada (retornos diferenciais — limite inferior da</w:t>
      </w:r>
      <w:r>
        <w:t xml:space="preserve"> </w:t>
      </w:r>
      <w:r>
        <w:t xml:space="preserve">discriminação). A Tabela </w:t>
      </w:r>
      <w:hyperlink w:anchor="tab:oaxaca_blinder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apresenta duas especificações,</w:t>
      </w:r>
      <w:r>
        <w:t xml:space="preserve"> </w:t>
      </w:r>
      <w:r>
        <w:t xml:space="preserve">porque ocupação e formalidade são</w:t>
      </w:r>
      <w:r>
        <w:t xml:space="preserve"> </w:t>
      </w:r>
      <w:r>
        <w:rPr>
          <w:i/>
          <w:iCs/>
        </w:rPr>
        <w:t xml:space="preserve">bad controls</w:t>
      </w:r>
      <w:r>
        <w:t xml:space="preserve"> </w:t>
      </w:r>
      <w:r>
        <w:t xml:space="preserve">(Angrist; Pischke, 2009)</w:t>
      </w:r>
      <w:r>
        <w:t xml:space="preserve">:</w:t>
      </w:r>
      <w:r>
        <w:t xml:space="preserve"> </w:t>
      </w:r>
      <w:r>
        <w:t xml:space="preserve">são elas próprias resultado da discriminação. Em (A), com os controles do HLM M3</w:t>
      </w:r>
      <w:r>
        <w:t xml:space="preserve"> </w:t>
      </w:r>
      <w:r>
        <w:t xml:space="preserve">(capital humano, jornada, contexto de UPA e estado), 17,9% do gap não é</w:t>
      </w:r>
      <w:r>
        <w:t xml:space="preserve"> </w:t>
      </w:r>
      <w:r>
        <w:t xml:space="preserve">explicado por características observáveis; em (B), tratando também formalidade e grupo</w:t>
      </w:r>
      <w:r>
        <w:t xml:space="preserve"> </w:t>
      </w:r>
      <w:r>
        <w:t xml:space="preserve">CBO como dotações, a parcela não explicada cai para 15,4% — a</w:t>
      </w:r>
      <w:r>
        <w:t xml:space="preserve"> </w:t>
      </w:r>
      <w:r>
        <w:t xml:space="preserve">discriminação salarial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 ocupação. A diferença entre as duas</w:t>
      </w:r>
      <w:r>
        <w:t xml:space="preserve"> </w:t>
      </w:r>
      <w:r>
        <w:t xml:space="preserve">(2,5 pontos percentuais) é a parcela da discriminação que opera pela</w:t>
      </w:r>
      <w:r>
        <w:t xml:space="preserve"> </w:t>
      </w:r>
      <w:r>
        <w:rPr>
          <w:i/>
          <w:iCs/>
        </w:rPr>
        <w:t xml:space="preserve">porta de entrada</w:t>
      </w:r>
      <w:r>
        <w:t xml:space="preserve"> </w:t>
      </w:r>
      <w:r>
        <w:t xml:space="preserve">das ocupações, e não pelo salário — exatamente o que o</w:t>
      </w:r>
      <w:r>
        <w:t xml:space="preserve"> </w:t>
      </w:r>
      <w:r>
        <w:t xml:space="preserve">GLMM de acesso mede adiante. Os erros-padrão vêm de bootstrap em blocos por UPA.</w:t>
      </w:r>
    </w:p>
    <w:p>
      <w:pPr>
        <w:pStyle w:val="BodyText"/>
      </w:pPr>
      <w:r>
        <w:rPr>
          <w:b/>
          <w:bCs/>
        </w:rPr>
        <w:t xml:space="preserve">Pressupostos das regressões por grupo.</w:t>
      </w:r>
      <w:r>
        <w:t xml:space="preserve"> </w:t>
      </w:r>
      <w:r>
        <w:t xml:space="preserve">As duas regressões auxiliares</w:t>
      </w:r>
      <w:r>
        <w:t xml:space="preserve"> </w:t>
      </w:r>
      <w:r>
        <w:t xml:space="preserve">(brancos e negros) foram submetidas aos testes de Breusch–Pagan e RESET</w:t>
      </w:r>
      <w:r>
        <w:t xml:space="preserve"> </w:t>
      </w:r>
      <w:r>
        <w:t xml:space="preserve">(Fávero; Belfiore, 2024, cap. 12)</w:t>
      </w:r>
      <w:r>
        <w:t xml:space="preserve">. Há heterocedasticidade — esperada em log-rendimento —</w:t>
      </w:r>
      <w:r>
        <w:t xml:space="preserve"> </w:t>
      </w:r>
      <w:r>
        <w:t xml:space="preserve">mas de magnitude modesta: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da regressão auxiliar do Breusch–Pagan é 0,067</w:t>
      </w:r>
      <w:r>
        <w:t xml:space="preserve"> </w:t>
      </w:r>
      <w:r>
        <w:t xml:space="preserve">(brancos) e 0,066 (negros), e é justamente por isso que os erros-padrão são</w:t>
      </w:r>
      <w:r>
        <w:t xml:space="preserve"> </w:t>
      </w:r>
      <w:r>
        <w:t xml:space="preserve">agrupados por UPA e a decomposição usa bootstrap em blocos. O RESET rejeita a forma</w:t>
      </w:r>
      <w:r>
        <w:t xml:space="preserve"> </w:t>
      </w:r>
      <w:r>
        <w:t xml:space="preserve">funcional linear, mas o ganho de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ao acrescentar potências do valor predito é de</w:t>
      </w:r>
      <w:r>
        <w:t xml:space="preserve"> </w:t>
      </w:r>
      <w:r>
        <w:t xml:space="preserve">0,0020 (brancos) e 0,0060 (negros) — irrelevante para a decomposição.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 milhões, ambos os testes rejeitam qualquer hipótese nula pontual; o que importa é a</w:t>
      </w:r>
      <w:r>
        <w:t xml:space="preserve"> </w:t>
      </w:r>
      <w:r>
        <w:t xml:space="preserve">magnitude, não o</w:t>
      </w:r>
      <w:r>
        <w:t xml:space="preserve"> </w:t>
      </w:r>
      <m:oMath>
        <m:r>
          <m:t>p</m:t>
        </m:r>
      </m:oMath>
      <w:r>
        <w:t xml:space="preserve">-valor</w:t>
      </w:r>
      <w:r>
        <w:t xml:space="preserve"> </w:t>
      </w:r>
      <w:r>
        <w:t xml:space="preserve">(Angrist; Pischke, 2009)</w:t>
      </w:r>
      <w:r>
        <w:t xml:space="preserve">.</w:t>
      </w:r>
    </w:p>
    <w:bookmarkStart w:id="78" w:name="tab:oaxaca_blinder"/>
    <w:p>
      <w:pPr>
        <w:pStyle w:val="TableCaption"/>
      </w:pPr>
      <w:r>
        <w:t xml:space="preserve">Decomposição de Oaxaca–Blinder (</w:t>
      </w:r>
      <w:r>
        <w:rPr>
          <w:i/>
          <w:iCs/>
        </w:rPr>
        <w:t xml:space="preserve">twofold</w:t>
      </w:r>
      <w:r>
        <w:t xml:space="preserve">, referência: estrutura de preços</w:t>
      </w:r>
      <w:r>
        <w:t xml:space="preserve"> </w:t>
      </w:r>
      <w:r>
        <w:t xml:space="preserve">dos brancos) do gap salarial racial em duas especificações. (A) </w:t>
      </w:r>
      <w:r>
        <w:rPr>
          <w:i/>
          <w:iCs/>
        </w:rPr>
        <w:t xml:space="preserve">Capital humano +</w:t>
      </w:r>
      <w:r>
        <w:rPr>
          <w:i/>
          <w:iCs/>
        </w:rPr>
        <w:t xml:space="preserve"> </w:t>
      </w:r>
      <w:r>
        <w:rPr>
          <w:i/>
          <w:iCs/>
        </w:rPr>
        <w:t xml:space="preserve">contexto</w:t>
      </w:r>
      <w:r>
        <w:t xml:space="preserve">: escolaridade, idade, sexo, jornada, área urbana, contexto de UPA e efeitos fixos</w:t>
      </w:r>
      <w:r>
        <w:t xml:space="preserve"> </w:t>
      </w:r>
      <w:r>
        <w:t xml:space="preserve">de UF — os mesmos controles do HLM M3; a parcela não explicada é comparável à da literatura.</w:t>
      </w:r>
      <w:r>
        <w:t xml:space="preserve"> </w:t>
      </w:r>
      <w:r>
        <w:t xml:space="preserve">(B) </w:t>
      </w:r>
      <w:r>
        <w:rPr>
          <w:i/>
          <w:iCs/>
        </w:rPr>
        <w:t xml:space="preserve">Acesso</w:t>
      </w:r>
      <w:r>
        <w:t xml:space="preserve">: (A) + formalidade e grupo CBO tratados como dotações (os controles do M4) — a parcela não explicada é a discriminação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 ocupação, um limite inferior, pois a segregação ocupacional é ela própria</w:t>
      </w:r>
      <w:r>
        <w:t xml:space="preserve"> </w:t>
      </w:r>
      <w:r>
        <w:t xml:space="preserve">discriminatória</w:t>
      </w:r>
      <w:r>
        <w:t xml:space="preserve"> </w:t>
      </w:r>
      <w:r>
        <w:t xml:space="preserve">(Oaxaca; Ransom, 1999)</w:t>
      </w:r>
      <w:r>
        <w:t xml:space="preserve"> </w:t>
      </w:r>
      <w:r>
        <w:t xml:space="preserve">(ver o GLMM de acesso, Tabela </w:t>
      </w:r>
      <w:hyperlink w:anchor="tab:glmm_glassceil">
        <w:r>
          <w:rPr>
            <w:rStyle w:val="Hyperlink"/>
          </w:rPr>
          <w:t xml:space="preserve">14</w:t>
        </w:r>
      </w:hyperlink>
      <w:r>
        <w:t xml:space="preserve">).</w:t>
      </w:r>
      <w:r>
        <w:t xml:space="preserve"> </w:t>
      </w:r>
      <w:r>
        <w:t xml:space="preserve">População completa da PEA com renda positiva (</w:t>
      </w:r>
      <m:oMath>
        <m:r>
          <m:t>N</m:t>
        </m:r>
        <m:r>
          <m:rPr>
            <m:sty m:val="p"/>
          </m:rPr>
          <m:t>=</m:t>
        </m:r>
        <m:r>
          <m:t>7.699</m:t>
        </m:r>
        <m:r>
          <m:t>.278</m:t>
        </m:r>
      </m:oMath>
      <w:r>
        <w:t xml:space="preserve">; 41.459 UPAs).</w:t>
      </w:r>
      <w:r>
        <w:t xml:space="preserve"> </w:t>
      </w:r>
      <w:r>
        <w:t xml:space="preserve">Erros-padrão entre parênteses: bootstrap em blocos por UPA (500 réplicas).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composição de Oaxaca–Blinder (twofold, referência: estrutura de preços dos brancos) do gap salarial racial em duas especificações. (A) Capital humano + contexto: escolaridade, idade, sexo, jornada, área urbana, contexto de UPA e efeitos fixos de UF — os mesmos controles do HLM M3; a parcela não explicada é comparável à da literatura. (B) Acesso: (A) + formalidade e grupo CBO tratados como dotações (os controles do M4) — a parcela não explicada é a discriminação dentro da ocupação, um limite inferior, pois a segregação ocupacional é ela própria discriminatória (Oaxaca; Ransom, 1999) (ver o GLMM de acesso, Tabela 14). População completa da PEA com renda positiva (N = 7.699.278; 41.459 UPAs). Erros-padrão entre parênteses: bootstrap em blocos por UPA (500 réplica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(A) Sem ocupação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(B) Acesso (com ocupação)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Componente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log-pontos (SE)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do 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log-pontos (SE)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do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total (branco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negro)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0,4252 (0,0033)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0,4252 (0,0032)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Dotações (características observáveis)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0,3491 (0,0033)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0,3598 (0,0032)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explicado (retornos / discriminação)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0,0761 (0,0012)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0,0654 (0,0011)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</w:t>
            </w:r>
          </w:p>
        </w:tc>
      </w:tr>
    </w:tbl>
    <w:bookmarkEnd w:id="78"/>
    <w:p>
      <w:pPr>
        <w:pStyle w:val="BodyText"/>
      </w:pPr>
      <w:r>
        <w:rPr>
          <w:i/>
          <w:iCs/>
        </w:rPr>
        <w:t xml:space="preserve">Como ler:</w:t>
      </w:r>
      <w:r>
        <w:t xml:space="preserve"> </w:t>
      </w:r>
      <w:r>
        <w:t xml:space="preserve">em cada especificação, Dotações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Não explicado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Gap total.</w:t>
      </w:r>
      <w:r>
        <w:t xml:space="preserve"> </w:t>
      </w:r>
      <w:r>
        <w:t xml:space="preserve">De (A) para (B), parte do</w:t>
      </w:r>
      <w:r>
        <w:t xml:space="preserve"> </w:t>
      </w:r>
      <w:r>
        <w:t xml:space="preserve">“não explicado”</w:t>
      </w:r>
      <w:r>
        <w:t xml:space="preserve"> </w:t>
      </w:r>
      <w:r>
        <w:t xml:space="preserve">migra para</w:t>
      </w:r>
      <w:r>
        <w:t xml:space="preserve"> </w:t>
      </w:r>
      <w:r>
        <w:t xml:space="preserve">“dotações”</w:t>
      </w:r>
      <w:r>
        <w:t xml:space="preserve"> </w:t>
      </w:r>
      <w:r>
        <w:t xml:space="preserve">porque a ocupação passa a</w:t>
      </w:r>
      <w:r>
        <w:t xml:space="preserve"> </w:t>
      </w:r>
      <w:r>
        <w:t xml:space="preserve">ser tratada como característica — é exatamente a parcela da discriminação que opera pela</w:t>
      </w:r>
      <w:r>
        <w:t xml:space="preserve"> </w:t>
      </w:r>
      <w:r>
        <w:rPr>
          <w:i/>
          <w:iCs/>
        </w:rPr>
        <w:t xml:space="preserve">porta de entrada</w:t>
      </w:r>
      <w:r>
        <w:t xml:space="preserve">, e não pelo salário.</w:t>
      </w:r>
    </w:p>
    <w:bookmarkStart w:id="82" w:name="fig:ob_cascata"/>
    <w:p>
      <w:pPr>
        <w:pStyle w:val="CaptionedFigure"/>
      </w:pPr>
      <w:r>
        <w:drawing>
          <wp:inline>
            <wp:extent cx="5067300" cy="15883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outputs/figures/fig_ob_cascata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8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Tratar a ocupação como</w:t>
      </w:r>
      <w:r>
        <w:t xml:space="preserve"> </w:t>
      </w:r>
      <w:r>
        <w:t xml:space="preserve">“característica”</w:t>
      </w:r>
      <w:r>
        <w:t xml:space="preserve"> </w:t>
      </w:r>
      <w:r>
        <w:t xml:space="preserve">reduz a discriminação medida de</w:t>
      </w:r>
      <w:r>
        <w:t xml:space="preserve"> </w:t>
      </w:r>
      <w:r>
        <w:t xml:space="preserve">17,9% para 15,4% do gap. Os 2,5 pontos que somem são a parte que</w:t>
      </w:r>
      <w:r>
        <w:t xml:space="preserve"> </w:t>
      </w:r>
      <w:r>
        <w:t xml:space="preserve">opera na porta de entrada das ocupações — medida diretamente pelo modelo de acesso.</w:t>
      </w:r>
    </w:p>
    <w:bookmarkEnd w:id="82"/>
    <w:p>
      <w:pPr>
        <w:pStyle w:val="BodyText"/>
      </w:pPr>
      <w:r>
        <w:rPr>
          <w:i/>
          <w:iCs/>
        </w:rPr>
        <w:t xml:space="preserve">Como ler a Figura </w:t>
      </w:r>
      <w:hyperlink w:anchor="fig:ob_cascata">
        <w:r>
          <w:rPr>
            <w:rStyle w:val="Hyperlink"/>
            <w:i/>
            <w:iCs/>
          </w:rPr>
          <w:t xml:space="preserve">7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painel é uma cascata lida da esquerda para a direita. A primeira barra é o gap total em log-rendimento; a segunda desconta a parcela atribuída a diferenças de características (dotações); a terceira, em azul, é o que sobra sem explicação. A única diferença entre os painéis é se a ocupação entra ou não como característica.</w:t>
      </w:r>
    </w:p>
    <w:bookmarkEnd w:id="83"/>
    <w:bookmarkStart w:id="90" w:name="subsec:qr_rif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Regressão Quantílica e RIF-OB: teto de vidro e</w:t>
      </w:r>
      <w:r>
        <w:t xml:space="preserve"> </w:t>
      </w:r>
      <w:r>
        <w:rPr>
          <w:i/>
          <w:iCs/>
        </w:rPr>
        <w:t xml:space="preserve">sticky floor</w:t>
      </w:r>
    </w:p>
    <w:p>
      <w:pPr>
        <w:pStyle w:val="FirstParagraph"/>
      </w:pPr>
      <w:r>
        <w:t xml:space="preserve">A penalidade racial é a mesma em toda a distribuição de renda? Nada obriga que seja,</w:t>
      </w:r>
      <w:r>
        <w:t xml:space="preserve"> </w:t>
      </w:r>
      <w:r>
        <w:t xml:space="preserve">e as duas possibilidades apontam para lugares diferentes. Se ela crescer rumo ao topo, o</w:t>
      </w:r>
      <w:r>
        <w:t xml:space="preserve"> </w:t>
      </w:r>
      <w:r>
        <w:t xml:space="preserve">problema é um teto de vidro: quanto mais alto se sobe, mais a cor pesa, e o alvo da</w:t>
      </w:r>
      <w:r>
        <w:t xml:space="preserve"> </w:t>
      </w:r>
      <w:r>
        <w:t xml:space="preserve">política são as posições de comando. Se for maior na base, o problema é um piso</w:t>
      </w:r>
      <w:r>
        <w:t xml:space="preserve"> </w:t>
      </w:r>
      <w:r>
        <w:t xml:space="preserve">pegajoso, e concentrar esforços nas elites profissionais erra o alvo por inteiro. Os</w:t>
      </w:r>
      <w:r>
        <w:t xml:space="preserve"> </w:t>
      </w:r>
      <w:r>
        <w:t xml:space="preserve">resultados a seguir mostram que as duas leituras estão corretas — porque respondem a</w:t>
      </w:r>
      <w:r>
        <w:t xml:space="preserve"> </w:t>
      </w:r>
      <w:r>
        <w:t xml:space="preserve">perguntas diferentes, e a subseção termina explicando por que não se contradizem.</w:t>
      </w:r>
    </w:p>
    <w:p>
      <w:pPr>
        <w:pStyle w:val="BodyText"/>
      </w:pPr>
      <w:r>
        <w:t xml:space="preserve">A regressão quantílica estima o gap em cada ponto da distribuição de renda; a</w:t>
      </w:r>
      <w:r>
        <w:t xml:space="preserve"> </w:t>
      </w:r>
      <w:r>
        <w:t xml:space="preserve">RIF-OB separa, por quantil, dotação e retorno. A Tabela </w:t>
      </w:r>
      <w:hyperlink w:anchor="tab:qr_melhorias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mostra a penalidade</w:t>
      </w:r>
      <w:r>
        <w:t xml:space="preserve"> </w:t>
      </w:r>
      <w:r>
        <w:rPr>
          <w:i/>
          <w:iCs/>
        </w:rPr>
        <w:t xml:space="preserve">condicional</w:t>
      </w:r>
      <w:r>
        <w:t xml:space="preserve"> </w:t>
      </w:r>
      <w:r>
        <w:t xml:space="preserve">crescendo rumo ao topo (teto de vidro entre</w:t>
      </w:r>
      <w:r>
        <w:t xml:space="preserve"> </w:t>
      </w:r>
      <w:r>
        <w:t xml:space="preserve">pessoas de mesmo perfil); a</w:t>
      </w:r>
      <w:r>
        <w:t xml:space="preserve"> </w:t>
      </w:r>
      <w:r>
        <w:t xml:space="preserve">Tabela </w:t>
      </w:r>
      <w:hyperlink w:anchor="tab:rif_ob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revela o padrão complementar: o componente de retorno</w:t>
      </w:r>
      <w:r>
        <w:t xml:space="preserve"> </w:t>
      </w:r>
      <w:r>
        <w:t xml:space="preserve">(discriminação proporcional) é maior na base e</w:t>
      </w:r>
      <w:r>
        <w:t xml:space="preserve"> </w:t>
      </w:r>
      <w:r>
        <w:rPr>
          <w:i/>
          <w:iCs/>
        </w:rPr>
        <w:t xml:space="preserve">decresce</w:t>
      </w:r>
      <w:r>
        <w:t xml:space="preserve"> </w:t>
      </w:r>
      <w:r>
        <w:t xml:space="preserve">rumo ao topo</w:t>
      </w:r>
      <w:r>
        <w:t xml:space="preserve"> </w:t>
      </w:r>
      <w:r>
        <w:t xml:space="preserve">(</w:t>
      </w:r>
      <w:r>
        <w:rPr>
          <w:i/>
          <w:iCs/>
        </w:rPr>
        <w:t xml:space="preserve">sticky floor</w:t>
      </w:r>
      <w:r>
        <w:t xml:space="preserve">).</w:t>
      </w:r>
      <w:r>
        <w:t xml:space="preserve"> </w:t>
      </w:r>
      <w:r>
        <w:rPr>
          <w:i/>
          <w:iCs/>
        </w:rPr>
        <w:t xml:space="preserve">Como ler:</w:t>
      </w:r>
      <w:r>
        <w:t xml:space="preserve"> </w:t>
      </w:r>
      <w:r>
        <w:t xml:space="preserve">na Tabela </w:t>
      </w:r>
      <w:hyperlink w:anchor="tab:rif_ob">
        <w:r>
          <w:rPr>
            <w:rStyle w:val="Hyperlink"/>
          </w:rPr>
          <w:t xml:space="preserve">13</w:t>
        </w:r>
      </w:hyperlink>
      <w:r>
        <w:t xml:space="preserve">, Dotações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Retornos</w:t>
      </w:r>
      <w:r>
        <w:t xml:space="preserve"> </w:t>
      </w:r>
      <m:oMath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do gap RIF — a coluna ao lado do gap observado —,</w:t>
      </w:r>
      <w:r>
        <w:t xml:space="preserve"> </w:t>
      </w:r>
      <w:r>
        <w:t xml:space="preserve">e a coluna Retornos cai de</w:t>
      </w:r>
      <w:r>
        <w:t xml:space="preserve"> </w:t>
      </w:r>
      <m:oMath>
        <m:r>
          <m:t>26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(q10) a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%</m:t>
        </m:r>
      </m:oMath>
      <w:r>
        <w:t xml:space="preserve"> </w:t>
      </w:r>
      <w:r>
        <w:t xml:space="preserve">(q90):</w:t>
      </w:r>
      <w:r>
        <w:t xml:space="preserve"> </w:t>
      </w:r>
      <w:r>
        <w:t xml:space="preserve">a parcela não explicada pesa mais na base. Como a RIF usa os controles da</w:t>
      </w:r>
      <w:r>
        <w:t xml:space="preserve"> </w:t>
      </w:r>
      <w:r>
        <w:t xml:space="preserve">Oaxaca–Blinder</w:t>
      </w:r>
      <w:r>
        <w:t xml:space="preserve"> </w:t>
      </w:r>
      <w:r>
        <w:rPr>
          <w:i/>
          <w:iCs/>
        </w:rPr>
        <w:t xml:space="preserve">sem</w:t>
      </w:r>
      <w:r>
        <w:t xml:space="preserve"> </w:t>
      </w:r>
      <w:r>
        <w:t xml:space="preserve">ocupação, sua parcela de retornos na mediana</w:t>
      </w:r>
      <w:r>
        <w:t xml:space="preserve"> </w:t>
      </w:r>
      <w:r>
        <w:t xml:space="preserve">(</w:t>
      </w:r>
      <m:oMath>
        <m:r>
          <m:t>20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%</m:t>
        </m:r>
      </m:oMath>
      <w:r>
        <w:t xml:space="preserve">) se compara aos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%</m:t>
        </m:r>
      </m:oMath>
      <w:r>
        <w:t xml:space="preserve"> </w:t>
      </w:r>
      <w:r>
        <w:t xml:space="preserve">da especificação (A)</w:t>
      </w:r>
      <w:r>
        <w:t xml:space="preserve"> </w:t>
      </w:r>
      <w:r>
        <w:t xml:space="preserve">da Tabela </w:t>
      </w:r>
      <w:hyperlink w:anchor="tab:oaxaca_blinder">
        <w:r>
          <w:rPr>
            <w:rStyle w:val="Hyperlink"/>
          </w:rPr>
          <w:t xml:space="preserve">11</w:t>
        </w:r>
      </w:hyperlink>
      <w:r>
        <w:t xml:space="preserve">, e não aos</w:t>
      </w:r>
      <w:r>
        <w:t xml:space="preserve"> </w:t>
      </w:r>
      <m:oMath>
        <m:r>
          <m:t>15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da (B), que trata a</w:t>
      </w:r>
      <w:r>
        <w:t xml:space="preserve"> </w:t>
      </w:r>
      <w:r>
        <w:t xml:space="preserve">ocupação como característica. O q25 pede cautela: ele cai sobre o salário mínimo,</w:t>
      </w:r>
      <w:r>
        <w:t xml:space="preserve"> </w:t>
      </w:r>
      <w:r>
        <w:t xml:space="preserve">onde muitos trabalhadores têm exatamente a mesma renda. Num ponto de massa assim a</w:t>
      </w:r>
      <w:r>
        <w:t xml:space="preserve"> </w:t>
      </w:r>
      <w:r>
        <w:t xml:space="preserve">densidade que a RIF usa não é bem definida e depende da largura de banda do</w:t>
      </w:r>
      <w:r>
        <w:t xml:space="preserve"> </w:t>
      </w:r>
      <w:r>
        <w:rPr>
          <w:i/>
          <w:iCs/>
        </w:rPr>
        <w:t xml:space="preserve">kernel</w:t>
      </w:r>
      <w:r>
        <w:t xml:space="preserve">; por isso, no q25, o gap que a RIF decompõe fica bem abaixo do</w:t>
      </w:r>
      <w:r>
        <w:t xml:space="preserve"> </w:t>
      </w:r>
      <w:r>
        <w:t xml:space="preserve">observado. As parcelas de dotações e retornos, que são razões, não dependem dessa</w:t>
      </w:r>
      <w:r>
        <w:t xml:space="preserve"> </w:t>
      </w:r>
      <w:r>
        <w:t xml:space="preserve">escolha — a densidade escala as duas pelo mesmo fator —, e o padrão do q10 ao q90</w:t>
      </w:r>
      <w:r>
        <w:t xml:space="preserve"> </w:t>
      </w:r>
      <w:r>
        <w:t xml:space="preserve">também não.</w:t>
      </w:r>
    </w:p>
    <w:p>
      <w:pPr>
        <w:pStyle w:val="BodyText"/>
      </w:pPr>
      <w:r>
        <w:rPr>
          <w:b/>
          <w:bCs/>
        </w:rPr>
        <w:t xml:space="preserve">Por sexo.</w:t>
      </w:r>
      <w:r>
        <w:t xml:space="preserve"> </w:t>
      </w:r>
      <w:r>
        <w:t xml:space="preserve">As colunas por sexo da Tabela </w:t>
      </w:r>
      <w:hyperlink w:anchor="tab:qr_melhorias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mostram que o padrão não é o mesmo para todos: entre homens, a penalidade cresce de 3,9% (q10) para 9,0% (q90); entre mulheres, a penalidade é maior nas duas pontas — 4,9% no q10, 4,3% na mediana e 7,3% no q90 —, de modo que ao teto de vidro se soma um piso pegajoso</w:t>
      </w:r>
      <w:r>
        <w:t xml:space="preserve"> </w:t>
      </w:r>
      <w:r>
        <w:rPr>
          <w:i/>
          <w:iCs/>
        </w:rPr>
        <w:t xml:space="preserve">condicional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os dois padrões não se contradizem.</w:t>
      </w:r>
      <w:r>
        <w:t xml:space="preserve"> </w:t>
      </w:r>
      <w:r>
        <w:t xml:space="preserve">A regressão quantílica</w:t>
      </w:r>
      <w:r>
        <w:t xml:space="preserve"> </w:t>
      </w:r>
      <w:r>
        <w:t xml:space="preserve">estima quantis</w:t>
      </w:r>
      <w:r>
        <w:t xml:space="preserve"> </w:t>
      </w:r>
      <w:r>
        <w:rPr>
          <w:i/>
          <w:iCs/>
        </w:rPr>
        <w:t xml:space="preserve">condicionais</w:t>
      </w:r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compara negros e brancos na</w:t>
      </w:r>
      <w:r>
        <w:t xml:space="preserve"> </w:t>
      </w:r>
      <w:r>
        <w:t xml:space="preserve">mesma posição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 distribuição de pessoas com o mesmo perfil observável.</w:t>
      </w:r>
      <w:r>
        <w:t xml:space="preserve"> </w:t>
      </w:r>
      <w:r>
        <w:t xml:space="preserve">O crescimento de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ao longo de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significa que a dispersão</w:t>
      </w:r>
      <w:r>
        <w:t xml:space="preserve"> </w:t>
      </w:r>
      <w:r>
        <w:t xml:space="preserve">condicional do rendimento é maior entre brancos —</w:t>
      </w:r>
      <w:r>
        <w:t xml:space="preserve"> </w:t>
      </w:r>
      <w:r>
        <w:rPr>
          <w:i/>
          <w:iCs/>
        </w:rPr>
        <w:t xml:space="preserve">fanning out</w:t>
      </w:r>
      <w:r>
        <w:t xml:space="preserve"> </w:t>
      </w:r>
      <w:r>
        <w:t xml:space="preserve">na linguagem de</w:t>
      </w:r>
      <w:r>
        <w:t xml:space="preserve"> </w:t>
      </w:r>
      <w:r>
        <w:t xml:space="preserve">Angrist; Pischke (2009)</w:t>
      </w:r>
      <w:r>
        <w:t xml:space="preserve"> </w:t>
      </w:r>
      <w:r>
        <w:t xml:space="preserve">—, e não que</w:t>
      </w:r>
      <w:r>
        <w:t xml:space="preserve"> </w:t>
      </w:r>
      <w:r>
        <w:t xml:space="preserve">“os negros do topo sofrem mais”</w:t>
      </w:r>
      <w:r>
        <w:t xml:space="preserve">: quantis não</w:t>
      </w:r>
      <w:r>
        <w:t xml:space="preserve"> </w:t>
      </w:r>
      <w:r>
        <w:t xml:space="preserve">seguem indivíduos, e a leitura em termos de pessoas exigiria invariância de posto, que</w:t>
      </w:r>
      <w:r>
        <w:t xml:space="preserve"> </w:t>
      </w:r>
      <w:r>
        <w:t xml:space="preserve">não se testa aqui. A RIF-OB, ao contrário, decompõe quantis</w:t>
      </w:r>
      <w:r>
        <w:t xml:space="preserve"> </w:t>
      </w:r>
      <w:r>
        <w:rPr>
          <w:i/>
          <w:iCs/>
        </w:rPr>
        <w:t xml:space="preserve">incondicionais</w:t>
      </w:r>
      <w:r>
        <w:t xml:space="preserve"> </w:t>
      </w:r>
      <w:r>
        <w:t xml:space="preserve">da</w:t>
      </w:r>
      <w:r>
        <w:t xml:space="preserve"> </w:t>
      </w:r>
      <w:r>
        <w:t xml:space="preserve">distribuição de renda</w:t>
      </w:r>
      <w:r>
        <w:t xml:space="preserve"> </w:t>
      </w:r>
      <w:r>
        <w:t xml:space="preserve">(Firpo; Fortin; Lemieux, 2018)</w:t>
      </w:r>
      <w:r>
        <w:t xml:space="preserve">: responde</w:t>
      </w:r>
      <w:r>
        <w:t xml:space="preserve"> </w:t>
      </w:r>
      <w:r>
        <w:t xml:space="preserve">“de que é feito o gap no q10 da renda</w:t>
      </w:r>
      <w:r>
        <w:t xml:space="preserve"> </w:t>
      </w:r>
      <w:r>
        <w:t xml:space="preserve">do país”</w:t>
      </w:r>
      <w:r>
        <w:t xml:space="preserve">. Como a composição observável concentra negros na base, a parcela de retornos</w:t>
      </w:r>
      <w:r>
        <w:t xml:space="preserve"> </w:t>
      </w:r>
      <w:r>
        <w:t xml:space="preserve">é maior ali; e como há mais dispersão condicional no topo, o coeficiente condicional</w:t>
      </w:r>
      <w:r>
        <w:t xml:space="preserve"> </w:t>
      </w:r>
      <w:r>
        <w:t xml:space="preserve">cresce com</w:t>
      </w:r>
      <w:r>
        <w:t xml:space="preserve"> </w:t>
      </w:r>
      <m:oMath>
        <m:r>
          <m:t>τ</m:t>
        </m:r>
      </m:oMath>
      <w:r>
        <w:t xml:space="preserve">. Os dois resultados são complementares — um é sobre o</w:t>
      </w:r>
      <w:r>
        <w:t xml:space="preserve"> </w:t>
      </w:r>
      <w:r>
        <w:rPr>
          <w:i/>
          <w:iCs/>
        </w:rPr>
        <w:t xml:space="preserve">preço</w:t>
      </w:r>
      <w:r>
        <w:t xml:space="preserve"> </w:t>
      </w:r>
      <w:r>
        <w:t xml:space="preserve">pago a características, o outro sobre a</w:t>
      </w:r>
      <w:r>
        <w:t xml:space="preserve"> </w:t>
      </w:r>
      <w:r>
        <w:rPr>
          <w:i/>
          <w:iCs/>
        </w:rPr>
        <w:t xml:space="preserve">distribuição</w:t>
      </w:r>
      <w:r>
        <w:t xml:space="preserve"> </w:t>
      </w:r>
      <w:r>
        <w:t xml:space="preserve">de características.</w:t>
      </w:r>
    </w:p>
    <w:bookmarkStart w:id="84" w:name="tab:qr_melhorias"/>
    <w:p>
      <w:pPr>
        <w:pStyle w:val="TableCaption"/>
      </w:pPr>
      <w:r>
        <w:t xml:space="preserve">Regressão quantílica: coeficiente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por quantil e sexo.</w:t>
      </w:r>
      <w:r>
        <w:t xml:space="preserve"> </w:t>
      </w:r>
      <w:r>
        <w:t xml:space="preserve">Gap (%)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e</m:t>
            </m:r>
          </m:e>
          <m:sup>
            <m:acc>
              <m:accPr>
                <m:chr m:val="̂"/>
              </m:accPr>
              <m:e>
                <m:r>
                  <m:t>β</m:t>
                </m:r>
              </m:e>
            </m:acc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</m:oMath>
      <w:r>
        <w:t xml:space="preserve">.</w:t>
      </w:r>
      <w:r>
        <w:t xml:space="preserve"> </w:t>
      </w:r>
      <w:r>
        <w:t xml:space="preserve">M3: controles individuais + contexto UPA + UF efeito fixo. População completa.</w:t>
      </w:r>
      <w:r>
        <w:t xml:space="preserve"> </w:t>
      </w:r>
      <w:r>
        <w:t xml:space="preserve">Entre parênteses (coluna Global): erro-padrão por bootstrap em blocos por UPA.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 </w:t>
      </w:r>
      <w:r>
        <w:t xml:space="preserve">em todos os quantis e grupos.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ressão quantílica: coeficiente \hat{\beta}_{\text{negro}} por quantil e sexo. Gap (%) = (e^{\hat{\beta}}-1)\times 100. M3: controles individuais + contexto UPA + UF efeito fixo. População completa. Entre parênteses (coluna Global): erro-padrão por bootstrap em blocos por UPA. ^{***}p&lt;0{,}001 em todos os quantis e grupo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Homens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Mulheres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(lr)</w:t>
            </w:r>
            <w:r>
              <w:t xml:space="preserve">6-7</w:t>
            </w:r>
            <w:r>
              <w:t xml:space="preserve"> </w:t>
            </w:r>
            <w:r>
              <w:t xml:space="preserve">Quantil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 (%)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Gap (%)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Gap (%)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0437</m:t>
              </m:r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0014)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0502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0435</m:t>
              </m:r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0009)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0424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0454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0504</m:t>
              </m:r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0008)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0537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0444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0670</m:t>
              </m:r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0010)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0723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0583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0875</m:t>
              </m:r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0014)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0757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1035</m:t>
              </m:r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0020)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1092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0920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(q90−q10)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rPr>
                      <m:sty m:val="b"/>
                    </m:rPr>
                    <m:t>−</m:t>
                  </m:r>
                  <m:r>
                    <m:rPr>
                      <m:sty m:val="b"/>
                    </m:rPr>
                    <m:t>0</m:t>
                  </m:r>
                  <m:r>
                    <m:rPr>
                      <m:sty m:val="b"/>
                    </m:rPr>
                    <m:t>,</m:t>
                  </m:r>
                  <m:r>
                    <m:rPr>
                      <m:sty m:val="b"/>
                    </m:rPr>
                    <m:t>0439</m:t>
                  </m:r>
                  <m:r>
                    <m:rPr>
                      <m:nor/>
                      <m:sty m:val="p"/>
                    </m:rPr>
                    <m:t> log-pt</m:t>
                  </m:r>
                </m:e>
                <m:sup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(0</w:t>
            </w:r>
            <w:r>
              <w:t xml:space="preserve">,</w:t>
            </w:r>
            <w:r>
              <w:t xml:space="preserve">0017)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tab:rif_ob"/>
    <w:p>
      <w:pPr>
        <w:pStyle w:val="TableCaption"/>
      </w:pPr>
      <w:r>
        <w:t xml:space="preserve">Decomposição RIF-OB</w:t>
      </w:r>
      <w:r>
        <w:t xml:space="preserve"> </w:t>
      </w:r>
      <w:r>
        <w:t xml:space="preserve">(Firpo; Fortin; Lemieux, 2018)</w:t>
      </w:r>
      <w:r>
        <w:t xml:space="preserve"> </w:t>
      </w:r>
      <w:r>
        <w:t xml:space="preserve">do gap salarial racial</w:t>
      </w:r>
      <w:r>
        <w:t xml:space="preserve"> </w:t>
      </w:r>
      <w:r>
        <w:t xml:space="preserve">por quantil incondicional, em formato</w:t>
      </w:r>
      <w:r>
        <w:t xml:space="preserve"> </w:t>
      </w:r>
      <w:r>
        <w:rPr>
          <w:i/>
          <w:iCs/>
        </w:rPr>
        <w:t xml:space="preserve">two-fold</w:t>
      </w:r>
      <w:r>
        <w:t xml:space="preserve"> </w:t>
      </w:r>
      <w:r>
        <w:t xml:space="preserve">(referência: estrutura de preços</w:t>
      </w:r>
      <w:r>
        <w:t xml:space="preserve"> </w:t>
      </w:r>
      <w:r>
        <w:t xml:space="preserve">dos brancos). Mesmos controles da decomposição de Oaxaca–Blinder sem ocupação (escolaridade,</w:t>
      </w:r>
      <w:r>
        <w:t xml:space="preserve"> </w:t>
      </w:r>
      <w:r>
        <w:t xml:space="preserve">idade, sexo, jornada, área urbana, ano e contexto do bairro), mais efeitos fixos de UF; a ocupação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entra.</w:t>
      </w:r>
      <w:r>
        <w:t xml:space="preserve"> </w:t>
      </w:r>
      <w:r>
        <w:t xml:space="preserve">Dotações: diferença de características observáveis. Retornos: parcela não explicada, que</w:t>
      </w:r>
      <w:r>
        <w:t xml:space="preserve"> </w:t>
      </w:r>
      <w:r>
        <w:t xml:space="preserve">inclui a discriminação e o que não foi observado. Dotações + Retornos</w:t>
      </w:r>
      <w:r>
        <w:t xml:space="preserve"> </w:t>
      </w:r>
      <m:oMath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i/>
          <w:iCs/>
        </w:rPr>
        <w:t xml:space="preserve">do gap RIF</w:t>
      </w:r>
      <w:r>
        <w:t xml:space="preserve"> </w:t>
      </w:r>
      <w:r>
        <w:t xml:space="preserve">— que é o gap decomposto pelo</w:t>
      </w:r>
      <w:r>
        <w:t xml:space="preserve"> </w:t>
      </w:r>
      <w:r>
        <w:t xml:space="preserve">método e difere do gap observado da segunda coluna; as porcentagens</w:t>
      </w:r>
      <w:r>
        <w:t xml:space="preserve"> </w:t>
      </w:r>
      <w:r>
        <w:t xml:space="preserve">são fração daquele, não deste. Padrão</w:t>
      </w:r>
      <w:r>
        <w:t xml:space="preserve"> </w:t>
      </w:r>
      <w:r>
        <w:rPr>
          <w:i/>
          <w:iCs/>
        </w:rPr>
        <w:t xml:space="preserve">sticky floor</w:t>
      </w:r>
      <w:r>
        <w:t xml:space="preserve">: a parcela de retornos</w:t>
      </w:r>
      <w:r>
        <w:t xml:space="preserve"> </w:t>
      </w:r>
      <w:r>
        <w:t xml:space="preserve">é maior na base e decresce rumo ao topo. PNAD Contínua 2016–2025,</w:t>
      </w:r>
      <w:r>
        <w:t xml:space="preserve"> </w:t>
      </w:r>
      <w:r>
        <w:t xml:space="preserve">população completa. Entre parênteses: erro-padrão por bootstrap em blocos por UPA.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composição RIF-OB (Firpo; Fortin; Lemieux, 2018) do gap salarial racial por quantil incondicional, em formato two-fold (referência: estrutura de preços dos brancos). Mesmos controles da decomposição de Oaxaca–Blinder sem ocupação (escolaridade, idade, sexo, jornada, área urbana, ano e contexto do bairro), mais efeitos fixos de UF; a ocupação não entra. Dotações: diferença de características observáveis. Retornos: parcela não explicada, que inclui a discriminação e o que não foi observado. Dotações + Retornos =100\% do gap RIF — que é o gap decomposto pelo método e difere do gap observado da segunda coluna; as porcentagens são fração daquele, não deste. Padrão sticky floor: a parcela de retornos é maior na base e decresce rumo ao topo. PNAD Contínua 2016–2025, população completa. Entre parênteses: erro-padrão por bootstrap em blocos por UPA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obs. (SE)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RIF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Dotações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Retornos 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0,569 (0,005)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73,5 (0,7)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 (0,6)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7.699.278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0,223 (0,005)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77,7 (1,0)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 (0,6)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7.699.278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0,375 (0,003)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79,4 (0,7)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 (0,3)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7.699.278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0,448 (0,004)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83,1 (1,3)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 (0,4)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7.699.278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 (0,007)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91,1 (1,6)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 (0,5)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7.699.278</w:t>
            </w:r>
          </w:p>
        </w:tc>
      </w:tr>
    </w:tbl>
    <w:bookmarkEnd w:id="85"/>
    <w:bookmarkStart w:id="89" w:name="fig:qr_rif"/>
    <w:p>
      <w:pPr>
        <w:pStyle w:val="CaptionedFigure"/>
      </w:pPr>
      <w:r>
        <w:drawing>
          <wp:inline>
            <wp:extent cx="5227320" cy="151405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outputs/figures/fig_qr_rif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51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Teto de vidro entre pares, piso pegajoso na renda do país: duas perguntas,</w:t>
      </w:r>
      <w:r>
        <w:t xml:space="preserve"> </w:t>
      </w:r>
      <w:r>
        <w:t xml:space="preserve">dois padrões. À</w:t>
      </w:r>
      <w:r>
        <w:t xml:space="preserve"> </w:t>
      </w:r>
      <w:r>
        <w:t xml:space="preserve">esquerda, a penalidade em quantis</w:t>
      </w:r>
      <w:r>
        <w:t xml:space="preserve"> </w:t>
      </w:r>
      <w:r>
        <w:rPr>
          <w:i/>
          <w:iCs/>
        </w:rPr>
        <w:t xml:space="preserve">condicionais</w:t>
      </w:r>
      <w:r>
        <w:t xml:space="preserve"> </w:t>
      </w:r>
      <w:r>
        <w:t xml:space="preserve">cresce rumo ao topo (faixa: IC 95%</w:t>
      </w:r>
      <w:r>
        <w:t xml:space="preserve"> </w:t>
      </w:r>
      <w:r>
        <w:t xml:space="preserve">por bootstrap em blocos de UPA); à direita, a parcela não explicada dos quantis</w:t>
      </w:r>
      <w:r>
        <w:t xml:space="preserve"> </w:t>
      </w:r>
      <w:r>
        <w:rPr>
          <w:i/>
          <w:iCs/>
        </w:rPr>
        <w:t xml:space="preserve">incondicionais</w:t>
      </w:r>
      <w:r>
        <w:t xml:space="preserve"> </w:t>
      </w:r>
      <w:r>
        <w:t xml:space="preserve">da renda é maior na base.</w:t>
      </w:r>
    </w:p>
    <w:bookmarkEnd w:id="89"/>
    <w:p>
      <w:pPr>
        <w:pStyle w:val="BodyText"/>
      </w:pPr>
      <w:r>
        <w:rPr>
          <w:i/>
          <w:iCs/>
        </w:rPr>
        <w:t xml:space="preserve">Como ler a Figura </w:t>
      </w:r>
      <w:hyperlink w:anchor="fig:qr_rif">
        <w:r>
          <w:rPr>
            <w:rStyle w:val="Hyperlink"/>
            <w:i/>
            <w:iCs/>
          </w:rPr>
          <w:t xml:space="preserve">8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à esquerda, cada ponto é a penalidade racial estimada num quantil</w:t>
      </w:r>
      <w:r>
        <w:t xml:space="preserve"> </w:t>
      </w:r>
      <w:r>
        <w:rPr>
          <w:i/>
          <w:iCs/>
        </w:rPr>
        <w:t xml:space="preserve">condicional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(eixo vertical em log-pontos</w:t>
      </w:r>
      <w:r>
        <w:t xml:space="preserve"> </w:t>
      </w:r>
      <m:oMath>
        <m:r>
          <m:rPr>
            <m:sty m:val="p"/>
          </m:rPr>
          <m:t>×</m:t>
        </m:r>
        <m:r>
          <m:t>100</m:t>
        </m:r>
      </m:oMath>
      <w:r>
        <w:t xml:space="preserve">), e a faixa é o intervalo de 95% por bootstrap em blocos de UPA. À direita, cada barra é um quantil</w:t>
      </w:r>
      <w:r>
        <w:t xml:space="preserve"> </w:t>
      </w:r>
      <w:r>
        <w:rPr>
          <w:i/>
          <w:iCs/>
        </w:rPr>
        <w:t xml:space="preserve">incondicional</w:t>
      </w:r>
      <w:r>
        <w:t xml:space="preserve"> </w:t>
      </w:r>
      <w:r>
        <w:t xml:space="preserve">da renda e soma 100%: a parte azul é a parcela não explicada, com o valor escrito dentro.</w:t>
      </w:r>
    </w:p>
    <w:bookmarkEnd w:id="90"/>
    <w:bookmarkStart w:id="101" w:name="subsec:glmm_resultados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GLMM logístico: o teto de vidro no acesso</w:t>
      </w:r>
    </w:p>
    <w:p>
      <w:pPr>
        <w:pStyle w:val="FirstParagraph"/>
      </w:pPr>
      <w:r>
        <w:t xml:space="preserve">Até aqui a pergunta foi quanto um trabalhador negro ganha a menos. Ela pressupõe que</w:t>
      </w:r>
      <w:r>
        <w:t xml:space="preserve"> </w:t>
      </w:r>
      <w:r>
        <w:t xml:space="preserve">negros e brancos estejam disputando as mesmas vagas. E se a barreira for anterior ao</w:t>
      </w:r>
      <w:r>
        <w:t xml:space="preserve"> </w:t>
      </w:r>
      <w:r>
        <w:t xml:space="preserve">salário — se ela estiver em</w:t>
      </w:r>
      <w:r>
        <w:t xml:space="preserve"> </w:t>
      </w:r>
      <w:r>
        <w:rPr>
          <w:i/>
          <w:iCs/>
        </w:rPr>
        <w:t xml:space="preserve">quais</w:t>
      </w:r>
      <w:r>
        <w:t xml:space="preserve"> </w:t>
      </w:r>
      <w:r>
        <w:t xml:space="preserve">posições cada um consegue alcançar? É a</w:t>
      </w:r>
      <w:r>
        <w:t xml:space="preserve"> </w:t>
      </w:r>
      <w:r>
        <w:t xml:space="preserve">pergunta desta subseção, e ela importa porque muda o alvo da política: se a desigualdade</w:t>
      </w:r>
      <w:r>
        <w:t xml:space="preserve"> </w:t>
      </w:r>
      <w:r>
        <w:t xml:space="preserve">se produz no salário, o remédio é fiscalização de remuneração; se ela se produz no</w:t>
      </w:r>
      <w:r>
        <w:t xml:space="preserve"> </w:t>
      </w:r>
      <w:r>
        <w:t xml:space="preserve">acesso, nenhuma política salarial a alcança. Três desfechos respondem — ocupar cargo</w:t>
      </w:r>
      <w:r>
        <w:t xml:space="preserve"> </w:t>
      </w:r>
      <w:r>
        <w:t xml:space="preserve">qualificado (CBO 1–4), estar no top 20% e no top 10% da renda —, cada um estimado</w:t>
      </w:r>
      <w:r>
        <w:t xml:space="preserve"> </w:t>
      </w:r>
      <w:r>
        <w:t xml:space="preserve">em quatro degraus próprios, rotulados A1 a A4 para não se confundirem com os do HLM</w:t>
      </w:r>
      <w:r>
        <w:t xml:space="preserve"> </w:t>
      </w:r>
      <w:r>
        <w:t xml:space="preserve">—aos quais não correspondem um a um—, com intercepto aleatório de UPA e efeitos fixos</w:t>
      </w:r>
      <w:r>
        <w:t xml:space="preserve"> </w:t>
      </w:r>
      <w:r>
        <w:t xml:space="preserve">de UF; o ajuste e a classificação de cada degrau estão na Tabela </w:t>
      </w:r>
      <w:hyperlink w:anchor="tab:glmm_ajuste">
        <w:r>
          <w:rPr>
            <w:rStyle w:val="Hyperlink"/>
          </w:rPr>
          <w:t xml:space="preserve">15</w:t>
        </w:r>
      </w:hyperlink>
      <w:r>
        <w:t xml:space="preserve">.</w:t>
      </w:r>
      <w:r>
        <w:rPr>
          <w:rStyle w:val="FootnoteReference"/>
        </w:rPr>
        <w:footnoteReference w:id="91"/>
      </w:r>
    </w:p>
    <w:p>
      <w:pPr>
        <w:pStyle w:val="BodyText"/>
      </w:pPr>
      <w:r>
        <w:rPr>
          <w:b/>
          <w:bCs/>
        </w:rPr>
        <w:t xml:space="preserve">O acesso também é</w:t>
      </w:r>
      <w:r>
        <w:rPr>
          <w:b/>
          <w:bCs/>
        </w:rPr>
        <w:t xml:space="preserve"> </w:t>
      </w:r>
      <w:r>
        <w:rPr>
          <w:b/>
          <w:bCs/>
        </w:rPr>
        <w:t xml:space="preserve">“bairro”</w:t>
      </w:r>
      <w:r>
        <w:rPr>
          <w:b/>
          <w:bCs/>
        </w:rPr>
        <w:t xml:space="preserve">.</w:t>
      </w:r>
      <w:r>
        <w:t xml:space="preserve"> </w:t>
      </w:r>
      <w:r>
        <w:t xml:space="preserve">A primeira coisa que o modelo mostra é que a lógica territorial do HLM se repete aqui.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9% e 22% da variância latente do</w:t>
      </w:r>
      <w:r>
        <w:rPr>
          <w:b/>
          <w:bCs/>
        </w:rPr>
        <w:t xml:space="preserve"> </w:t>
      </w:r>
      <w:r>
        <w:rPr>
          <w:b/>
          <w:bCs/>
        </w:rPr>
        <w:t xml:space="preserve">acesso está entre bairros</w:t>
      </w:r>
      <w:r>
        <w:rPr>
          <w:rStyle w:val="FootnoteReference"/>
        </w:rPr>
        <w:footnoteReference w:id="92"/>
      </w:r>
      <w:r>
        <w:t xml:space="preserve"> </w:t>
      </w:r>
      <w:r>
        <w:t xml:space="preserve">— ou seja, saber apenas em que bairro alguém mora já antecipa</w:t>
      </w:r>
      <w:r>
        <w:t xml:space="preserve"> </w:t>
      </w:r>
      <w:r>
        <w:t xml:space="preserve">boa parte da chance de essa pessoa chegar a um cargo qualificado, antes de se conhecer</w:t>
      </w:r>
      <w:r>
        <w:t xml:space="preserve"> </w:t>
      </w:r>
      <w:r>
        <w:t xml:space="preserve">sua escolaridade. E a fração é maior para o top 10% do que para o cargo qualificado:</w:t>
      </w:r>
      <w:r>
        <w:t xml:space="preserve"> </w:t>
      </w:r>
      <w:r>
        <w:t xml:space="preserve">quanto mais alto o degrau, mais o endereço pesa.</w:t>
      </w:r>
    </w:p>
    <w:p>
      <w:pPr>
        <w:pStyle w:val="BodyText"/>
      </w:pPr>
      <w:r>
        <w:rPr>
          <w:b/>
          <w:bCs/>
        </w:rPr>
        <w:t xml:space="preserve">A porta é mais estreita para negros — e estreita ainda mais no topo.</w:t>
      </w:r>
      <w:r>
        <w:t xml:space="preserve"> </w:t>
      </w:r>
      <w:r>
        <w:t xml:space="preserve">Comparando pessoas do mesmo bairro, com a mesma escolaridade, sexo, idade e estado,</w:t>
      </w:r>
      <w:r>
        <w:t xml:space="preserve"> </w:t>
      </w:r>
      <w:r>
        <w:t xml:space="preserve">a chance de um trabalhador negro ocupar cargo qualificado é</w:t>
      </w:r>
      <w:r>
        <w:t xml:space="preserve"> </w:t>
      </w:r>
      <w:r>
        <w:t xml:space="preserve">OR </w:t>
      </w:r>
      <m:oMath>
        <m:r>
          <m:rPr>
            <m:sty m:val="p"/>
          </m:rPr>
          <m:t>=</m:t>
        </m:r>
      </m:oMath>
      <w:r>
        <w:t xml:space="preserve"> 0,814</w:t>
      </w:r>
      <w:r>
        <w:rPr>
          <w:rStyle w:val="FootnoteReference"/>
        </w:rPr>
        <w:footnoteReference w:id="93"/>
      </w:r>
      <w:r>
        <w:t xml:space="preserve"> </w:t>
      </w:r>
      <w:r>
        <w:t xml:space="preserve">da chance de um branco —</w:t>
      </w:r>
      <w:r>
        <w:t xml:space="preserve"> </w:t>
      </w:r>
      <w:r>
        <w:rPr>
          <w:b/>
          <w:bCs/>
        </w:rPr>
        <w:t xml:space="preserve">chances (</w:t>
      </w:r>
      <w:r>
        <w:rPr>
          <w:b/>
          <w:bCs/>
          <w:i/>
          <w:iCs/>
        </w:rPr>
        <w:t xml:space="preserve">odds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19% menores</w:t>
      </w:r>
      <w:r>
        <w:t xml:space="preserve">. Traduzido para probabilidade, que é a medida a reter</w:t>
      </w:r>
      <w:r>
        <w:t xml:space="preserve"> </w:t>
      </w:r>
      <w:r>
        <w:t xml:space="preserve">(Angrist; Pischke, 2009)</w:t>
      </w:r>
      <w:r>
        <w:t xml:space="preserve">, são</w:t>
      </w:r>
      <w:r>
        <w:t xml:space="preserve"> </w:t>
      </w:r>
      <w:r>
        <w:rPr>
          <w:b/>
          <w:bCs/>
        </w:rPr>
        <w:t xml:space="preserve">2,6 pontos percentuais</w:t>
      </w:r>
      <w:r>
        <w:t xml:space="preserve"> </w:t>
      </w:r>
      <w:r>
        <w:t xml:space="preserve">a menos de chegar</w:t>
      </w:r>
      <w:r>
        <w:t xml:space="preserve"> </w:t>
      </w:r>
      <w:r>
        <w:t xml:space="preserve">lá. E a desvantagem cresce à medida que se sobe na renda: para chegar ao top 10% —</w:t>
      </w:r>
      <w:r>
        <w:t xml:space="preserve"> </w:t>
      </w:r>
      <w:r>
        <w:t xml:space="preserve">que já não é o acesso a uma ocupação, mas a uma faixa de rendimento — o OR cai para</w:t>
      </w:r>
      <w:r>
        <w:t xml:space="preserve"> </w:t>
      </w:r>
      <w:r>
        <w:t xml:space="preserve">0,761,</w:t>
      </w:r>
      <w:r>
        <w:t xml:space="preserve"> </w:t>
      </w:r>
      <w:r>
        <w:rPr>
          <w:b/>
          <w:bCs/>
        </w:rPr>
        <w:t xml:space="preserve">chances 24% menores</w:t>
      </w:r>
      <w:r>
        <w:t xml:space="preserve">. Não é o mesmo fenômeno do</w:t>
      </w:r>
      <w:r>
        <w:t xml:space="preserve"> </w:t>
      </w:r>
      <w:r>
        <w:t xml:space="preserve">salário visto de outro ângulo — é uma barreira que age antes, na distribuição das</w:t>
      </w:r>
      <w:r>
        <w:t xml:space="preserve"> </w:t>
      </w:r>
      <w:r>
        <w:t xml:space="preserve">posições, e que nenhuma política de remuneração igual alcançaria.</w:t>
      </w:r>
    </w:p>
    <w:p>
      <w:pPr>
        <w:pStyle w:val="BodyText"/>
      </w:pPr>
      <w:r>
        <w:t xml:space="preserve">Em síntese, a desigualdade racial no mercado de trabalho brasileiro não começa</w:t>
      </w:r>
      <w:r>
        <w:t xml:space="preserve"> </w:t>
      </w:r>
      <w:r>
        <w:t xml:space="preserve">só no contracheque: começa também na porta.</w:t>
      </w:r>
    </w:p>
    <w:p>
      <w:pPr>
        <w:pStyle w:val="BodyText"/>
      </w:pPr>
      <w:r>
        <w:rPr>
          <w:b/>
          <w:bCs/>
        </w:rPr>
        <w:t xml:space="preserve">Vínculo e credencial não desfazem a barreira.</w:t>
      </w:r>
      <w:r>
        <w:t xml:space="preserve"> </w:t>
      </w:r>
      <w:r>
        <w:t xml:space="preserve">Duas explicações alternativas se apresentam naturalmente, e o modelo testa as duas. A</w:t>
      </w:r>
      <w:r>
        <w:t xml:space="preserve"> </w:t>
      </w:r>
      <w:r>
        <w:t xml:space="preserve">primeira é a informalidade: a barreira seria um artefato de negros estarem mais em</w:t>
      </w:r>
      <w:r>
        <w:t xml:space="preserve"> </w:t>
      </w:r>
      <w:r>
        <w:t xml:space="preserve">vínculos precários. Descontar o vínculo (A3) praticamente não move o OR do cargo</w:t>
      </w:r>
      <w:r>
        <w:t xml:space="preserve"> </w:t>
      </w:r>
      <w:r>
        <w:t xml:space="preserve">qualificado (0,791) nem o do top 10% (0,740), de modo que não é</w:t>
      </w:r>
      <w:r>
        <w:t xml:space="preserve"> </w:t>
      </w:r>
      <w:r>
        <w:t xml:space="preserve">isso. A segunda é o diploma: bastaria credenciar-se. A interação</w:t>
      </w:r>
      <w:r>
        <w:t xml:space="preserve"> </w:t>
      </w:r>
      <w:r>
        <w:rPr>
          <w:rStyle w:val="VerbatimChar"/>
        </w:rPr>
        <w:t xml:space="preserve">negro</w:t>
      </w:r>
      <m:oMath>
        <m:r>
          <m:rPr>
            <m:sty m:val="p"/>
          </m:rPr>
          <m:t>×</m:t>
        </m:r>
      </m:oMath>
      <w:r>
        <w:t xml:space="preserve">credencial do A4 é de 1,042 para o superior completo e</w:t>
      </w:r>
      <w:r>
        <w:t xml:space="preserve"> </w:t>
      </w:r>
      <w:r>
        <w:t xml:space="preserve">0,947 para a pós-graduação — o superior completo atenua levemente a barreira, mas a pós-graduação volta a agravá-la —, e o OR combinado de um</w:t>
      </w:r>
      <w:r>
        <w:t xml:space="preserve"> </w:t>
      </w:r>
      <w:r>
        <w:t xml:space="preserve">trabalhador negro com superior completo ainda é 0,818. A credencial não</w:t>
      </w:r>
      <w:r>
        <w:t xml:space="preserve"> </w:t>
      </w:r>
      <w:r>
        <w:t xml:space="preserve">neutraliza a barreira. A Figura </w:t>
      </w:r>
      <w:hyperlink w:anchor="fig:glmm_o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reúne as razões</w:t>
      </w:r>
      <w:r>
        <w:t xml:space="preserve"> </w:t>
      </w:r>
      <w:r>
        <w:t xml:space="preserve">de chance dos três desfechos e dos modelos de cada um.</w:t>
      </w:r>
    </w:p>
    <w:p>
      <w:pPr>
        <w:pStyle w:val="BodyText"/>
      </w:pPr>
      <w:r>
        <w:rPr>
          <w:b/>
          <w:bCs/>
        </w:rPr>
        <w:t xml:space="preserve">Quão forte teria de ser um confundidor omitido.</w:t>
      </w:r>
      <w:r>
        <w:t xml:space="preserve"> </w:t>
      </w:r>
      <w:r>
        <w:t xml:space="preserve">O modelo separa bem quem acessa de quem não acessa</w:t>
      </w:r>
      <w:r>
        <w:rPr>
          <w:rStyle w:val="FootnoteReference"/>
        </w:rPr>
        <w:footnoteReference w:id="94"/>
      </w:r>
      <w:r>
        <w:t xml:space="preserve">, mas a</w:t>
      </w:r>
      <w:r>
        <w:t xml:space="preserve"> </w:t>
      </w:r>
      <w:r>
        <w:t xml:space="preserve">pergunta que interessa não é essa: é se a desvantagem poderia ser obra de algo que o</w:t>
      </w:r>
      <w:r>
        <w:t xml:space="preserve"> </w:t>
      </w:r>
      <w:r>
        <w:t xml:space="preserve">modelo não viu. O E-value responde quanto um confundidor omitido teria de ser forte para</w:t>
      </w:r>
      <w:r>
        <w:t xml:space="preserve"> </w:t>
      </w:r>
      <w:r>
        <w:t xml:space="preserve">anular o resultado, e aqui ele vale</w:t>
      </w:r>
      <w:r>
        <w:t xml:space="preserve"> </w:t>
      </w:r>
      <w:r>
        <w:rPr>
          <w:b/>
          <w:bCs/>
        </w:rPr>
        <w:t xml:space="preserve">1,5</w:t>
      </w:r>
      <w:r>
        <w:t xml:space="preserve">: seria preciso uma</w:t>
      </w:r>
      <w:r>
        <w:t xml:space="preserve"> </w:t>
      </w:r>
      <w:r>
        <w:t xml:space="preserve">característica não medida associada tanto a ser negro quanto a ocupar cargo qualificado</w:t>
      </w:r>
      <w:r>
        <w:t xml:space="preserve"> </w:t>
      </w:r>
      <w:r>
        <w:t xml:space="preserve">com razão de risco de pelo menos 1,5 em ambas as pontas (com o desfecho comum, a</w:t>
      </w:r>
      <w:r>
        <w:t xml:space="preserve"> </w:t>
      </w:r>
      <w:r>
        <w:t xml:space="preserve">razão de chances é convertida em razão de risco pela raiz quadrada). É uma associação</w:t>
      </w:r>
      <w:r>
        <w:t xml:space="preserve"> </w:t>
      </w:r>
      <w:r>
        <w:t xml:space="preserve">modesta — a escolaridade, sozinha, tem efeito muito maior sobre o acesso —, e por isso o</w:t>
      </w:r>
      <w:r>
        <w:t xml:space="preserve"> </w:t>
      </w:r>
      <w:r>
        <w:t xml:space="preserve">E-value não basta para descartar viés: o que sustenta o resultado é ele sobreviver ao</w:t>
      </w:r>
      <w:r>
        <w:t xml:space="preserve"> </w:t>
      </w:r>
      <w:r>
        <w:t xml:space="preserve">contexto de bairro e ao teste de Konfound do modelo de renda. Por fim,</w:t>
      </w:r>
      <w:r>
        <w:t xml:space="preserve"> </w:t>
      </w:r>
      <w:r>
        <w:t xml:space="preserve">o logit com efeitos fixos de UF e erro-padrão agrupado por UPA (última coluna da</w:t>
      </w:r>
      <w:r>
        <w:t xml:space="preserve"> </w:t>
      </w:r>
      <w:r>
        <w:t xml:space="preserve">Tabela </w:t>
      </w:r>
      <w:hyperlink w:anchor="tab:glmm_glassceil">
        <w:r>
          <w:rPr>
            <w:rStyle w:val="Hyperlink"/>
          </w:rPr>
          <w:t xml:space="preserve">14</w:t>
        </w:r>
      </w:hyperlink>
      <w:r>
        <w:t xml:space="preserve">) reproduz os OR a partir do A2 (cargo qualificado: 0,796 contra 0,814); no A1, sem o contexto do bairro, dá 0,728 contra 0,805, porque sem o intercepto de UPA o contexto omitido é absorvido pelo coeficiente racial. Com o contexto do bairro no modelo, a conclusão não depende da hipótese de efeitos aleatórios.</w:t>
      </w:r>
    </w:p>
    <w:bookmarkStart w:id="98" w:name="fig:glmm_or"/>
    <w:p>
      <w:pPr>
        <w:pStyle w:val="CaptionedFigure"/>
      </w:pPr>
      <w:r>
        <w:drawing>
          <wp:inline>
            <wp:extent cx="5067300" cy="1847904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outputs/figures/fig_glmm_or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47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porta é mais estreita para trabalhadores negros — e estreita ainda mais no</w:t>
      </w:r>
      <w:r>
        <w:t xml:space="preserve"> </w:t>
      </w:r>
      <w:r>
        <w:t xml:space="preserve">topo da renda. Razão de chances de acesso (negro</w:t>
      </w:r>
      <w:r>
        <w:t xml:space="preserve"> </w:t>
      </w:r>
      <w:r>
        <w:rPr>
          <w:i/>
          <w:iCs/>
        </w:rPr>
        <w:t xml:space="preserve">vs.</w:t>
      </w:r>
      <w:r>
        <w:t xml:space="preserve"> branco do mesmo bairro) com</w:t>
      </w:r>
      <w:r>
        <w:t xml:space="preserve"> </w:t>
      </w:r>
      <w:r>
        <w:t xml:space="preserve">IC 95%, por desfecho e degrau; em azul, o modelo com contexto de bairro (A2).</w:t>
      </w:r>
    </w:p>
    <w:bookmarkEnd w:id="98"/>
    <w:p>
      <w:pPr>
        <w:pStyle w:val="BodyText"/>
      </w:pPr>
      <w:r>
        <w:rPr>
          <w:i/>
          <w:iCs/>
        </w:rPr>
        <w:t xml:space="preserve">Como ler a Figura </w:t>
      </w:r>
      <w:hyperlink w:anchor="fig:glmm_or">
        <w:r>
          <w:rPr>
            <w:rStyle w:val="Hyperlink"/>
            <w:i/>
            <w:iCs/>
          </w:rPr>
          <w:t xml:space="preserve">9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ponto é uma razão de chances e a linha horizontal, seu intervalo de confiança de 95%; a linha tracejada em 1 marca a paridade, de modo que quanto mais à esquerda, maior a desvantagem. Os blocos são os três desfechos e, dentro de cada um, os modelos; em azul, o A2, que compara pessoas do mesmo bairro.</w:t>
      </w:r>
    </w:p>
    <w:bookmarkStart w:id="99" w:name="tab:glmm_glassceil"/>
    <w:p>
      <w:pPr>
        <w:pStyle w:val="TableCaption"/>
      </w:pPr>
      <w:r>
        <w:t xml:space="preserve">GLMM logístico (lme4::</w:t>
      </w:r>
      <w:r>
        <w:rPr>
          <w:rStyle w:val="VerbatimChar"/>
        </w:rPr>
        <w:t xml:space="preserve">glmer</w:t>
      </w:r>
      <w:r>
        <w:t xml:space="preserve">, intercepto aleatório de UPA e efeitos fixos de UF) — teto de vidro ocupacional e salarial.</w:t>
      </w:r>
      <w:r>
        <w:t xml:space="preserve"> </w:t>
      </w:r>
      <w:r>
        <w:rPr>
          <w:i/>
          <w:iCs/>
        </w:rPr>
        <w:t xml:space="preserve">Odds ratio</w:t>
      </w:r>
      <w:r>
        <w:t xml:space="preserve"> </w:t>
      </w:r>
      <w:r>
        <w:t xml:space="preserve">do coeficiente</w:t>
      </w:r>
      <w:r>
        <w:t xml:space="preserve"> </w:t>
      </w:r>
      <w:r>
        <w:rPr>
          <w:rStyle w:val="VerbatimChar"/>
        </w:rPr>
        <w:t xml:space="preserve">negro</w:t>
      </w:r>
      <w:r>
        <w:t xml:space="preserve"> </w:t>
      </w:r>
      <w:r>
        <w:t xml:space="preserve">com IC 95%, efeito marginal médio (AME: diferença média de probabilidade predita, em pontos percentuais), ICC da UPA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e E-value</w:t>
      </w:r>
      <w:r>
        <w:t xml:space="preserve"> </w:t>
      </w:r>
      <w:r>
        <w:t xml:space="preserve">(VanderWeele; Ding, 2017)</w:t>
      </w:r>
      <w:r>
        <w:t xml:space="preserve">. Coluna final: OR do logit com efeitos fixos de UF e erro-padrão agrupado por UPA (robustez). População completa da PEA com renda positiva (</w:t>
      </w:r>
      <m:oMath>
        <m:r>
          <m:t>N</m:t>
        </m:r>
        <m:r>
          <m:rPr>
            <m:sty m:val="p"/>
          </m:rPr>
          <m:t>=</m:t>
        </m:r>
        <m:r>
          <m:t>7.699</m:t>
        </m:r>
        <m:r>
          <m:t>.273</m:t>
        </m:r>
      </m:oMath>
      <w:r>
        <w:t xml:space="preserve">; 41.454 UPAs). A3 acrescenta o vínculo (formalidade, setor público, conta própria, doméstico), que é desfecho da própria discriminação: limite inferior. Todos os OR com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;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desta ordem, a inferência relevante está nos IC e nos E-values.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MM logístico (lme4::glmer, intercepto aleatório de UPA e efeitos fixos de UF) — teto de vidro ocupacional e salarial. Odds ratio do coeficiente negro com IC 95%, efeito marginal médio (AME: diferença média de probabilidade predita, em pontos percentuais), ICC da UPA =\tau^2/(\tau^2+\pi^2/3) e E-value (VanderWeele; Ding, 2017). Coluna final: OR do logit com efeitos fixos de UF e erro-padrão agrupado por UPA (robustez). População completa da PEA com renda positiva (N = 7.699.273; 41.454 UPAs). A3 acrescenta o vínculo (formalidade, setor público, conta própria, doméstico), que é desfecho da própria discriminação: limite inferior. Todos os OR com p&lt;0{,}001; com N desta ordem, a inferência relevante está nos IC e nos E-value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 (IC 95%)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AME (p.p.)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ICC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UPA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E-value (IC)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 logit-FE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qualificado (CBO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individual +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0,805 [0,801; 0,809]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 + contexto do bairro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0,814 [0,810; 0,818]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 + vínculo (limite inf.)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0,791 [0,787; 0,794]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A4 + negro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credencial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0,785 [0,781; 0,789]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20% de 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individual +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0,759 [0,755; 0,763]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 + contexto do bairro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0,769 [0,765; 0,773]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 + vínculo (limite inf.)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0,755 [0,751; 0,759]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A4 + negro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credencial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0,719 [0,714; 0,723]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 de 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individual + UF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0,748 [0,743; 0,753]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 + contexto do bairro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0,761 [0,756; 0,766]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−1,66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 + vínculo (limite inf.)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0,740 [0,735; 0,745]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−1,73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A4 + negro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credencial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0,668 [0,662; 0,674]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−1,71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0,659</w:t>
            </w:r>
          </w:p>
        </w:tc>
      </w:tr>
    </w:tbl>
    <w:bookmarkEnd w:id="99"/>
    <w:p>
      <w:pPr>
        <w:pStyle w:val="BodyText"/>
      </w:pPr>
      <w:r>
        <w:rPr>
          <w:i/>
          <w:iCs/>
        </w:rPr>
        <w:t xml:space="preserve">Como ler: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= menor chance de acesso para trabalhadores negros do que para brancos de mesmo perfil</w:t>
      </w:r>
      <w:r>
        <w:t xml:space="preserve"> </w:t>
      </w:r>
      <w:r>
        <w:rPr>
          <w:i/>
          <w:iCs/>
        </w:rPr>
        <w:t xml:space="preserve">e do mesmo bairro</w:t>
      </w:r>
      <w:r>
        <w:t xml:space="preserve">; quanto mais perto de zero, maior a barreira. O E-value é a força mínima de associação (razão de risco) que um confundidor não observado precisaria ter com a raça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com o desfecho para anular o OR; o E-value (IC) faz o mesmo para o limite do intervalo. A coluna logit-FE mostra que a conclusão não depende da hipótese de efeitos aleatórios.</w:t>
      </w:r>
    </w:p>
    <w:bookmarkStart w:id="100" w:name="tab:glmm_ajuste"/>
    <w:p>
      <w:pPr>
        <w:pStyle w:val="TableCaption"/>
      </w:pPr>
      <w:r>
        <w:t xml:space="preserve">GLMM logístico — ajuste e desempenho de classificação por degrau. LR vs. pooled: teste de razão de verossimilhança do A2 contra o logit sem efeito aleatório (fronteira,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); AUC com efeitos aleatórios (ajuste na amostra) e só com efeitos fixos;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de Youden (maximiza sensibilidade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especificidade) com as taxas correspondentes; Hosmer–Lemeshow em dez decis. Modelos A1–A4 como na Tabela </w:t>
      </w:r>
      <w:hyperlink w:anchor="tab:glmm_glassceil">
        <w:r>
          <w:rPr>
            <w:rStyle w:val="Hyperlink"/>
          </w:rPr>
          <w:t xml:space="preserve">14</w:t>
        </w:r>
      </w:hyperlink>
      <w:r>
        <w:t xml:space="preserve">.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7</m:t>
        </m:r>
      </m:oMath>
      <w:r>
        <w:t xml:space="preserve"> milhões qualquer desvio de calibração é</w:t>
      </w:r>
      <w:r>
        <w:t xml:space="preserve"> </w:t>
      </w:r>
      <w:r>
        <w:t xml:space="preserve">“significativo”</w:t>
      </w:r>
      <w:r>
        <w:t xml:space="preserve"> </w:t>
      </w:r>
      <w:r>
        <w:t xml:space="preserve">— o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deve ser lido como magnitude relativa entre degraus, não como teste (MHE, cap. 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MM logístico — ajuste e desempenho de classificação por degrau. LR vs. pooled: teste de razão de verossimilhança do A2 contra o logit sem efeito aleatório (fronteira, p/2); AUC com efeitos aleatórios (ajuste na amostra) e só com efeitos fixos; cutoff de Youden (maximiza sensibilidade + especificidade) com as taxas correspondentes; Hosmer–Lemeshow em dez decis. Modelos A1–A4 como na Tabela 14. Com N = 7{,}7 milhões qualquer desvio de calibração é “significativo” — o \chi^2 deve ser lido como magnitude relativa entre degraus, não como teste (MHE, cap. 8)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Desfecho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</m:oMath>
            <w:r>
              <w:t xml:space="preserve">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LR vs. pooled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 (RE)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 (FE)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Cutoff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Sens./Espec.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HL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qualificado (CBO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6.102.483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6.102.575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0,79/0,79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6.088.976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6.089.074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0,79/0,79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5.457.265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5.457.373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0,83/0,82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5.457.207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5.457.319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0,83/0,82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20% de 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5.271.208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5.271.300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0,79/0,79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5.251.296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5.251.394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108.283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0,79/0,79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4.967.208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4.967.316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0,81/0,80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4.966.299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4.966.411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0,81/0,80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 de 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3.276.689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3.276.781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0,83/0,81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6.085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3.258.340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3.258.438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80.791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0,83/0,81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3.075.653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3.075.761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0,83/0,83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3.074.632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3.074.744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0,85/0,82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2.472</w:t>
            </w:r>
          </w:p>
        </w:tc>
      </w:tr>
    </w:tbl>
    <w:bookmarkEnd w:id="100"/>
    <w:bookmarkEnd w:id="101"/>
    <w:bookmarkStart w:id="110" w:name="X1df7cc4eb0c7cc9fb7ddad12c1316189c49cc50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Interseccionalidade: raça e gênero no acesso e no topo</w:t>
      </w:r>
    </w:p>
    <w:bookmarkStart w:id="102" w:name="tab:interseccional"/>
    <w:p>
      <w:pPr>
        <w:pStyle w:val="TableCaption"/>
      </w:pPr>
      <w:r>
        <w:t xml:space="preserve">Decomposição interseccional (raça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gênero) do gap de rendimento</w:t>
      </w:r>
      <w:r>
        <w:t xml:space="preserve"> </w:t>
      </w:r>
      <w:r>
        <w:rPr>
          <w:i/>
          <w:iCs/>
        </w:rPr>
        <w:t xml:space="preserve">vs.</w:t>
      </w:r>
      <w:r>
        <w:t xml:space="preserve"> o Homem Branco (grupo de referência). Dotações: parcela explicada por</w:t>
      </w:r>
      <w:r>
        <w:t xml:space="preserve"> </w:t>
      </w:r>
      <w:r>
        <w:t xml:space="preserve">características observáveis; Retornos: parcela não explicada (discriminação). Gap (log):</w:t>
      </w:r>
      <w:r>
        <w:t xml:space="preserve"> </w:t>
      </w:r>
      <w:r>
        <w:t xml:space="preserve">a mesma desvantagem em log-pontos, a escala em que os efeitos de raça e de gênero se somam</w:t>
      </w:r>
      <w:r>
        <w:t xml:space="preserve"> </w:t>
      </w:r>
      <w:r>
        <w:t xml:space="preserve">(Crenshaw, 1989)</w:t>
      </w:r>
      <w:r>
        <w:t xml:space="preserve">. PNAD Contínua, população completa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do grupo de referência — homens brancos — na última linha da nota). Entre</w:t>
      </w:r>
      <w:r>
        <w:t xml:space="preserve"> </w:t>
      </w:r>
      <w:r>
        <w:t xml:space="preserve">parênteses: erro-padrão por bootstrap em blocos por UPA.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composição interseccional (raça \times gênero) do gap de rendimento vs. o Homem Branco (grupo de referência). Dotações: parcela explicada por características observáveis; Retornos: parcela não explicada (discriminação). Gap (log): a mesma desvantagem em log-pontos, a escala em que os efeitos de raça e de gênero se somam (Crenshaw, 1989). PNAD Contínua, população completa (N do grupo de referência — homens brancos — na última linha da nota). Entre parênteses: erro-padrão por bootstrap em blocos por UPA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vs HB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(log)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Dotações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Retornos 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do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Branca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 (0,2)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−97,0 (1,8)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197,0 (1,8)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1.429.355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Homem Negro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56,4 (0,5)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77,2 (0,3)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 (0,3)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2.662.039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 Negra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80,7 (0,6)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 (0,4)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72,6 (0,4)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1.765.796</w:t>
            </w:r>
          </w:p>
        </w:tc>
      </w:tr>
    </w:tbl>
    <w:bookmarkEnd w:id="102"/>
    <w:p>
      <w:pPr>
        <w:pStyle w:val="BodyText"/>
      </w:pPr>
      <w:r>
        <w:rPr>
          <w:i/>
          <w:iCs/>
        </w:rPr>
        <w:t xml:space="preserve">Como ler:</w:t>
      </w:r>
      <w:r>
        <w:t xml:space="preserve"> </w:t>
      </w:r>
      <w:r>
        <w:t xml:space="preserve">“Gap vs HB”</w:t>
      </w:r>
      <w:r>
        <w:t xml:space="preserve"> </w:t>
      </w:r>
      <w:r>
        <w:t xml:space="preserve">é a desvantagem de renda de cada grupo</w:t>
      </w:r>
      <w:r>
        <w:t xml:space="preserve"> </w:t>
      </w:r>
      <w:r>
        <w:rPr>
          <w:i/>
          <w:iCs/>
        </w:rPr>
        <w:t xml:space="preserve">vs.</w:t>
      </w:r>
      <w:r>
        <w:t xml:space="preserve"> o Homem Branco; Dotações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Retornos</w:t>
      </w:r>
      <w:r>
        <w:t xml:space="preserve"> </w:t>
      </w:r>
      <m:oMath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do gap. A Mulher Negra tem o</w:t>
      </w:r>
      <w:r>
        <w:t xml:space="preserve"> </w:t>
      </w:r>
      <w:r>
        <w:t xml:space="preserve">maior gap. Em log-pontos, o gap da Mulher Negra (0,592) fica abaixo da soma dos gaps da Mulher Branca e do Homem Negro (0,629): as desvantagens de raça e de gênero se acumulam sem se multiplicar — a interação é sub-aditiva, como no modelo de acesso. Somar os percentuais daria a impressão contrária, porque a escala percentual é convexa. O sinal negativo das dotações da Mulher</w:t>
      </w:r>
      <w:r>
        <w:t xml:space="preserve"> </w:t>
      </w:r>
      <w:r>
        <w:t xml:space="preserve">Branca indica que suas características observáveis</w:t>
      </w:r>
      <w:r>
        <w:t xml:space="preserve"> </w:t>
      </w:r>
      <w:r>
        <w:rPr>
          <w:i/>
          <w:iCs/>
        </w:rPr>
        <w:t xml:space="preserve">superam</w:t>
      </w:r>
      <w:r>
        <w:t xml:space="preserve"> </w:t>
      </w:r>
      <w:r>
        <w:t xml:space="preserve">as do homem branco: todo</w:t>
      </w:r>
      <w:r>
        <w:t xml:space="preserve"> </w:t>
      </w:r>
      <w:r>
        <w:t xml:space="preserve">o gap vem de retornos diferenciais. Grupo de referência: 1.842.088 homens brancos.</w:t>
      </w:r>
    </w:p>
    <w:p>
      <w:pPr>
        <w:pStyle w:val="BodyText"/>
      </w:pPr>
      <w:bookmarkStart w:id="103" w:name="subsec:interseccional"/>
      <w:bookmarkEnd w:id="103"/>
    </w:p>
    <w:p>
      <w:pPr>
        <w:pStyle w:val="BodyText"/>
      </w:pPr>
      <w:r>
        <w:t xml:space="preserve">Raça e gênero simplesmente se somam? Todos os modelos até aqui responderam que sim,</w:t>
      </w:r>
      <w:r>
        <w:t xml:space="preserve"> </w:t>
      </w:r>
      <w:r>
        <w:t xml:space="preserve">por construção: tratadas como penalidades aditivas, a desvantagem de ser negra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mulher seria a de ser negro mais a de ser mulher.</w:t>
      </w:r>
      <w:r>
        <w:t xml:space="preserve"> </w:t>
      </w:r>
      <w:r>
        <w:t xml:space="preserve">Crenshaw (1989)</w:t>
      </w:r>
      <w:r>
        <w:t xml:space="preserve"> </w:t>
      </w:r>
      <w:r>
        <w:t xml:space="preserve">desconfia</w:t>
      </w:r>
      <w:r>
        <w:t xml:space="preserve"> </w:t>
      </w:r>
      <w:r>
        <w:t xml:space="preserve">dessa aritmética, e a desconfiança é testável — basta trocar os dois indicadores</w:t>
      </w:r>
      <w:r>
        <w:t xml:space="preserve"> </w:t>
      </w:r>
      <w:r>
        <w:t xml:space="preserve">separados por um único fator de quatro grupos e deixar que os dados digam se a soma</w:t>
      </w:r>
      <w:r>
        <w:t xml:space="preserve"> </w:t>
      </w:r>
      <w:r>
        <w:t xml:space="preserve">fecha.</w:t>
      </w:r>
      <w:r>
        <w:rPr>
          <w:rStyle w:val="FootnoteReference"/>
        </w:rPr>
        <w:footnoteReference w:id="104"/>
      </w:r>
      <w:r>
        <w:t xml:space="preserve"> </w:t>
      </w:r>
      <w:r>
        <w:t xml:space="preserve">A Tabela </w:t>
      </w:r>
      <w:hyperlink w:anchor="tab:interseccional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traz a decomposição de Oaxaca–Blinder dos quatro grupos contra o homem branco, e a Figura </w:t>
      </w:r>
      <w:hyperlink w:anchor="fig:interseccional">
        <w:r>
          <w:rPr>
            <w:rStyle w:val="Hyperlink"/>
          </w:rPr>
          <w:t xml:space="preserve">10</w:t>
        </w:r>
      </w:hyperlink>
      <w:r>
        <w:t xml:space="preserve">, as razões de chance nos três desfechos.</w:t>
      </w:r>
    </w:p>
    <w:bookmarkStart w:id="108" w:name="fig:interseccional"/>
    <w:p>
      <w:pPr>
        <w:pStyle w:val="CaptionedFigure"/>
      </w:pPr>
      <w:r>
        <w:drawing>
          <wp:inline>
            <wp:extent cx="4373880" cy="1682261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outputs/figures/grupo_rg_interseccional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68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vantagem aparente da mulher negra no acesso é de composição: razões de chance dos quatro grupos raça</w:t>
      </w:r>
      <m:oMath>
        <m:r>
          <m:rPr>
            <m:sty m:val="p"/>
          </m:rPr>
          <m:t>×</m:t>
        </m:r>
      </m:oMath>
      <w:r>
        <w:t xml:space="preserve">gênero</w:t>
      </w:r>
      <w:r>
        <w:t xml:space="preserve"> </w:t>
      </w:r>
      <w:r>
        <w:rPr>
          <w:i/>
          <w:iCs/>
        </w:rPr>
        <w:t xml:space="preserve">vs.</w:t>
      </w:r>
      <w:r>
        <w:t xml:space="preserve"> homem</w:t>
      </w:r>
      <w:r>
        <w:t xml:space="preserve"> </w:t>
      </w:r>
      <w:r>
        <w:t xml:space="preserve">branco, em três desfechos. Na categoria agregada ela aparece acima da referência,</w:t>
      </w:r>
      <w:r>
        <w:t xml:space="preserve"> </w:t>
      </w:r>
      <w:r>
        <w:t xml:space="preserve">mas por composição: entra pelas ocupações feminizadas e é a mais distante do homem</w:t>
      </w:r>
      <w:r>
        <w:t xml:space="preserve"> </w:t>
      </w:r>
      <w:r>
        <w:t xml:space="preserve">branco entre os dirigentes e no topo da renda.</w:t>
      </w:r>
    </w:p>
    <w:bookmarkEnd w:id="108"/>
    <w:p>
      <w:pPr>
        <w:pStyle w:val="BodyText"/>
      </w:pPr>
      <w:r>
        <w:rPr>
          <w:i/>
          <w:iCs/>
        </w:rPr>
        <w:t xml:space="preserve">Como ler a Figura </w:t>
      </w:r>
      <w:hyperlink w:anchor="fig:interseccional">
        <w:r>
          <w:rPr>
            <w:rStyle w:val="Hyperlink"/>
            <w:i/>
            <w:iCs/>
          </w:rPr>
          <w:t xml:space="preserve">10</w:t>
        </w:r>
      </w:hyperlink>
      <w:r>
        <w:rPr>
          <w:i/>
          <w:iCs/>
        </w:rPr>
        <w:t xml:space="preserve">:</w:t>
      </w:r>
      <w:r>
        <w:t xml:space="preserve"> </w:t>
      </w:r>
      <w:r>
        <w:t xml:space="preserve">cada série é um grupo raça</w:t>
      </w:r>
      <m:oMath>
        <m:r>
          <m:rPr>
            <m:sty m:val="p"/>
          </m:rPr>
          <m:t>×</m:t>
        </m:r>
      </m:oMath>
      <w:r>
        <w:t xml:space="preserve">gênero e cada ponto, a razão de chances contra o homem branco, cuja referência é a linha tracejada em 1; abaixo dela, o grupo tem menos chance que ele. À esquerda, siga a série azul (mulher negra): ela aparece acima da referência na categoria agregada e termina como o grupo mais distante da referência no topo da renda. À direita, a mesma comparação por grande grupo da CBO mostra de onde vem a aparente vantagem: das ocupações feminizadas, não do comando.</w:t>
      </w:r>
    </w:p>
    <w:p>
      <w:pPr>
        <w:pStyle w:val="BodyText"/>
      </w:pPr>
      <w:r>
        <w:rPr>
          <w:b/>
          <w:bCs/>
        </w:rPr>
        <w:t xml:space="preserve">Na entrada, a vantagem da mulher negra é de ocupações feminizadas.</w:t>
      </w:r>
      <w:r>
        <w:t xml:space="preserve"> </w:t>
      </w:r>
      <w:r>
        <w:t xml:space="preserve">No acesso à ocupação qualificada (CBO 1–4) a mulher negra tem OR 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31</m:t>
        </m:r>
      </m:oMath>
      <w:r>
        <w:t xml:space="preserve">,</w:t>
      </w:r>
      <w:r>
        <w:t xml:space="preserve"> </w:t>
      </w:r>
      <w:r>
        <w:t xml:space="preserve">mais chance do que o homem branco de referência, e o grupo mais penalizado na entrada</w:t>
      </w:r>
      <w:r>
        <w:t xml:space="preserve"> </w:t>
      </w:r>
      <w:r>
        <w:t xml:space="preserve">é o</w:t>
      </w:r>
      <w:r>
        <w:t xml:space="preserve"> </w:t>
      </w:r>
      <w:r>
        <w:rPr>
          <w:b/>
          <w:bCs/>
        </w:rPr>
        <w:t xml:space="preserve">homem negro</w:t>
      </w:r>
      <w:r>
        <w:t xml:space="preserve"> </w:t>
      </w:r>
      <w:r>
        <w:t xml:space="preserve">(OR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76</m:t>
        </m:r>
      </m:oMath>
      <w:r>
        <w:t xml:space="preserve">). O agregado, porém, junta portas</w:t>
      </w:r>
      <w:r>
        <w:t xml:space="preserve"> </w:t>
      </w:r>
      <w:r>
        <w:t xml:space="preserve">muito diferentes, e estimar o mesmo modelo para cada grande grupo da CBO muda o</w:t>
      </w:r>
      <w:r>
        <w:t xml:space="preserve"> </w:t>
      </w:r>
      <w:r>
        <w:t xml:space="preserve">quadro. A aparente vantagem da mulher negra no acesso a cargos CBO 1–4 é composição: vem do apoio administrativo (OR 1,96) e das profissões de nível superior, sobretudo ensino e saúde (OR 1,36), ocupações feminizadas em que a mulher branca entra ainda mais (2,20 e 1,42). Entre os dirigentes, onde se exerce comando, a mulher negra tem a menor chance de todos os grupos (OR 0,63). Se a análise parasse no agregado, concluiria que a</w:t>
      </w:r>
      <w:r>
        <w:t xml:space="preserve"> </w:t>
      </w:r>
      <w:r>
        <w:t xml:space="preserve">interseccionalidade não se confirma na entrada; separada a ocupação, ela se confirma.</w:t>
      </w:r>
    </w:p>
    <w:p>
      <w:pPr>
        <w:pStyle w:val="BodyText"/>
      </w:pPr>
      <w:r>
        <w:rPr>
          <w:b/>
          <w:bCs/>
        </w:rPr>
        <w:t xml:space="preserve">No topo, a ordem se inverte e ela passa a ser a mais excluída.</w:t>
      </w:r>
      <w:r>
        <w:t xml:space="preserve"> </w:t>
      </w:r>
      <w:r>
        <w:t xml:space="preserve">No decil superior de renda o quadro vira: a mulher negra tem OR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</m:t>
        </m:r>
      </m:oMath>
      <w:r>
        <w:t xml:space="preserve">,</w:t>
      </w:r>
      <w:r>
        <w:t xml:space="preserve"> </w:t>
      </w:r>
      <w:r>
        <w:t xml:space="preserve">abaixo da mulher branca (</w:t>
      </w:r>
      <m:oMath>
        <m:r>
          <m:t>0</m:t>
        </m:r>
        <m:r>
          <m:rPr>
            <m:sty m:val="p"/>
          </m:rPr>
          <m:t>,</m:t>
        </m:r>
        <m:r>
          <m:t>37</m:t>
        </m:r>
      </m:oMath>
      <w:r>
        <w:t xml:space="preserve">) e do homem negro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73</m:t>
        </m:r>
      </m:oMath>
      <w:r>
        <w:t xml:space="preserve">). Em linguagem de leitor: as chances (</w:t>
      </w:r>
      <w:r>
        <w:rPr>
          <w:i/>
          <w:iCs/>
        </w:rPr>
        <w:t xml:space="preserve">odds</w:t>
      </w:r>
      <w:r>
        <w:t xml:space="preserve">) de uma</w:t>
      </w:r>
      <w:r>
        <w:t xml:space="preserve"> </w:t>
      </w:r>
      <w:r>
        <w:t xml:space="preserve">mulher negra chegar aos 10% mais ricos equivalem a 28% das de um homem branco com a</w:t>
      </w:r>
      <w:r>
        <w:t xml:space="preserve"> </w:t>
      </w:r>
      <w:r>
        <w:t xml:space="preserve">mesma escolaridade, idade, jornada, estado e bairro. A vantagem de gênero na</w:t>
      </w:r>
      <w:r>
        <w:t xml:space="preserve"> </w:t>
      </w:r>
      <w:r>
        <w:t xml:space="preserve">entrada, que já vinha das ocupações feminizadas, desaparece exatamente onde a ascensão</w:t>
      </w:r>
      <w:r>
        <w:t xml:space="preserve"> </w:t>
      </w:r>
      <w:r>
        <w:t xml:space="preserve">se decide, e o que sobra é o acúmulo das duas barreiras, um pouco abaixo da soma.</w:t>
      </w:r>
      <w:r>
        <w:rPr>
          <w:rStyle w:val="FootnoteReference"/>
        </w:rPr>
        <w:footnoteReference w:id="109"/>
      </w:r>
    </w:p>
    <w:p>
      <w:pPr>
        <w:pStyle w:val="BodyText"/>
      </w:pPr>
      <w:r>
        <w:t xml:space="preserve">Em uma frase: a mulher negra entra pelas ocupações feminizadas, mas não chega ao</w:t>
      </w:r>
      <w:r>
        <w:t xml:space="preserve"> </w:t>
      </w:r>
      <w:r>
        <w:t xml:space="preserve">comando nem ao topo.</w:t>
      </w:r>
    </w:p>
    <w:p>
      <w:pPr>
        <w:pStyle w:val="BodyText"/>
      </w:pPr>
      <w:r>
        <w:t xml:space="preserve">Esse achado refina a tese central: o teto de vidro não é racial nem sexualmente neutro</w:t>
      </w:r>
      <w:r>
        <w:t xml:space="preserve"> </w:t>
      </w:r>
      <w:r>
        <w:t xml:space="preserve">— recai com força máxima sobre a mulher negra, que pode</w:t>
      </w:r>
      <w:r>
        <w:t xml:space="preserve"> </w:t>
      </w:r>
      <w:r>
        <w:rPr>
          <w:i/>
          <w:iCs/>
        </w:rPr>
        <w:t xml:space="preserve">entrar</w:t>
      </w:r>
      <w:r>
        <w:t xml:space="preserve"> </w:t>
      </w:r>
      <w:r>
        <w:t xml:space="preserve">em ocupações</w:t>
      </w:r>
      <w:r>
        <w:t xml:space="preserve"> </w:t>
      </w:r>
      <w:r>
        <w:t xml:space="preserve">qualificadas, mas é sistematicamente barrada de</w:t>
      </w:r>
      <w:r>
        <w:t xml:space="preserve"> </w:t>
      </w:r>
      <w:r>
        <w:rPr>
          <w:i/>
          <w:iCs/>
        </w:rPr>
        <w:t xml:space="preserve">chegar ao topo</w:t>
      </w:r>
      <w:r>
        <w:t xml:space="preserve"> </w:t>
      </w:r>
      <w:r>
        <w:t xml:space="preserve">da remuneração.</w:t>
      </w:r>
    </w:p>
    <w:bookmarkEnd w:id="110"/>
    <w:bookmarkStart w:id="112" w:name="subsec:vif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Multicolinearidade do Modelo M4: Análise VIF</w:t>
      </w:r>
    </w:p>
    <w:p>
      <w:pPr>
        <w:pStyle w:val="FirstParagraph"/>
      </w:pPr>
      <w:r>
        <w:t xml:space="preserve">Os controles do M4 estão brigando entre si? A pergunta é legítima: o modelo empilha nove indicadores de grupo ocupacional sobre três de vínculo, e variáveis muito próximas entre si inflam o erro-padrão umas das outras, a ponto de tornar instável justamente o coeficiente que interessa. O</w:t>
      </w:r>
      <w:r>
        <w:t xml:space="preserve"> </w:t>
      </w:r>
      <w:r>
        <w:rPr>
          <w:i/>
          <w:iCs/>
        </w:rPr>
        <w:t xml:space="preserve">Variance Inflation Factor</w:t>
      </w:r>
      <w:r>
        <w:t xml:space="preserve"> </w:t>
      </w:r>
      <w:r>
        <w:t xml:space="preserve">mede esse efeito: quanto a variância de cada estimativa cresce em razão das demais. A resposta, aqui, é que há colinearidade — mas não onde ela importaria.</w:t>
      </w:r>
      <w:r>
        <w:rPr>
          <w:rStyle w:val="FootnoteReference"/>
        </w:rPr>
        <w:footnoteReference w:id="111"/>
      </w:r>
      <w:r>
        <w:t xml:space="preserve"> </w:t>
      </w:r>
      <w:r>
        <w:t xml:space="preserve">Nenhum preditor do M4 tem VIF acima de dez; o maior é o de</w:t>
      </w:r>
      <w:r>
        <w:t xml:space="preserve"> </w:t>
      </w:r>
      <w:r>
        <w:rPr>
          <w:rStyle w:val="VerbatimChar"/>
        </w:rPr>
        <w:t xml:space="preserve">ocp_profissional</w:t>
      </w:r>
      <w:r>
        <w:t xml:space="preserve"> </w:t>
      </w:r>
      <w:r>
        <w:t xml:space="preserve">(2,66). A colinearidade que houver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contamina o coeficiente de</w:t>
      </w:r>
      <w:r>
        <w:t xml:space="preserve"> </w:t>
      </w:r>
      <w:r>
        <w:t xml:space="preserve">interesse: o VIF de</w:t>
      </w:r>
      <w:r>
        <w:t xml:space="preserve"> </w:t>
      </w:r>
      <w:r>
        <w:rPr>
          <w:rStyle w:val="VerbatimChar"/>
        </w:rPr>
        <w:t xml:space="preserve">negro</w:t>
      </w:r>
      <w:r>
        <w:t xml:space="preserve"> </w:t>
      </w:r>
      <w:r>
        <w:t xml:space="preserve">é 1,36 e o das variáveis de contexto da UPA fica abaixo de</w:t>
      </w:r>
      <w:r>
        <w:t xml:space="preserve"> </w:t>
      </w:r>
      <w:r>
        <w:t xml:space="preserve">2,2. Entre as</w:t>
      </w:r>
      <w:r>
        <w:t xml:space="preserve"> </w:t>
      </w:r>
      <w:r>
        <w:rPr>
          <w:i/>
          <w:iCs/>
        </w:rPr>
        <w:t xml:space="preserve">dummies</w:t>
      </w:r>
      <w:r>
        <w:t xml:space="preserve"> </w:t>
      </w:r>
      <w:r>
        <w:t xml:space="preserve">de CBO e as variáveis de vínculo — a</w:t>
      </w:r>
      <w:r>
        <w:t xml:space="preserve"> </w:t>
      </w:r>
      <w:r>
        <w:t xml:space="preserve">colinearidade que se temia no M4 — o VIF máximo é 2,66. A especificação</w:t>
      </w:r>
      <w:r>
        <w:t xml:space="preserve"> </w:t>
      </w:r>
      <w:r>
        <w:t xml:space="preserve">do M4 dispensa, portanto, ortogonalização ou eliminação de preditores; o que ela</w:t>
      </w:r>
      <w:r>
        <w:t xml:space="preserve"> </w:t>
      </w:r>
      <w:r>
        <w:t xml:space="preserve">não dispensa é a ressalva de</w:t>
      </w:r>
      <w:r>
        <w:t xml:space="preserve"> </w:t>
      </w:r>
      <w:r>
        <w:rPr>
          <w:i/>
          <w:iCs/>
        </w:rPr>
        <w:t xml:space="preserve">bad control</w:t>
      </w:r>
      <w:r>
        <w:t xml:space="preserve"> </w:t>
      </w:r>
      <w:r>
        <w:t xml:space="preserve">(Seção </w:t>
      </w:r>
      <w:hyperlink w:anchor="subsec:hlm_resultados">
        <w:r>
          <w:rPr>
            <w:rStyle w:val="Hyperlink"/>
          </w:rPr>
          <w:t xml:space="preserve">4.1</w:t>
        </w:r>
      </w:hyperlink>
      <w:r>
        <w:t xml:space="preserve">).</w:t>
      </w:r>
    </w:p>
    <w:bookmarkEnd w:id="112"/>
    <w:bookmarkEnd w:id="113"/>
    <w:bookmarkStart w:id="117" w:name="sec:discussa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Discussão e Prescrição</w:t>
      </w:r>
    </w:p>
    <w:p>
      <w:pPr>
        <w:pStyle w:val="FirstParagraph"/>
      </w:pPr>
      <w:r>
        <w:rPr>
          <w:b/>
          <w:bCs/>
        </w:rPr>
        <w:t xml:space="preserve">Nota terminológica.</w:t>
      </w:r>
      <w:r>
        <w:t xml:space="preserve"> </w:t>
      </w:r>
      <w:r>
        <w:t xml:space="preserve">Três conceitos próximos, mas distintos, percorrem este trabalho e não devem ser</w:t>
      </w:r>
      <w:r>
        <w:t xml:space="preserve"> </w:t>
      </w:r>
      <w:r>
        <w:t xml:space="preserve">confundidos.</w:t>
      </w:r>
      <w:r>
        <w:t xml:space="preserve"> </w:t>
      </w:r>
      <w:r>
        <w:rPr>
          <w:b/>
          <w:bCs/>
        </w:rPr>
        <w:t xml:space="preserve">Mediação contextual</w:t>
      </w:r>
      <w:r>
        <w:t xml:space="preserve"> </w:t>
      </w:r>
      <w:r>
        <w:t xml:space="preserve">(HLM) é a fração do gap agregado</w:t>
      </w:r>
      <w:r>
        <w:t xml:space="preserve"> </w:t>
      </w:r>
      <w:r>
        <w:t xml:space="preserve">(condicional a capital humano e estado) que</w:t>
      </w:r>
      <w:r>
        <w:t xml:space="preserve"> </w:t>
      </w:r>
      <w:r>
        <w:rPr>
          <w:i/>
          <w:iCs/>
        </w:rPr>
        <w:t xml:space="preserve">desaparece</w:t>
      </w:r>
      <w:r>
        <w:t xml:space="preserve"> </w:t>
      </w:r>
      <w:r>
        <w:t xml:space="preserve">ao se compararem</w:t>
      </w:r>
      <w:r>
        <w:t xml:space="preserve"> </w:t>
      </w:r>
      <w:r>
        <w:t xml:space="preserve">pessoas do mesmo bairro (UPA) — mede o quanto da penalidade racial transita</w:t>
      </w:r>
      <w:r>
        <w:t xml:space="preserve"> </w:t>
      </w:r>
      <w:r>
        <w:rPr>
          <w:i/>
          <w:iCs/>
        </w:rPr>
        <w:t xml:space="preserve">pelo</w:t>
      </w:r>
      <w:r>
        <w:t xml:space="preserve"> </w:t>
      </w:r>
      <w:r>
        <w:t xml:space="preserve">território.</w:t>
      </w:r>
      <w:r>
        <w:t xml:space="preserve"> </w:t>
      </w:r>
      <w:r>
        <w:rPr>
          <w:b/>
          <w:bCs/>
        </w:rPr>
        <w:t xml:space="preserve">Efeito dotação</w:t>
      </w:r>
      <w:r>
        <w:t xml:space="preserve"> </w:t>
      </w:r>
      <w:r>
        <w:t xml:space="preserve">(Oaxaca–Blinder) é a parcela do gap atribuível a</w:t>
      </w:r>
      <w:r>
        <w:t xml:space="preserve"> </w:t>
      </w:r>
      <w:r>
        <w:rPr>
          <w:i/>
          <w:iCs/>
        </w:rPr>
        <w:t xml:space="preserve">diferenças nas características observáveis</w:t>
      </w:r>
      <w:r>
        <w:t xml:space="preserve"> </w:t>
      </w:r>
      <w:r>
        <w:t xml:space="preserve">entre brancos e negros</w:t>
      </w:r>
      <w:r>
        <w:t xml:space="preserve"> </w:t>
      </w:r>
      <w:r>
        <w:t xml:space="preserve">(escolaridade, ocupação, contexto), por oposição ao</w:t>
      </w:r>
      <w:r>
        <w:t xml:space="preserve"> </w:t>
      </w:r>
      <w:r>
        <w:rPr>
          <w:b/>
          <w:bCs/>
        </w:rPr>
        <w:t xml:space="preserve">efeito retornos</w:t>
      </w:r>
      <w:r>
        <w:t xml:space="preserve"> </w:t>
      </w:r>
      <w:r>
        <w:t xml:space="preserve">(preços diferenciais pagos às mesmas características).</w:t>
      </w:r>
      <w:r>
        <w:t xml:space="preserve"> </w:t>
      </w:r>
      <w:r>
        <w:rPr>
          <w:b/>
          <w:bCs/>
        </w:rPr>
        <w:t xml:space="preserve">Gap líquido</w:t>
      </w:r>
      <w:r>
        <w:t xml:space="preserve"> </w:t>
      </w:r>
      <w:r>
        <w:t xml:space="preserve">é o diferencial que</w:t>
      </w:r>
      <w:r>
        <w:t xml:space="preserve"> </w:t>
      </w:r>
      <w:r>
        <w:rPr>
          <w:i/>
          <w:iCs/>
        </w:rPr>
        <w:t xml:space="preserve">persiste</w:t>
      </w:r>
      <w:r>
        <w:t xml:space="preserve"> </w:t>
      </w:r>
      <w:r>
        <w:t xml:space="preserve">após o controle de</w:t>
      </w:r>
      <w:r>
        <w:t xml:space="preserve"> </w:t>
      </w:r>
      <w:r>
        <w:t xml:space="preserve">capital humano e contexto (M3): 6,1%.</w:t>
      </w:r>
      <w:r>
        <w:t xml:space="preserve"> </w:t>
      </w:r>
      <w:r>
        <w:rPr>
          <w:b/>
          <w:bCs/>
        </w:rPr>
        <w:t xml:space="preserve">Gap residual pós-ocupação</w:t>
      </w:r>
      <w:r>
        <w:t xml:space="preserve"> </w:t>
      </w:r>
      <w:r>
        <w:t xml:space="preserve">é o</w:t>
      </w:r>
      <w:r>
        <w:t xml:space="preserve"> </w:t>
      </w:r>
      <w:r>
        <w:t xml:space="preserve">que resta ao se controlar também ocupação e formalidade (M4): 5,6% — um limite</w:t>
      </w:r>
      <w:r>
        <w:t xml:space="preserve"> </w:t>
      </w:r>
      <w:r>
        <w:t xml:space="preserve">inferior, pois a ocupação é ela própria resultado da barreira de acesso. Em suma: a mediação contextual responde</w:t>
      </w:r>
      <w:r>
        <w:t xml:space="preserve"> </w:t>
      </w:r>
      <w:r>
        <w:t xml:space="preserve">“por onde passa o gap”</w:t>
      </w:r>
      <w:r>
        <w:t xml:space="preserve">; a decomposição de dotações,</w:t>
      </w:r>
      <w:r>
        <w:t xml:space="preserve"> </w:t>
      </w:r>
      <w:r>
        <w:t xml:space="preserve">“de que ele é feito”</w:t>
      </w:r>
      <w:r>
        <w:t xml:space="preserve">; e o</w:t>
      </w:r>
      <w:r>
        <w:t xml:space="preserve"> </w:t>
      </w:r>
      <w:r>
        <w:t xml:space="preserve">gap líquido,</w:t>
      </w:r>
      <w:r>
        <w:t xml:space="preserve"> </w:t>
      </w:r>
      <w:r>
        <w:t xml:space="preserve">“o que sobra sem explicação”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 diagnose às políticas.</w:t>
      </w:r>
      <w:r>
        <w:t xml:space="preserve"> </w:t>
      </w:r>
      <w:r>
        <w:t xml:space="preserve">O diagnóstico das duas barreiras revela gargalos simultâneos — exclusão de</w:t>
      </w:r>
      <w:r>
        <w:t xml:space="preserve"> </w:t>
      </w:r>
      <w:r>
        <w:t xml:space="preserve">acesso às ocupações qualificadas e penalidade salarial que persiste dentro delas</w:t>
      </w:r>
      <w:r>
        <w:t xml:space="preserve"> </w:t>
      </w:r>
      <w:r>
        <w:t xml:space="preserve">— que aparecem juntas nos mesmos dados. A consequência para o desenho de políticas</w:t>
      </w:r>
      <w:r>
        <w:t xml:space="preserve"> </w:t>
      </w:r>
      <w:r>
        <w:t xml:space="preserve">é direta: nenhuma intervenção unidimensional (só cotas de acesso, só fiscalização</w:t>
      </w:r>
      <w:r>
        <w:t xml:space="preserve"> </w:t>
      </w:r>
      <w:r>
        <w:t xml:space="preserve">salarial, só escolaridade) atinge as duas barreiras ao mesmo tempo; a magnitude</w:t>
      </w:r>
      <w:r>
        <w:t xml:space="preserve"> </w:t>
      </w:r>
      <w:r>
        <w:t xml:space="preserve">relativa de cada uma, estimada aqui, é o insumo para priorizá-las.</w:t>
      </w:r>
    </w:p>
    <w:p>
      <w:pPr>
        <w:pStyle w:val="BodyText"/>
      </w:pPr>
      <w:r>
        <w:rPr>
          <w:b/>
          <w:bCs/>
        </w:rPr>
        <w:t xml:space="preserve">O que este trabalho acrescenta ao debate.</w:t>
      </w:r>
      <w:r>
        <w:t xml:space="preserve"> </w:t>
      </w:r>
      <w:r>
        <w:t xml:space="preserve">Hasenbalg (1979)</w:t>
      </w:r>
      <w:r>
        <w:t xml:space="preserve"> </w:t>
      </w:r>
      <w:r>
        <w:t xml:space="preserve">identificou a discriminação racial como estrutural,</w:t>
      </w:r>
      <w:r>
        <w:t xml:space="preserve"> </w:t>
      </w:r>
      <w:r>
        <w:t xml:space="preserve">sem poder quantificar mecanismos em escala nacional.</w:t>
      </w:r>
      <w:r>
        <w:t xml:space="preserve"> </w:t>
      </w:r>
      <w:r>
        <w:t xml:space="preserve">Henriques (2001)</w:t>
      </w:r>
      <w:r>
        <w:t xml:space="preserve"> </w:t>
      </w:r>
      <w:r>
        <w:t xml:space="preserve">documentou o gap educacional racial, mas não separou</w:t>
      </w:r>
      <w:r>
        <w:t xml:space="preserve"> </w:t>
      </w:r>
      <w:r>
        <w:t xml:space="preserve">o efeito educacional do de redes e contexto.</w:t>
      </w:r>
      <w:r>
        <w:t xml:space="preserve"> </w:t>
      </w:r>
      <w:r>
        <w:t xml:space="preserve">Soares (2009)</w:t>
      </w:r>
      <w:r>
        <w:t xml:space="preserve"> </w:t>
      </w:r>
      <w:r>
        <w:t xml:space="preserve">estimou, com dados de 2006, que cerca de 50% do gap</w:t>
      </w:r>
      <w:r>
        <w:t xml:space="preserve"> </w:t>
      </w:r>
      <w:r>
        <w:t xml:space="preserve">salarial seria</w:t>
      </w:r>
      <w:r>
        <w:t xml:space="preserve"> </w:t>
      </w:r>
      <w:r>
        <w:t xml:space="preserve">“inexplicado”</w:t>
      </w:r>
      <w:r>
        <w:t xml:space="preserve"> </w:t>
      </w:r>
      <w:r>
        <w:t xml:space="preserve">— interpretado como discriminação direta.</w:t>
      </w:r>
      <w:r>
        <w:t xml:space="preserve"> </w:t>
      </w:r>
      <w:r>
        <w:t xml:space="preserve">Este trabalho, com dados de 2016–2025 e metodologias não disponíveis</w:t>
      </w:r>
      <w:r>
        <w:t xml:space="preserve"> </w:t>
      </w:r>
      <w:r>
        <w:t xml:space="preserve">a Soares, decompõe essa</w:t>
      </w:r>
      <w:r>
        <w:t xml:space="preserve"> </w:t>
      </w:r>
      <w:r>
        <w:rPr>
          <w:i/>
          <w:iCs/>
        </w:rPr>
        <w:t xml:space="preserve">caixa preta</w:t>
      </w:r>
      <w:r>
        <w:t xml:space="preserve">. Na especificação comparável à dele</w:t>
      </w:r>
      <w:r>
        <w:t xml:space="preserve"> </w:t>
      </w:r>
      <w:r>
        <w:t xml:space="preserve">(capital humano e contexto, sem ocupação), 17,9% do gap bruto são retornos</w:t>
      </w:r>
      <w:r>
        <w:t xml:space="preserve"> </w:t>
      </w:r>
      <w:r>
        <w:t xml:space="preserve">diferenciais — limite superior do tratamento diferencial — e 82,1% são</w:t>
      </w:r>
      <w:r>
        <w:t xml:space="preserve"> </w:t>
      </w:r>
      <w:r>
        <w:t xml:space="preserve">diferenças de dotações; quando a ocupação é tratada como dotação, o não explicado</w:t>
      </w:r>
      <w:r>
        <w:t xml:space="preserve"> </w:t>
      </w:r>
      <w:r>
        <w:t xml:space="preserve">cai para 15,4%, e 84,6% passam a ser dotações — mas essas dotações são, elas mesmas,</w:t>
      </w:r>
      <w:r>
        <w:t xml:space="preserve"> </w:t>
      </w:r>
      <w:r>
        <w:t xml:space="preserve">produto da barreira de acesso às ocupações qualificadas (GLMM), que este</w:t>
      </w:r>
      <w:r>
        <w:t xml:space="preserve"> </w:t>
      </w:r>
      <w:r>
        <w:t xml:space="preserve">trabalho quantifica em conjunto com a penalidade salarial.</w:t>
      </w:r>
      <w:r>
        <w:t xml:space="preserve"> </w:t>
      </w:r>
      <w:r>
        <w:t xml:space="preserve">A contribuição central não é mostrar que o gap existe — isso a</w:t>
      </w:r>
      <w:r>
        <w:t xml:space="preserve"> </w:t>
      </w:r>
      <w:r>
        <w:t xml:space="preserve">literatura já sabia desde</w:t>
      </w:r>
      <w:r>
        <w:t xml:space="preserve"> </w:t>
      </w:r>
      <w:r>
        <w:t xml:space="preserve">Hasenbalg (1979)</w:t>
      </w:r>
      <w:r>
        <w:t xml:space="preserve"> </w:t>
      </w:r>
      <w:r>
        <w:t xml:space="preserve">—,</w:t>
      </w:r>
      <w:r>
        <w:t xml:space="preserve"> </w:t>
      </w:r>
      <w:r>
        <w:t xml:space="preserve">mas mostrar que ele é consistente com um</w:t>
      </w:r>
      <w:r>
        <w:t xml:space="preserve"> </w:t>
      </w:r>
      <w:r>
        <w:rPr>
          <w:b/>
          <w:bCs/>
        </w:rPr>
        <w:t xml:space="preserve">sistema combinado</w:t>
      </w:r>
      <w:r>
        <w:t xml:space="preserve"> </w:t>
      </w:r>
      <w:r>
        <w:t xml:space="preserve">em que discriminação de acesso, segregação</w:t>
      </w:r>
      <w:r>
        <w:t xml:space="preserve"> </w:t>
      </w:r>
      <w:r>
        <w:t xml:space="preserve">residencial e penalidade salarial operam em conjunto, tornando</w:t>
      </w:r>
      <w:r>
        <w:t xml:space="preserve"> </w:t>
      </w:r>
      <w:r>
        <w:t xml:space="preserve">insuficientes políticas focadas em um único mecanismo.</w:t>
      </w:r>
    </w:p>
    <w:p>
      <w:pPr>
        <w:pStyle w:val="BodyText"/>
      </w:pPr>
      <w:r>
        <w:rPr>
          <w:b/>
          <w:bCs/>
        </w:rPr>
        <w:t xml:space="preserve">Diálogo com o quadro macro recente do IBGE.</w:t>
      </w:r>
      <w:r>
        <w:t xml:space="preserve"> </w:t>
      </w:r>
      <w:r>
        <w:t xml:space="preserve">Os resultados convergem com o retrato macroestrutural mais recente. A melhora multidimensional captada pela POF não eliminou o gap racial de qualidade de vida, e a renda voltou a concentrar-se no topo em 2025.</w:t>
      </w:r>
      <w:r>
        <w:rPr>
          <w:rStyle w:val="FootnoteReference"/>
        </w:rPr>
        <w:footnoteReference w:id="114"/>
      </w:r>
      <w:r>
        <w:t xml:space="preserve"> </w:t>
      </w:r>
      <w:r>
        <w:t xml:space="preserve">As duas medidas não são a mesma coisa, e a diferença importa para não se ler tendência onde há mudança de conceito.</w:t>
      </w:r>
      <w:r>
        <w:rPr>
          <w:rStyle w:val="FootnoteReference"/>
        </w:rPr>
        <w:footnoteReference w:id="115"/>
      </w:r>
      <w:r>
        <w:t xml:space="preserve"> </w:t>
      </w:r>
      <w:r>
        <w:t xml:space="preserve">No conceito adotado aqui, a desigualdade</w:t>
      </w:r>
      <w:r>
        <w:t xml:space="preserve"> </w:t>
      </w:r>
      <w:r>
        <w:rPr>
          <w:i/>
          <w:iCs/>
        </w:rPr>
        <w:t xml:space="preserve">interna</w:t>
      </w:r>
      <w:r>
        <w:t xml:space="preserve"> </w:t>
      </w:r>
      <w:r>
        <w:t xml:space="preserve">é maior entre brancos (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477</m:t>
        </m:r>
      </m:oMath>
      <w:r>
        <w:t xml:space="preserve">) do que entre negros</w:t>
      </w:r>
      <w:r>
        <w:t xml:space="preserve"> </w:t>
      </w:r>
      <w:r>
        <w:t xml:space="preserve">(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436</m:t>
        </m:r>
      </m:oMath>
      <w:r>
        <w:t xml:space="preserve">) — não por equidade, mas por confinamento dos</w:t>
      </w:r>
      <w:r>
        <w:t xml:space="preserve"> </w:t>
      </w:r>
      <w:r>
        <w:t xml:space="preserve">negros ao piso da distribuição, o reverso distribucional do teto de vidro.</w:t>
      </w:r>
    </w:p>
    <w:p>
      <w:pPr>
        <w:pStyle w:val="BodyText"/>
      </w:pPr>
      <w:r>
        <w:rPr>
          <w:b/>
          <w:bCs/>
        </w:rPr>
        <w:t xml:space="preserve">Triangulação com o Índice de Progresso Social (IPS).</w:t>
      </w:r>
      <w:r>
        <w:t xml:space="preserve"> </w:t>
      </w:r>
      <w:r>
        <w:t xml:space="preserve">O IPS municipal</w:t>
      </w:r>
      <w:r>
        <w:t xml:space="preserve"> </w:t>
      </w:r>
      <w:r>
        <w:t xml:space="preserve">(Wilm et al., 2026)</w:t>
      </w:r>
      <w:r>
        <w:t xml:space="preserve"> </w:t>
      </w:r>
      <w:r>
        <w:t xml:space="preserve">— que avalia a qualidade de vida dos</w:t>
      </w:r>
      <w:r>
        <w:t xml:space="preserve"> </w:t>
      </w:r>
      <w:r>
        <w:t xml:space="preserve">5.570 municípios brasileiros a partir de 57 indicadores sociais e ambientais —</w:t>
      </w:r>
      <w:r>
        <w:t xml:space="preserve"> </w:t>
      </w:r>
      <w:r>
        <w:t xml:space="preserve">oferece corroboração externa e multidimensional do eixo territorial desta tese.</w:t>
      </w:r>
      <w:r>
        <w:t xml:space="preserve"> </w:t>
      </w:r>
      <w:r>
        <w:t xml:space="preserve">Uma integração</w:t>
      </w:r>
      <w:r>
        <w:t xml:space="preserve"> </w:t>
      </w:r>
      <w:r>
        <w:rPr>
          <w:i/>
          <w:iCs/>
        </w:rPr>
        <w:t xml:space="preserve">fina</w:t>
      </w:r>
      <w:r>
        <w:t xml:space="preserve"> </w:t>
      </w:r>
      <w:r>
        <w:t xml:space="preserve">com o nosso proxy de bairro (UPA) é, contudo,</w:t>
      </w:r>
      <w:r>
        <w:t xml:space="preserve"> </w:t>
      </w:r>
      <w:r>
        <w:t xml:space="preserve">inviável: o painel público da PNAD não divulga o município (apenas UF e a situação</w:t>
      </w:r>
      <w:r>
        <w:t xml:space="preserve"> </w:t>
      </w:r>
      <w:r>
        <w:t xml:space="preserve">capital/RM/interior), e o IPS é municipal — portanto mais agregado que a UPA, que</w:t>
      </w:r>
      <w:r>
        <w:t xml:space="preserve"> </w:t>
      </w:r>
      <w:r>
        <w:t xml:space="preserve">é sub-municipal. O IPS, assim, não valida o achado de</w:t>
      </w:r>
      <w:r>
        <w:t xml:space="preserve"> </w:t>
      </w:r>
      <w:r>
        <w:rPr>
          <w:i/>
          <w:iCs/>
        </w:rPr>
        <w:t xml:space="preserve">bairro</w:t>
      </w:r>
      <w:r>
        <w:t xml:space="preserve">: situa-se</w:t>
      </w:r>
      <w:r>
        <w:t xml:space="preserve"> </w:t>
      </w:r>
      <w:r>
        <w:t xml:space="preserve">acima dele na escala e mede progresso social geral, não desigualdade racial. Fica</w:t>
      </w:r>
      <w:r>
        <w:t xml:space="preserve"> </w:t>
      </w:r>
      <w:r>
        <w:t xml:space="preserve">como agenda: com o município identificado (microdados de acesso restrito), seria</w:t>
      </w:r>
      <w:r>
        <w:t xml:space="preserve"> </w:t>
      </w:r>
      <w:r>
        <w:t xml:space="preserve">possível testar se a penalidade de bairro varia com o progresso social do município.</w:t>
      </w:r>
    </w:p>
    <w:p>
      <w:pPr>
        <w:pStyle w:val="BodyText"/>
      </w:pPr>
      <w:r>
        <w:rPr>
          <w:b/>
          <w:bCs/>
        </w:rPr>
        <w:t xml:space="preserve">O diploma quase iguala o salário, mas não abre a porta.</w:t>
      </w:r>
      <w:r>
        <w:t xml:space="preserve"> </w:t>
      </w:r>
      <w:r>
        <w:t xml:space="preserve">As duas barreiras respondem de modo diferente à escolaridade. A penalidade salarial é de 9</w:t>
      </w:r>
      <w:r>
        <w:t xml:space="preserve">,</w:t>
      </w:r>
      <w:r>
        <w:t xml:space="preserve">6% entre quem não tem fundamental completo e cai a 1</w:t>
      </w:r>
      <w:r>
        <w:t xml:space="preserve">,</w:t>
      </w:r>
      <w:r>
        <w:t xml:space="preserve">1% na pós-graduação (Figura </w:t>
      </w:r>
      <w:hyperlink w:anchor="fig:hlm_negro_educ">
        <w:r>
          <w:rPr>
            <w:rStyle w:val="Hyperlink"/>
          </w:rPr>
          <w:t xml:space="preserve">3</w:t>
        </w:r>
      </w:hyperlink>
      <w:r>
        <w:t xml:space="preserve">); a desvantagem de acesso, não: com superior completo, as chances de um trabalhador negro chegar a um cargo qualificado seguem 18% menores que as de um branco de mesmo perfil e bairro, e com pós-graduação, 23% menores (GLMM, degrau A4, Tabela </w:t>
      </w:r>
      <w:hyperlink w:anchor="tab:glmm_glassceil">
        <w:r>
          <w:rPr>
            <w:rStyle w:val="Hyperlink"/>
          </w:rPr>
          <w:t xml:space="preserve">14</w:t>
        </w:r>
      </w:hyperlink>
      <w:r>
        <w:t xml:space="preserve">). A escolaridade se associa a quase toda a convergência salarial, mas não à de acesso. Duas cautelas: são diferenças condicionais entre pessoas comparáveis, não o efeito de estudar mais — quem chega à pós-graduação é um grupo selecionado —, e as razões de chances do A4 incluem o vínculo, o que faz delas um limite inferior da desvantagem.</w:t>
      </w:r>
    </w:p>
    <w:p>
      <w:pPr>
        <w:pStyle w:val="BodyText"/>
      </w:pPr>
      <w:r>
        <w:rPr>
          <w:b/>
          <w:bCs/>
        </w:rPr>
        <w:t xml:space="preserve">A segregação residencial como multiplicador da desigualdade.</w:t>
      </w:r>
      <w:r>
        <w:t xml:space="preserve"> </w:t>
      </w:r>
      <w:r>
        <w:t xml:space="preserve">O achado mais robusto desta análise é que 39,5% do gap salarial racial</w:t>
      </w:r>
      <w:r>
        <w:t xml:space="preserve"> </w:t>
      </w:r>
      <w:r>
        <w:t xml:space="preserve">condicional a capital humano é mediado pelo bairro de moradia — muito além do que modelos</w:t>
      </w:r>
      <w:r>
        <w:t xml:space="preserve"> </w:t>
      </w:r>
      <w:r>
        <w:t xml:space="preserve">cross-sectionais típicos, que ignoram a estrutura aninhada dos dados,</w:t>
      </w:r>
      <w:r>
        <w:t xml:space="preserve"> </w:t>
      </w:r>
      <w:r>
        <w:t xml:space="preserve">seriam capazes de estimar. O coeficiente contextual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γ</m:t>
                </m:r>
              </m:e>
            </m:acc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1272</m:t>
        </m:r>
      </m:oMath>
      <w:r>
        <w:t xml:space="preserve"> </w:t>
      </w:r>
      <w:r>
        <w:t xml:space="preserve">por desvio-padrão da proporção de negros na UPA</w:t>
      </w:r>
      <w:r>
        <w:t xml:space="preserve"> </w:t>
      </w:r>
      <w:r>
        <w:t xml:space="preserve">indica que a penalidade de viver em bairro segregado é da mesma ordem</w:t>
      </w:r>
      <w:r>
        <w:t xml:space="preserve"> </w:t>
      </w:r>
      <w:r>
        <w:t xml:space="preserve">de grandeza da própria penalidade individual de ser negro — e que 35,3%</w:t>
      </w:r>
      <w:r>
        <w:t xml:space="preserve"> </w:t>
      </w:r>
      <w:r>
        <w:t xml:space="preserve">da variância do rendimento está entre bairros, não entre pessoas.</w:t>
      </w:r>
      <w:r>
        <w:t xml:space="preserve"> </w:t>
      </w:r>
      <w:r>
        <w:t xml:space="preserve">Isso sugere que políticas de redistribuição de renda que não enfrentem</w:t>
      </w:r>
      <w:r>
        <w:t xml:space="preserve"> </w:t>
      </w:r>
      <w:r>
        <w:t xml:space="preserve">a segregação residencial terão eficácia limitada sobre o gap racial.</w:t>
      </w:r>
    </w:p>
    <w:p>
      <w:pPr>
        <w:pStyle w:val="BodyText"/>
      </w:pPr>
      <w:r>
        <w:rPr>
          <w:b/>
          <w:bCs/>
        </w:rPr>
        <w:t xml:space="preserve">Subvalorização do capital humano negro.</w:t>
      </w:r>
      <w:r>
        <w:t xml:space="preserve"> </w:t>
      </w:r>
      <w:r>
        <w:t xml:space="preserve">A decomposição de Oaxaca–Blinder atribui 17,9% do gap a</w:t>
      </w:r>
      <w:r>
        <w:t xml:space="preserve"> </w:t>
      </w:r>
      <w:r>
        <w:rPr>
          <w:i/>
          <w:iCs/>
        </w:rPr>
        <w:t xml:space="preserve">retornos</w:t>
      </w:r>
      <w:r>
        <w:t xml:space="preserve"> </w:t>
      </w:r>
      <w:r>
        <w:t xml:space="preserve">diferenciais — as mesmas características de capital humano e contexto rendem</w:t>
      </w:r>
      <w:r>
        <w:t xml:space="preserve"> </w:t>
      </w:r>
      <w:r>
        <w:t xml:space="preserve">menos a trabalhadores negros — e ainda 15,4% quando a própria posição</w:t>
      </w:r>
      <w:r>
        <w:t xml:space="preserve"> </w:t>
      </w:r>
      <w:r>
        <w:t xml:space="preserve">ocupacional é descontada; a decomposição RIF mostra que essa parcela chega a 27%</w:t>
      </w:r>
      <w:r>
        <w:t xml:space="preserve"> </w:t>
      </w:r>
      <w:r>
        <w:t xml:space="preserve">na base da distribuição. O GLMM acrescenta que a</w:t>
      </w:r>
      <w:r>
        <w:t xml:space="preserve"> </w:t>
      </w:r>
      <w:r>
        <w:t xml:space="preserve">credencial educacional não neutraliza a barreira de acesso (OR combinado de</w:t>
      </w:r>
      <w:r>
        <w:t xml:space="preserve"> </w:t>
      </w:r>
      <w:r>
        <w:rPr>
          <w:rStyle w:val="VerbatimChar"/>
        </w:rPr>
        <w:t xml:space="preserve">negro</w:t>
      </w:r>
      <w:r>
        <w:t xml:space="preserve"> </w:t>
      </w:r>
      <w:r>
        <w:t xml:space="preserve">de 0,818 entre os de superior completo). Juntas, essas evidências indicam</w:t>
      </w:r>
      <w:r>
        <w:t xml:space="preserve"> </w:t>
      </w:r>
      <w:r>
        <w:t xml:space="preserve">um duplo obstáculo ao retorno educacional: além da penalidade direta mensurada</w:t>
      </w:r>
      <w:r>
        <w:t xml:space="preserve"> </w:t>
      </w:r>
      <w:r>
        <w:t xml:space="preserve">pelo HLM, o acesso desigual às ocupações que convertem credenciais em renda.</w:t>
      </w:r>
      <w:r>
        <w:t xml:space="preserve"> </w:t>
      </w:r>
      <w:r>
        <w:t xml:space="preserve">Granovetter (1973)</w:t>
      </w:r>
      <w:r>
        <w:t xml:space="preserve"> </w:t>
      </w:r>
      <w:r>
        <w:t xml:space="preserve">oferece o mecanismo plausível — redes de indicação</w:t>
      </w:r>
      <w:r>
        <w:t xml:space="preserve"> </w:t>
      </w:r>
      <w:r>
        <w:t xml:space="preserve">que não cruzam fronteiras sociais —, hipótese que este trabalho não testa</w:t>
      </w:r>
      <w:r>
        <w:t xml:space="preserve"> </w:t>
      </w:r>
      <w:r>
        <w:t xml:space="preserve">diretamente e que fica como agenda.</w:t>
      </w:r>
    </w:p>
    <w:p>
      <w:pPr>
        <w:pStyle w:val="BodyText"/>
      </w:pPr>
      <w:r>
        <w:rPr>
          <w:b/>
          <w:bCs/>
        </w:rPr>
        <w:t xml:space="preserve">Persistência da discriminação direta.</w:t>
      </w:r>
      <w:r>
        <w:t xml:space="preserve"> </w:t>
      </w:r>
      <w:r>
        <w:t xml:space="preserve">O gap líquido de 6,1%, estimado após controlar por todos os vetores</w:t>
      </w:r>
      <w:r>
        <w:t xml:space="preserve"> </w:t>
      </w:r>
      <w:r>
        <w:t xml:space="preserve">de transmissão contextual, é o limite superior do intervalo — cujo piso é o</w:t>
      </w:r>
      <w:r>
        <w:t xml:space="preserve"> </w:t>
      </w:r>
      <w:r>
        <w:t xml:space="preserve">M4, com a ocupação — dentro do qual está a penalidade direta não explicada por</w:t>
      </w:r>
      <w:r>
        <w:t xml:space="preserve"> </w:t>
      </w:r>
      <w:r>
        <w:t xml:space="preserve">diferenças observáveis. Os valores SHAP reforçam essa</w:t>
      </w:r>
      <w:r>
        <w:t xml:space="preserve"> </w:t>
      </w:r>
      <w:r>
        <w:t xml:space="preserve">interpretação: a variável racial mantém o 14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lugar</w:t>
      </w:r>
      <w:r>
        <w:t xml:space="preserve"> </w:t>
      </w:r>
      <w:r>
        <w:t xml:space="preserve">na importância preditiva do XGBoost mesmo quando o modelo tem acesso</w:t>
      </w:r>
      <w:r>
        <w:t xml:space="preserve"> </w:t>
      </w:r>
      <w:r>
        <w:t xml:space="preserve">completo às variáveis educacionais, demográficas e contextuais.</w:t>
      </w:r>
      <w:r>
        <w:t xml:space="preserve"> </w:t>
      </w:r>
      <w:r>
        <w:t xml:space="preserve">Essa evidência é consistente com os experimentos de auditoria de</w:t>
      </w:r>
      <w:r>
        <w:t xml:space="preserve"> </w:t>
      </w:r>
      <w:r>
        <w:t xml:space="preserve">Pager (2007)</w:t>
      </w:r>
      <w:r>
        <w:t xml:space="preserve">, que demonstram experimentalmente a discriminação</w:t>
      </w:r>
      <w:r>
        <w:t xml:space="preserve"> </w:t>
      </w:r>
      <w:r>
        <w:t xml:space="preserve">racial em processos seletivos.</w:t>
      </w:r>
    </w:p>
    <w:p>
      <w:pPr>
        <w:pStyle w:val="BodyText"/>
      </w:pPr>
      <w:r>
        <w:rPr>
          <w:b/>
          <w:bCs/>
        </w:rPr>
        <w:t xml:space="preserve">A convergência veio num degrau, e não num ritmo.</w:t>
      </w:r>
      <w:r>
        <w:t xml:space="preserve"> </w:t>
      </w:r>
      <w:r>
        <w:t xml:space="preserve">Em dez anos o gap encolheu 14</w:t>
      </w:r>
      <w:r>
        <w:t xml:space="preserve">,</w:t>
      </w:r>
      <w:r>
        <w:t xml:space="preserve">7%, e a inclinação é estatisticamente distinta de zero</w:t>
      </w:r>
      <w:r>
        <w:rPr>
          <w:rStyle w:val="FootnoteReference"/>
        </w:rPr>
        <w:footnoteReference w:id="116"/>
      </w:r>
      <w:r>
        <w:t xml:space="preserve">. Uma reta, porém, descreve mal a série. No estudo de evento — a penalidade de cada ano contra a de 2019, com efeito fixo de bairro e erro agrupado por UPA, nível que difere do M3 por comparar só vizinhos —, ela oscilou sem tendência de 2016 a 2019 e caiu em 2020, de 7</w:t>
      </w:r>
      <w:r>
        <w:t xml:space="preserve">,</w:t>
      </w:r>
      <w:r>
        <w:t xml:space="preserve">0% para 5</w:t>
      </w:r>
      <w:r>
        <w:t xml:space="preserve">,</w:t>
      </w:r>
      <w:r>
        <w:t xml:space="preserve">9% (1</w:t>
      </w:r>
      <w:r>
        <w:t xml:space="preserve">,</w:t>
      </w:r>
      <w:r>
        <w:t xml:space="preserve">0 log-ponto acima da tendência anterior,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004</m:t>
        </m:r>
      </m:oMath>
      <w:r>
        <w:t xml:space="preserve">), sem voltar depois: em 2025 era de 5</w:t>
      </w:r>
      <w:r>
        <w:t xml:space="preserve">,</w:t>
      </w:r>
      <w:r>
        <w:t xml:space="preserve">2%. A queda não reflete a saída dos negros de menor renda do emprego: a ocupação deles caiu só 0</w:t>
      </w:r>
      <w:r>
        <w:t xml:space="preserve">,</w:t>
      </w:r>
      <w:r>
        <w:t xml:space="preserve">26 ponto percentual a mais que a dos brancos em 2020, dentro da tendência anterior, e passou a crescer mais que a deles a partir de 2022, quando a penalidade seguia menor. Também não reflete a entrevista por telefone, adotada pelo IBGE em 2020 e 2021: a penalidade menor persistiu depois da volta da coleta presencial. Sem grupo de controle, a série não identifica a causa do degrau; ela mostra que a década não teve um ritmo de convergência a extrapolar, e que os resultados agrupados de 2016–2025 são uma média dos dois patamares. Nada disso trivializa os avanços recentes em políticas de cotas e de acesso ao ensino superior. Diz, sim, que reformas no campo educacional, sem intervenção simultânea nos mecanismos de segregação residencial e de acesso às ocupações, são insuficientes — que é precisamente o que a sequência de modelos deste trabalho mostrou.</w:t>
      </w:r>
    </w:p>
    <w:p>
      <w:pPr>
        <w:pStyle w:val="BodyText"/>
      </w:pPr>
      <w:r>
        <w:rPr>
          <w:b/>
          <w:bCs/>
        </w:rPr>
        <w:t xml:space="preserve">Ancoragem em políticas públicas existentes.</w:t>
      </w:r>
      <w:r>
        <w:t xml:space="preserve"> </w:t>
      </w:r>
      <w:r>
        <w:t xml:space="preserve">As barreiras estimadas não são abstrações: cada uma corresponde a um instrumento</w:t>
      </w:r>
      <w:r>
        <w:t xml:space="preserve"> </w:t>
      </w:r>
      <w:r>
        <w:t xml:space="preserve">jurídico-institucional já existente no Brasil, cuja intensificação ou</w:t>
      </w:r>
      <w:r>
        <w:t xml:space="preserve"> </w:t>
      </w:r>
      <w:r>
        <w:t xml:space="preserve">aperfeiçoamento os resultados sugerem.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barreira de acesso</w:t>
      </w:r>
      <w:r>
        <w:t xml:space="preserve"> </w:t>
      </w:r>
      <w:r>
        <w:t xml:space="preserve">(GLMM, OR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814</m:t>
        </m:r>
      </m:oMath>
      <w:r>
        <w:t xml:space="preserve"> </w:t>
      </w:r>
      <w:r>
        <w:t xml:space="preserve">para CBO 1–4 no modelo com</w:t>
      </w:r>
      <w:r>
        <w:t xml:space="preserve"> </w:t>
      </w:r>
      <w:r>
        <w:t xml:space="preserve">contexto) dialoga diretamente com a Lei 15.142/2025, que substituiu a Lei 12.990/2014 e ampliou a reserva de vagas em concursos públicos federais a pessoas negras, indígenas e quilombolas, e cujo escopo o</w:t>
      </w:r>
      <w:r>
        <w:t xml:space="preserve"> </w:t>
      </w:r>
      <w:r>
        <w:t xml:space="preserve">diagnóstico sugere ampliar para níveis hierárquicos superiores — onde o teto de</w:t>
      </w:r>
      <w:r>
        <w:t xml:space="preserve"> </w:t>
      </w:r>
      <w:r>
        <w:t xml:space="preserve">vidro é mais severo (OR(top 10%)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761</m:t>
        </m:r>
      </m:oMath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qualificação e o acesso ao ensino superior</w:t>
      </w:r>
      <w:r>
        <w:t xml:space="preserve"> </w:t>
      </w:r>
      <w:r>
        <w:t xml:space="preserve">correspondem ao</w:t>
      </w:r>
      <w:r>
        <w:t xml:space="preserve"> </w:t>
      </w:r>
      <w:r>
        <w:rPr>
          <w:i/>
          <w:iCs/>
        </w:rPr>
        <w:t xml:space="preserve">Prouni</w:t>
      </w:r>
      <w:r>
        <w:t xml:space="preserve"> </w:t>
      </w:r>
      <w:r>
        <w:t xml:space="preserve">e ao</w:t>
      </w:r>
      <w:r>
        <w:t xml:space="preserve"> </w:t>
      </w:r>
      <w:r>
        <w:rPr>
          <w:i/>
          <w:iCs/>
        </w:rPr>
        <w:t xml:space="preserve">Fies</w:t>
      </w:r>
      <w:r>
        <w:t xml:space="preserve">, bem como ao legado do</w:t>
      </w:r>
      <w:r>
        <w:t xml:space="preserve"> </w:t>
      </w:r>
      <w:r>
        <w:rPr>
          <w:i/>
          <w:iCs/>
        </w:rPr>
        <w:t xml:space="preserve">PRONATEC</w:t>
      </w:r>
      <w:r>
        <w:t xml:space="preserve">; o</w:t>
      </w:r>
      <w:r>
        <w:t xml:space="preserve"> </w:t>
      </w:r>
      <w:r>
        <w:t xml:space="preserve">achado de que as mesmas credenciais rendem menos a trabalhadores negros (efeito</w:t>
      </w:r>
      <w:r>
        <w:t xml:space="preserve"> </w:t>
      </w:r>
      <w:r>
        <w:t xml:space="preserve">retornos da decomposição de Oaxaca–Blinder) indica que tais programas precisam ser</w:t>
      </w:r>
      <w:r>
        <w:t xml:space="preserve"> </w:t>
      </w:r>
      <w:r>
        <w:t xml:space="preserve">combinados a mecanismos de inserção ocupacional, sob pena de retorno marginal</w:t>
      </w:r>
      <w:r>
        <w:t xml:space="preserve"> </w:t>
      </w:r>
      <w:r>
        <w:t xml:space="preserve">decrescente.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combate à discriminação direta</w:t>
      </w:r>
      <w:r>
        <w:t xml:space="preserve"> </w:t>
      </w:r>
      <w:r>
        <w:t xml:space="preserve">encontra base na</w:t>
      </w:r>
      <w:r>
        <w:t xml:space="preserve"> </w:t>
      </w:r>
      <w:r>
        <w:rPr>
          <w:i/>
          <w:iCs/>
        </w:rPr>
        <w:t xml:space="preserve">Lei 9.029/1995</w:t>
      </w:r>
      <w:r>
        <w:t xml:space="preserve"> </w:t>
      </w:r>
      <w:r>
        <w:t xml:space="preserve">(que proíbe práticas discriminatórias na relação de trabalho) e no</w:t>
      </w:r>
      <w:r>
        <w:t xml:space="preserve"> </w:t>
      </w:r>
      <w:r>
        <w:rPr>
          <w:i/>
          <w:iCs/>
        </w:rPr>
        <w:t xml:space="preserve">Estatuto</w:t>
      </w:r>
      <w:r>
        <w:rPr>
          <w:i/>
          <w:iCs/>
        </w:rPr>
        <w:t xml:space="preserve"> </w:t>
      </w:r>
      <w:r>
        <w:rPr>
          <w:i/>
          <w:iCs/>
        </w:rPr>
        <w:t xml:space="preserve">da Igualdade Racial</w:t>
      </w:r>
      <w:r>
        <w:t xml:space="preserve"> </w:t>
      </w:r>
      <w:r>
        <w:t xml:space="preserve">(</w:t>
      </w:r>
      <w:r>
        <w:rPr>
          <w:i/>
          <w:iCs/>
        </w:rPr>
        <w:t xml:space="preserve">Lei 12.288/2010</w:t>
      </w:r>
      <w:r>
        <w:t xml:space="preserve">), cuja fiscalização o gap líquido de</w:t>
      </w:r>
      <w:r>
        <w:t xml:space="preserve"> </w:t>
      </w:r>
      <w:r>
        <w:t xml:space="preserve">6,1% — e a penalidade de 5,6% que persiste dentro da mesma ocupação —</w:t>
      </w:r>
      <w:r>
        <w:t xml:space="preserve"> </w:t>
      </w:r>
      <w:r>
        <w:t xml:space="preserve">justifica reforçar.</w:t>
      </w:r>
    </w:p>
    <w:bookmarkEnd w:id="117"/>
    <w:bookmarkStart w:id="159" w:name="sec:conclusao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Conclusão</w:t>
      </w:r>
    </w:p>
    <w:p>
      <w:pPr>
        <w:pStyle w:val="FirstParagraph"/>
      </w:pPr>
      <w:r>
        <w:t xml:space="preserve">Este estudo mostra que a meritocracia baseada em capital humano falha</w:t>
      </w:r>
      <w:r>
        <w:t xml:space="preserve"> </w:t>
      </w:r>
      <w:r>
        <w:t xml:space="preserve">sistematicamente em explicar a trajetória profissional da população negra no</w:t>
      </w:r>
      <w:r>
        <w:t xml:space="preserve"> </w:t>
      </w:r>
      <w:r>
        <w:t xml:space="preserve">Brasil. A exclusão não é um evento isolado na contratação, nem uma consequência</w:t>
      </w:r>
      <w:r>
        <w:t xml:space="preserve"> </w:t>
      </w:r>
      <w:r>
        <w:t xml:space="preserve">automática de menor escolaridade — é uma engrenagem de duas camadas que opera ao</w:t>
      </w:r>
      <w:r>
        <w:t xml:space="preserve"> </w:t>
      </w:r>
      <w:r>
        <w:t xml:space="preserve">longo de toda a trajetória do trabalhador: na porta de entrada das ocupações de</w:t>
      </w:r>
      <w:r>
        <w:t xml:space="preserve"> </w:t>
      </w:r>
      <w:r>
        <w:t xml:space="preserve">prestígio e no salário dentro das mesmas ocupações.</w:t>
      </w:r>
      <w:r>
        <w:t xml:space="preserve"> </w:t>
      </w:r>
      <w:r>
        <w:t xml:space="preserve">Cada uma dessas camadas foi identificada, isolada e medida de forma independente;</w:t>
      </w:r>
      <w:r>
        <w:t xml:space="preserve"> </w:t>
      </w:r>
      <w:r>
        <w:t xml:space="preserve">juntas, elas formam um sistema que nenhuma política unidimensional consegue desmontar.</w:t>
      </w:r>
    </w:p>
    <w:p>
      <w:pPr>
        <w:pStyle w:val="BodyText"/>
      </w:pPr>
      <w:r>
        <w:t xml:space="preserve">O achado mais desafiador para o debate de políticas públicas é o da barreira de</w:t>
      </w:r>
      <w:r>
        <w:t xml:space="preserve"> </w:t>
      </w:r>
      <w:r>
        <w:t xml:space="preserve">acesso: com a mesma escolaridade, idade, sexo e contexto de moradia, trabalhadores</w:t>
      </w:r>
      <w:r>
        <w:t xml:space="preserve"> </w:t>
      </w:r>
      <w:r>
        <w:t xml:space="preserve">negros têm chances (</w:t>
      </w:r>
      <w:r>
        <w:rPr>
          <w:i/>
          <w:iCs/>
        </w:rPr>
        <w:t xml:space="preserve">odds</w:t>
      </w:r>
      <w:r>
        <w:t xml:space="preserve">) cerca de 19% menores de ocupar um cargo qualificado e</w:t>
      </w:r>
      <w:r>
        <w:t xml:space="preserve"> </w:t>
      </w:r>
      <w:r>
        <w:t xml:space="preserve">24% menores de chegar ao décimo superior da renda. Isso significa que aumentar a</w:t>
      </w:r>
      <w:r>
        <w:t xml:space="preserve"> </w:t>
      </w:r>
      <w:r>
        <w:t xml:space="preserve">escolaridade da população negra, sem intervir simultaneamente nos mecanismos de</w:t>
      </w:r>
      <w:r>
        <w:t xml:space="preserve"> </w:t>
      </w:r>
      <w:r>
        <w:t xml:space="preserve">seleção e promoção, produz retorno marginal decrescente: os títulos existem, mas</w:t>
      </w:r>
      <w:r>
        <w:t xml:space="preserve"> </w:t>
      </w:r>
      <w:r>
        <w:t xml:space="preserve">os canais que os convertem em mobilidade profissional permanecem estreitos.</w:t>
      </w:r>
      <w:r>
        <w:t xml:space="preserve"> </w:t>
      </w:r>
      <w:r>
        <w:t xml:space="preserve">Políticas baseadas apenas em educação são, portanto, necessárias, mas</w:t>
      </w:r>
      <w:r>
        <w:t xml:space="preserve"> </w:t>
      </w:r>
      <w:r>
        <w:t xml:space="preserve">estruturalmente insuficientes.</w:t>
      </w:r>
    </w:p>
    <w:p>
      <w:pPr>
        <w:pStyle w:val="BodyText"/>
      </w:pPr>
      <w:r>
        <w:t xml:space="preserve">A última década não autoriza esperar: a penalidade caiu sobretudo em 2020, de 7</w:t>
      </w:r>
      <w:r>
        <w:t xml:space="preserve">,</w:t>
      </w:r>
      <w:r>
        <w:t xml:space="preserve">0% para 5</w:t>
      </w:r>
      <w:r>
        <w:t xml:space="preserve">,</w:t>
      </w:r>
      <w:r>
        <w:t xml:space="preserve">9%, e não mostrou um ritmo de convergência a extrapolar.</w:t>
      </w:r>
      <w:r>
        <w:t xml:space="preserve"> </w:t>
      </w:r>
      <w:r>
        <w:t xml:space="preserve">Significa, concretamente, que reformas incrementais são insuficientes:</w:t>
      </w:r>
      <w:r>
        <w:t xml:space="preserve"> </w:t>
      </w:r>
      <w:r>
        <w:t xml:space="preserve">é necessário atacar as duas barreiras de forma simultânea e com recursos</w:t>
      </w:r>
      <w:r>
        <w:t xml:space="preserve"> </w:t>
      </w:r>
      <w:r>
        <w:t xml:space="preserve">proporcionais à magnitude do problema.</w:t>
      </w:r>
    </w:p>
    <w:p>
      <w:pPr>
        <w:pStyle w:val="BlockText"/>
      </w:pPr>
      <w:r>
        <w:rPr>
          <w:i/>
          <w:iCs/>
        </w:rPr>
        <w:t xml:space="preserve">Com a mesma escolaridade, idade, sexo e bairro, um trabalhador negro ganha 6,1% a menos e tem chances 19% menores de chegar a um cargo qualificado. O diploma quase iguala o salário, mas não abre a porta.</w:t>
      </w:r>
    </w:p>
    <w:p>
      <w:pPr>
        <w:pStyle w:val="FirstParagraph"/>
      </w:pPr>
      <w:r>
        <w:t xml:space="preserve">Essas conclusões emergem da convergência de quatro métodos e cinco análises</w:t>
      </w:r>
      <w:r>
        <w:t xml:space="preserve"> </w:t>
      </w:r>
      <w:r>
        <w:t xml:space="preserve">de robustez sobre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7.699</m:t>
        </m:r>
        <m:r>
          <m:t>.278</m:t>
        </m:r>
      </m:oMath>
      <w:r>
        <w:t xml:space="preserve"> </w:t>
      </w:r>
      <w:r>
        <w:t xml:space="preserve">observações da PNAD Contínua 2016–2025.</w:t>
      </w:r>
      <w:r>
        <w:t xml:space="preserve"> </w:t>
      </w:r>
      <w:r>
        <w:t xml:space="preserve">O gap condicional a capital humano, de 10,5% (sem efeito de bairro),</w:t>
      </w:r>
      <w:r>
        <w:t xml:space="preserve"> </w:t>
      </w:r>
      <w:r>
        <w:t xml:space="preserve">decompõe-se em três parcelas: (i) mediação de 39,5% pela segregação</w:t>
      </w:r>
      <w:r>
        <w:t xml:space="preserve"> </w:t>
      </w:r>
      <w:r>
        <w:t xml:space="preserve">residencial — comparando negros e brancos do mesmo bairro (</w:t>
      </w:r>
      <m:oMath>
        <m:sSub>
          <m:e>
            <m:acc>
              <m:accPr>
                <m:chr m:val="̂"/>
              </m:accPr>
              <m:e>
                <m:r>
                  <m:t>γ</m:t>
                </m:r>
              </m:e>
            </m:acc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1272</m:t>
        </m:r>
      </m:oMath>
      <w:r>
        <w:t xml:space="preserve"> </w:t>
      </w:r>
      <w:r>
        <w:t xml:space="preserve">por desvio-padrão da composição racial do bairro), chega-se ao</w:t>
      </w:r>
      <w:r>
        <w:t xml:space="preserve"> </w:t>
      </w:r>
      <w:r>
        <w:rPr>
          <w:b/>
          <w:bCs/>
        </w:rPr>
        <w:t xml:space="preserve">gap líquido de 6,1%</w:t>
      </w:r>
      <w:r>
        <w:t xml:space="preserve"> </w:t>
      </w:r>
      <w:r>
        <w:t xml:space="preserve">(M3);</w:t>
      </w:r>
      <w:r>
        <w:t xml:space="preserve"> </w:t>
      </w:r>
      <w:r>
        <w:t xml:space="preserve">(ii) mediação ocupacional de 4,5% pelo acesso desigual a grupos CBO de alta</w:t>
      </w:r>
      <w:r>
        <w:t xml:space="preserve"> </w:t>
      </w:r>
      <w:r>
        <w:t xml:space="preserve">remuneração; e (iii) penalidade de 5,6% que persiste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 mesma</w:t>
      </w:r>
      <w:r>
        <w:t xml:space="preserve"> </w:t>
      </w:r>
      <w:r>
        <w:t xml:space="preserve">ocupação (M4) — limite inferior descritivo, pois a própria ocupação é</w:t>
      </w:r>
      <w:r>
        <w:t xml:space="preserve"> </w:t>
      </w:r>
      <w:r>
        <w:t xml:space="preserve">resultado da barreira de acesso.</w:t>
      </w:r>
      <w:r>
        <w:t xml:space="preserve"> </w:t>
      </w:r>
      <w:r>
        <w:t xml:space="preserve">O GLMM logístico confirma essa barreira: OR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814</m:t>
        </m:r>
      </m:oMath>
      <w:r>
        <w:t xml:space="preserve"> </w:t>
      </w:r>
      <w:r>
        <w:t xml:space="preserve">para CBO 1–4 no modelo</w:t>
      </w:r>
      <w:r>
        <w:t xml:space="preserve"> </w:t>
      </w:r>
      <w:r>
        <w:t xml:space="preserve">com contexto, com gradiente progressivo OR(top 20%)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769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OR(top 10%) 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761</m:t>
        </m:r>
      </m:oMath>
      <w:r>
        <w:t xml:space="preserve">. A regressão quantílica formaliza o teto de vidro no gap</w:t>
      </w:r>
      <w:r>
        <w:t xml:space="preserve"> </w:t>
      </w:r>
      <w:r>
        <w:t xml:space="preserve">condicional 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,</m:t>
        </m:r>
        <m:r>
          <m:t>87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), e a decomposição RIF mostra que a parcela</w:t>
      </w:r>
      <w:r>
        <w:t xml:space="preserve"> </w:t>
      </w:r>
      <w:r>
        <w:t xml:space="preserve">de retornos é maior na base da distribuição incondicional.</w:t>
      </w:r>
    </w:p>
    <w:p>
      <w:pPr>
        <w:pStyle w:val="BodyText"/>
      </w:pPr>
      <w:r>
        <w:rPr>
          <w:b/>
          <w:bCs/>
        </w:rPr>
        <w:t xml:space="preserve">Contribuição principal.</w:t>
      </w:r>
      <w:r>
        <w:t xml:space="preserve"> </w:t>
      </w:r>
      <w:r>
        <w:t xml:space="preserve">Este estudo oferece, ao nosso conhecimento, a primeira análise integrada de</w:t>
      </w:r>
      <w:r>
        <w:t xml:space="preserve"> </w:t>
      </w:r>
      <w:r>
        <w:t xml:space="preserve">modelo hierárquico, decomposição de Oaxaca–Blinder, regressão quantílica com</w:t>
      </w:r>
      <w:r>
        <w:t xml:space="preserve"> </w:t>
      </w:r>
      <w:r>
        <w:t xml:space="preserve">RIF e modelo logístico de acesso — validados por SHAP — sobre a série</w:t>
      </w:r>
      <w:r>
        <w:t xml:space="preserve"> </w:t>
      </w:r>
      <w:r>
        <w:t xml:space="preserve">completa da PNAD Contínua.</w:t>
      </w:r>
      <w:r>
        <w:t xml:space="preserve"> </w:t>
      </w:r>
      <w:r>
        <w:t xml:space="preserve">Mais do que confirmar a existência do gap racial — resultado já documentado</w:t>
      </w:r>
      <w:r>
        <w:t xml:space="preserve"> </w:t>
      </w:r>
      <w:r>
        <w:t xml:space="preserve">desde</w:t>
      </w:r>
      <w:r>
        <w:t xml:space="preserve"> </w:t>
      </w:r>
      <w:r>
        <w:t xml:space="preserve">Hasenbalg (1979)</w:t>
      </w:r>
      <w:r>
        <w:t xml:space="preserve"> </w:t>
      </w:r>
      <w:r>
        <w:t xml:space="preserve">—, este trabalho identifica e quantifica os</w:t>
      </w:r>
      <w:r>
        <w:t xml:space="preserve"> </w:t>
      </w:r>
      <w:r>
        <w:rPr>
          <w:b/>
          <w:bCs/>
        </w:rPr>
        <w:t xml:space="preserve">mecanismos</w:t>
      </w:r>
      <w:r>
        <w:t xml:space="preserve"> </w:t>
      </w:r>
      <w:r>
        <w:t xml:space="preserve">que o sustentam em 2016–2025: discriminação de acesso,</w:t>
      </w:r>
      <w:r>
        <w:t xml:space="preserve"> </w:t>
      </w:r>
      <w:r>
        <w:t xml:space="preserve">segregação residencial e penalidade salarial dentro da ocupação, em sistema combinado.</w:t>
      </w:r>
    </w:p>
    <w:bookmarkStart w:id="158" w:name="limitações-e-escopo-de-validade"/>
    <w:p>
      <w:pPr>
        <w:pStyle w:val="Heading2"/>
      </w:pPr>
      <w:r>
        <w:t xml:space="preserve">Limitações e escopo de validade</w:t>
      </w:r>
    </w:p>
    <w:p>
      <w:pPr>
        <w:pStyle w:val="FirstParagraph"/>
      </w:pPr>
      <w:r>
        <w:rPr>
          <w:b/>
          <w:bCs/>
        </w:rPr>
        <w:t xml:space="preserve">Natureza inferencial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vs.</w:t>
      </w:r>
      <w:r>
        <w:rPr>
          <w:b/>
          <w:bCs/>
        </w:rPr>
        <w:t xml:space="preserve"> preditiva dos modelos.</w:t>
      </w:r>
      <w:r>
        <w:t xml:space="preserve"> </w:t>
      </w:r>
      <w:r>
        <w:t xml:space="preserve">Os resultados devem ser lidos sob dois regimes epistemológicos distintos.</w:t>
      </w:r>
      <w:r>
        <w:t xml:space="preserve"> </w:t>
      </w:r>
      <w:r>
        <w:t xml:space="preserve">Os modelos HLM, a decomposição de Oaxaca–Blinder, a regressão quantílica e</w:t>
      </w:r>
      <w:r>
        <w:t xml:space="preserve"> </w:t>
      </w:r>
      <w:r>
        <w:t xml:space="preserve">o modelo logístico de acesso produzem</w:t>
      </w:r>
      <w:r>
        <w:t xml:space="preserve"> </w:t>
      </w:r>
      <w:r>
        <w:rPr>
          <w:i/>
          <w:iCs/>
        </w:rPr>
        <w:t xml:space="preserve">estimativas de associação condicional</w:t>
      </w:r>
      <w:r>
        <w:t xml:space="preserve">:</w:t>
      </w:r>
      <w:r>
        <w:t xml:space="preserve"> </w:t>
      </w:r>
      <w:r>
        <w:t xml:space="preserve">medem o diferencial racial que persiste após o controle de covariáveis</w:t>
      </w:r>
      <w:r>
        <w:t xml:space="preserve"> </w:t>
      </w:r>
      <w:r>
        <w:t xml:space="preserve">observáveis, sob o pressuposto de seleção em observáveis. Não constituem, por</w:t>
      </w:r>
      <w:r>
        <w:t xml:space="preserve"> </w:t>
      </w:r>
      <w:r>
        <w:t xml:space="preserve">si sós, prova de causalidade no sentido contrafactual, pois não derivam de</w:t>
      </w:r>
      <w:r>
        <w:t xml:space="preserve"> </w:t>
      </w:r>
      <w:r>
        <w:t xml:space="preserve">desenho experimental ou quase-experimental. Já o XGBoost e os valores SHAP têm</w:t>
      </w:r>
      <w:r>
        <w:t xml:space="preserve"> </w:t>
      </w:r>
      <w:r>
        <w:t xml:space="preserve">finalidade</w:t>
      </w:r>
      <w:r>
        <w:t xml:space="preserve"> </w:t>
      </w:r>
      <w:r>
        <w:rPr>
          <w:i/>
          <w:iCs/>
        </w:rPr>
        <w:t xml:space="preserve">preditiva e interpretativa</w:t>
      </w:r>
      <w:r>
        <w:t xml:space="preserve">: quantificam a contribuição de</w:t>
      </w:r>
      <w:r>
        <w:t xml:space="preserve"> </w:t>
      </w:r>
      <w:r>
        <w:t xml:space="preserve">cada variável para a</w:t>
      </w:r>
      <w:r>
        <w:t xml:space="preserve"> </w:t>
      </w:r>
      <w:r>
        <w:rPr>
          <w:i/>
          <w:iCs/>
        </w:rPr>
        <w:t xml:space="preserve">previsão</w:t>
      </w:r>
      <w:r>
        <w:t xml:space="preserve"> </w:t>
      </w:r>
      <w:r>
        <w:t xml:space="preserve">do rendimento — não o efeito causal</w:t>
      </w:r>
      <w:r>
        <w:t xml:space="preserve"> </w:t>
      </w:r>
      <w:r>
        <w:t xml:space="preserve">de manipulá-la. A convergência entre os dois regimes (a raça mantém importância</w:t>
      </w:r>
      <w:r>
        <w:t xml:space="preserve"> </w:t>
      </w:r>
      <w:r>
        <w:t xml:space="preserve">preditiva não desprezível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coeficiente negativo significante sob</w:t>
      </w:r>
      <w:r>
        <w:t xml:space="preserve"> </w:t>
      </w:r>
      <w:r>
        <w:t xml:space="preserve">controle exaustivo) é o que confere robustez ao diagnóstico; ainda assim, a</w:t>
      </w:r>
      <w:r>
        <w:t xml:space="preserve"> </w:t>
      </w:r>
      <w:r>
        <w:t xml:space="preserve">linguagem causal foi deliberadamente evitada.</w:t>
      </w:r>
    </w:p>
    <w:p>
      <w:pPr>
        <w:pStyle w:val="BodyText"/>
      </w:pPr>
      <w:r>
        <w:rPr>
          <w:b/>
          <w:bCs/>
        </w:rPr>
        <w:t xml:space="preserve">Condicionar em quem tem renda positiva.</w:t>
      </w:r>
      <w:r>
        <w:t xml:space="preserve"> </w:t>
      </w:r>
      <w:r>
        <w:t xml:space="preserve">Todos os modelos de rendimento são estimados entre ocupados com renda positiva. Isso é</w:t>
      </w:r>
      <w:r>
        <w:t xml:space="preserve"> </w:t>
      </w:r>
      <w:r>
        <w:rPr>
          <w:i/>
          <w:iCs/>
        </w:rPr>
        <w:t xml:space="preserve">condicionar no desfecho</w:t>
      </w:r>
      <w:r>
        <w:t xml:space="preserve"> </w:t>
      </w:r>
      <w:r>
        <w:t xml:space="preserve">(</w:t>
      </w:r>
      <w:r>
        <w:t xml:space="preserve">Angrist; Pischke (2009)</w:t>
      </w:r>
      <w:r>
        <w:t xml:space="preserve">, cap. 3): se a discriminação</w:t>
      </w:r>
      <w:r>
        <w:t xml:space="preserve"> </w:t>
      </w:r>
      <w:r>
        <w:t xml:space="preserve">também reduz a probabilidade de estar ocupado, o gap salarial condicional mistura o</w:t>
      </w:r>
      <w:r>
        <w:t xml:space="preserve"> </w:t>
      </w:r>
      <w:r>
        <w:t xml:space="preserve">efeito sobre o salário com a seleção de quem permanece na amostra. A direção provável do</w:t>
      </w:r>
      <w:r>
        <w:t xml:space="preserve"> </w:t>
      </w:r>
      <w:r>
        <w:t xml:space="preserve">viés é de</w:t>
      </w:r>
      <w:r>
        <w:t xml:space="preserve"> </w:t>
      </w:r>
      <w:r>
        <w:rPr>
          <w:i/>
          <w:iCs/>
        </w:rPr>
        <w:t xml:space="preserve">subestimação</w:t>
      </w:r>
      <w:r>
        <w:t xml:space="preserve">: se os trabalhadores negros que conseguem se manter</w:t>
      </w:r>
      <w:r>
        <w:t xml:space="preserve"> </w:t>
      </w:r>
      <w:r>
        <w:t xml:space="preserve">ocupados são positivamente selecionados em atributos não observados, o gap entre os</w:t>
      </w:r>
      <w:r>
        <w:t xml:space="preserve"> </w:t>
      </w:r>
      <w:r>
        <w:t xml:space="preserve">observados é menor que o gap potencial na população. O modelo logístico de acesso trata</w:t>
      </w:r>
      <w:r>
        <w:t xml:space="preserve"> </w:t>
      </w:r>
      <w:r>
        <w:t xml:space="preserve">diretamente a outra metade do problema — a probabilidade de chegar à ocupação</w:t>
      </w:r>
      <w:r>
        <w:t xml:space="preserve"> </w:t>
      </w:r>
      <w:r>
        <w:t xml:space="preserve">qualificada —; uma correção de seleção à Heckman, que exigiria uma variável de</w:t>
      </w:r>
      <w:r>
        <w:t xml:space="preserve"> </w:t>
      </w:r>
      <w:r>
        <w:t xml:space="preserve">exclusão crível (algo que afete estar ocupado sem afetar o salário), fica como extensão</w:t>
      </w:r>
      <w:r>
        <w:t xml:space="preserve"> </w:t>
      </w:r>
      <w:r>
        <w:t xml:space="preserve">e não é estimada aqui. A leitura correta é, portanto: o gap líquido aqui reportado</w:t>
      </w:r>
      <w:r>
        <w:t xml:space="preserve"> </w:t>
      </w:r>
      <w:r>
        <w:t xml:space="preserve">é o gap</w:t>
      </w:r>
      <w:r>
        <w:t xml:space="preserve"> </w:t>
      </w:r>
      <w:r>
        <w:rPr>
          <w:i/>
          <w:iCs/>
        </w:rPr>
        <w:t xml:space="preserve">entre ocupados</w:t>
      </w:r>
      <w:r>
        <w:t xml:space="preserve">, não o gap potencial de toda a população em idade ativa.</w:t>
      </w:r>
    </w:p>
    <w:p>
      <w:pPr>
        <w:pStyle w:val="BodyText"/>
      </w:pPr>
      <w:r>
        <w:rPr>
          <w:b/>
          <w:bCs/>
        </w:rPr>
        <w:t xml:space="preserve">As hipóteses, uma a uma, e o que acontece se falharem.</w:t>
      </w:r>
      <w:r>
        <w:t xml:space="preserve"> </w:t>
      </w:r>
      <w:r>
        <w:t xml:space="preserve">Seguindo a recomendação de</w:t>
      </w:r>
      <w:r>
        <w:t xml:space="preserve"> </w:t>
      </w:r>
      <w:r>
        <w:t xml:space="preserve">“ser o próprio cético”</w:t>
      </w:r>
      <w:r>
        <w:t xml:space="preserve"> </w:t>
      </w:r>
      <w:r>
        <w:t xml:space="preserve">(</w:t>
      </w:r>
      <w:r>
        <w:t xml:space="preserve">Angrist; Pischke (2009)</w:t>
      </w:r>
      <w:r>
        <w:t xml:space="preserve">, cap. 8):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Seleção em observáveis (CIA).</w:t>
      </w:r>
      <w:r>
        <w:t xml:space="preserve"> </w:t>
      </w:r>
      <w:r>
        <w:t xml:space="preserve">O gap líquido só é o efeito do tratamento</w:t>
      </w:r>
      <w:r>
        <w:t xml:space="preserve"> </w:t>
      </w:r>
      <w:r>
        <w:t xml:space="preserve">diferencial se, condicional a</w:t>
      </w:r>
      <w:r>
        <w:t xml:space="preserve"> </w:t>
      </w:r>
      <m:oMath>
        <m:r>
          <m:t>X</m:t>
        </m:r>
      </m:oMath>
      <w:r>
        <w:t xml:space="preserve">, a raça for</w:t>
      </w:r>
      <w:r>
        <w:t xml:space="preserve"> </w:t>
      </w:r>
      <w:r>
        <w:t xml:space="preserve">“como se”</w:t>
      </w:r>
      <w:r>
        <w:t xml:space="preserve"> </w:t>
      </w:r>
      <w:r>
        <w:t xml:space="preserve">aleatória. Não é: qualidade</w:t>
      </w:r>
      <w:r>
        <w:t xml:space="preserve"> </w:t>
      </w:r>
      <w:r>
        <w:t xml:space="preserve">da escola, habilidade não medida e redes ficam fora. Se esses omitidos correlacionam</w:t>
      </w:r>
      <w:r>
        <w:t xml:space="preserve"> </w:t>
      </w:r>
      <w:r>
        <w:t xml:space="preserve">negativamente com ser negro e positivamente com renda, o coeficiente</w:t>
      </w:r>
      <w:r>
        <w:t xml:space="preserve"> </w:t>
      </w:r>
      <w:r>
        <w:rPr>
          <w:i/>
          <w:iCs/>
        </w:rPr>
        <w:t xml:space="preserve">superestima</w:t>
      </w:r>
      <w:r>
        <w:t xml:space="preserve"> </w:t>
      </w:r>
      <w:r>
        <w:t xml:space="preserve">a discriminação — por isso o gap líquido é apresentado como limite superior dessa</w:t>
      </w:r>
      <w:r>
        <w:t xml:space="preserve"> </w:t>
      </w:r>
      <w:r>
        <w:t xml:space="preserve">leitura, e o Konfound/E-value quantificam quanto de confundimento seria preciso.</w:t>
      </w:r>
    </w:p>
    <w:p>
      <w:pPr>
        <w:numPr>
          <w:ilvl w:val="0"/>
          <w:numId w:val="1002"/>
        </w:numPr>
      </w:pPr>
      <w:r>
        <w:rPr>
          <w:b/>
          <w:bCs/>
          <w:i/>
          <w:iCs/>
        </w:rPr>
        <w:t xml:space="preserve">Bad controls</w:t>
      </w:r>
      <w:r>
        <w:rPr>
          <w:b/>
          <w:bCs/>
        </w:rPr>
        <w:t xml:space="preserve">.</w:t>
      </w:r>
      <w:r>
        <w:t xml:space="preserve"> </w:t>
      </w:r>
      <w:r>
        <w:t xml:space="preserve">Ocupação e formalidade são desfechos da</w:t>
      </w:r>
      <w:r>
        <w:t xml:space="preserve"> </w:t>
      </w:r>
      <w:r>
        <w:t xml:space="preserve">própria discriminação; a jornada, não: com renda mensal, ela é controle necessário</w:t>
      </w:r>
      <w:r>
        <w:t xml:space="preserve"> </w:t>
      </w:r>
      <w:r>
        <w:t xml:space="preserve">e entra nas duas especificações da Oaxaca–Blinder — no modelo de acesso, só no</w:t>
      </w:r>
      <w:r>
        <w:t xml:space="preserve"> </w:t>
      </w:r>
      <w:r>
        <w:t xml:space="preserve">degrau de limite inferior. Com eles (M4, Oaxaca-Blinder de acesso) o resultado é um</w:t>
      </w:r>
      <w:r>
        <w:t xml:space="preserve"> </w:t>
      </w:r>
      <w:r>
        <w:rPr>
          <w:i/>
          <w:iCs/>
        </w:rPr>
        <w:t xml:space="preserve">limite inferior descritivo</w:t>
      </w:r>
      <w:r>
        <w:t xml:space="preserve">: a parcela que opera pela porta de entrada some da</w:t>
      </w:r>
      <w:r>
        <w:t xml:space="preserve"> </w:t>
      </w:r>
      <w:r>
        <w:t xml:space="preserve">conta. Sem eles (M3, especificação (A) da Oaxaca-Blinder) tem-se o gap total</w:t>
      </w:r>
      <w:r>
        <w:t xml:space="preserve"> </w:t>
      </w:r>
      <w:r>
        <w:t xml:space="preserve">condicional a capital humano e bairro. As duas versões são reportadas lado a lado.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Reflexo (Manski).</w:t>
      </w:r>
      <w:r>
        <w:t xml:space="preserve"> </w:t>
      </w:r>
      <w:r>
        <w:t xml:space="preserve">Uma média de bairro que inclui o próprio indivíduo é</w:t>
      </w:r>
      <w:r>
        <w:t xml:space="preserve"> </w:t>
      </w:r>
      <w:r>
        <w:t xml:space="preserve">mecanicamente informativa sobre ele — a raça da pessoa entraria no % de negros do</w:t>
      </w:r>
      <w:r>
        <w:t xml:space="preserve"> </w:t>
      </w:r>
      <w:r>
        <w:t xml:space="preserve">seu bairro. Por isso todas as médias de contexto, de UPA e de UF, são calculadas sem a</w:t>
      </w:r>
      <w:r>
        <w:t xml:space="preserve"> </w:t>
      </w:r>
      <w:r>
        <w:t xml:space="preserve">própria observação (</w:t>
      </w:r>
      <w:r>
        <w:rPr>
          <w:i/>
          <w:iCs/>
        </w:rPr>
        <w:t xml:space="preserve">leave-one-out</w:t>
      </w:r>
      <w:r>
        <w:t xml:space="preserve">), e a renda média do bairro, a mais exposta ao</w:t>
      </w:r>
      <w:r>
        <w:t xml:space="preserve"> </w:t>
      </w:r>
      <w:r>
        <w:t xml:space="preserve">problema, fica fora dos modelos estatísticos e só entra como preditor no XGBoost. Isso remove o reflexo mecânico, mas choques</w:t>
      </w:r>
      <w:r>
        <w:t xml:space="preserve"> </w:t>
      </w:r>
      <w:r>
        <w:t xml:space="preserve">comuns ao bairro ainda impedem leitura causal do coeficiente contextual.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Efeitos aleatórios.</w:t>
      </w:r>
      <w:r>
        <w:t xml:space="preserve"> </w:t>
      </w:r>
      <w:r>
        <w:t xml:space="preserve">O HLM e o GLMM supõem que o efeito de bairro não é</w:t>
      </w:r>
      <w:r>
        <w:t xml:space="preserve"> </w:t>
      </w:r>
      <w:r>
        <w:t xml:space="preserve">correlacionado com os regressores. Como contraprova, todos os coeficientes foram</w:t>
      </w:r>
      <w:r>
        <w:t xml:space="preserve"> </w:t>
      </w:r>
      <w:r>
        <w:t xml:space="preserve">reestimados com efeitos fixos de UF e erro-padrão agrupado por UPA, com as mesmas</w:t>
      </w:r>
      <w:r>
        <w:t xml:space="preserve"> </w:t>
      </w:r>
      <w:r>
        <w:t xml:space="preserve">conclusões (Subseção </w:t>
      </w:r>
      <w:hyperlink w:anchor="subsec:inferencia">
        <w:r>
          <w:rPr>
            <w:rStyle w:val="Hyperlink"/>
          </w:rPr>
          <w:t xml:space="preserve">3.7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Pesos e desenho amostral.</w:t>
      </w:r>
      <w:r>
        <w:t xml:space="preserve"> </w:t>
      </w:r>
      <w:r>
        <w:t xml:space="preserve">As estimativas são não ponderadas: descrevem a</w:t>
      </w:r>
      <w:r>
        <w:t xml:space="preserve"> </w:t>
      </w:r>
      <w:r>
        <w:t xml:space="preserve">regressão na amostra. A robustez ponderada pelo peso da PNAD muda o gap em cerca de</w:t>
      </w:r>
      <w:r>
        <w:t xml:space="preserve"> </w:t>
      </w:r>
      <w:r>
        <w:t xml:space="preserve">meio ponto percentual.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Correlação intragrupo.</w:t>
      </w:r>
      <w:r>
        <w:t xml:space="preserve"> </w:t>
      </w:r>
      <w:r>
        <w:t xml:space="preserve">Ignorá-la subestimaria os erros-padrão (Moulton);</w:t>
      </w:r>
      <w:r>
        <w:t xml:space="preserve"> </w:t>
      </w:r>
      <w:r>
        <w:t xml:space="preserve">todos os modelos reportam erro-padrão agrupado por UPA ou o modelam por efeito</w:t>
      </w:r>
      <w:r>
        <w:t xml:space="preserve"> </w:t>
      </w:r>
      <w:r>
        <w:t xml:space="preserve">aleatório, e o agrupamento por UF usa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com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graus de liberdade.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Significância com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grande.</w:t>
      </w:r>
      <w:r>
        <w:t xml:space="preserve"> </w:t>
      </w:r>
      <w:r>
        <w:t xml:space="preserve">Com 7</w:t>
      </w:r>
      <w:r>
        <w:t xml:space="preserve">,</w:t>
      </w:r>
      <w:r>
        <w:t xml:space="preserve">7 milhões de observações, quase tudo é</w:t>
      </w:r>
      <w:r>
        <w:t xml:space="preserve"> </w:t>
      </w:r>
      <w:r>
        <w:t xml:space="preserve">“significativo”</w:t>
      </w:r>
      <w:r>
        <w:t xml:space="preserve">; a leitura privilegia magnitude, intervalos de confiança e E-values,</w:t>
      </w:r>
      <w:r>
        <w:t xml:space="preserve"> </w:t>
      </w:r>
      <w:r>
        <w:t xml:space="preserve">não asteriscos.</w:t>
      </w:r>
    </w:p>
    <w:p>
      <w:pPr>
        <w:pStyle w:val="FirstParagraph"/>
      </w:pPr>
      <w:r>
        <w:rPr>
          <w:b/>
          <w:bCs/>
        </w:rPr>
        <w:t xml:space="preserve">Desenho transversal e direções futuras.</w:t>
      </w:r>
      <w:r>
        <w:t xml:space="preserve"> </w:t>
      </w:r>
      <w:r>
        <w:t xml:space="preserve">O caráter transversal do painel público impede a análise de trajetórias</w:t>
      </w:r>
      <w:r>
        <w:t xml:space="preserve"> </w:t>
      </w:r>
      <w:r>
        <w:t xml:space="preserve">individuais; o painel rotativo completo com microdado identificado e a extensão</w:t>
      </w:r>
      <w:r>
        <w:t xml:space="preserve"> </w:t>
      </w:r>
      <w:r>
        <w:t xml:space="preserve">à RAIS permitiriam investigar mobilidade e o teto de vidro em cargos de liderança</w:t>
      </w:r>
      <w:r>
        <w:t xml:space="preserve"> </w:t>
      </w:r>
      <w:r>
        <w:t xml:space="preserve">com identificação de firma. A análise de redes de co-residência, a tipologia</w:t>
      </w:r>
      <w:r>
        <w:t xml:space="preserve"> </w:t>
      </w:r>
      <w:r>
        <w:t xml:space="preserve">por agrupamento e a priorização de políticas por pesquisa operacional,</w:t>
      </w:r>
      <w:r>
        <w:t xml:space="preserve"> </w:t>
      </w:r>
      <w:r>
        <w:t xml:space="preserve">desenvolvidas em versão estendida deste trabalho, ficam como agenda. Também fica</w:t>
      </w:r>
      <w:r>
        <w:t xml:space="preserve"> </w:t>
      </w:r>
      <w:r>
        <w:t xml:space="preserve">como agenda o uso de texto livre: a PNAD divulga ocupação e atividade já codificadas</w:t>
      </w:r>
      <w:r>
        <w:t xml:space="preserve"> </w:t>
      </w:r>
      <w:r>
        <w:t xml:space="preserve">(CBO e CNAE Domiciliar), sem o relato aberto da entrevista, de modo que técnicas de</w:t>
      </w:r>
      <w:r>
        <w:t xml:space="preserve"> </w:t>
      </w:r>
      <w:r>
        <w:t xml:space="preserve">processamento de linguagem natural não têm aqui onde se aplicar. Bases que associam</w:t>
      </w:r>
      <w:r>
        <w:t xml:space="preserve"> </w:t>
      </w:r>
      <w:r>
        <w:t xml:space="preserve">texto a indivíduos — descrições de cargo em registros administrativos, anúncios de</w:t>
      </w:r>
      <w:r>
        <w:t xml:space="preserve"> </w:t>
      </w:r>
      <w:r>
        <w:t xml:space="preserve">vaga e currículos, como nos experimentos de auditoria</w:t>
      </w:r>
      <w:r>
        <w:t xml:space="preserve"> </w:t>
      </w:r>
      <w:r>
        <w:t xml:space="preserve">(Pager, 2007)</w:t>
      </w:r>
      <w:r>
        <w:t xml:space="preserve"> </w:t>
      </w:r>
      <w:r>
        <w:t xml:space="preserve">— permitiriam</w:t>
      </w:r>
      <w:r>
        <w:t xml:space="preserve"> </w:t>
      </w:r>
      <w:r>
        <w:t xml:space="preserve">medir o conteúdo das funções e a triagem na contratação, que os códigos ocupacionais</w:t>
      </w:r>
      <w:r>
        <w:t xml:space="preserve"> </w:t>
      </w:r>
      <w:r>
        <w:t xml:space="preserve">não captam. A descrição oficial dos códigos não supriria essa lacuna: seria a</w:t>
      </w:r>
      <w:r>
        <w:t xml:space="preserve"> </w:t>
      </w:r>
      <w:r>
        <w:t xml:space="preserve">ocupação de novo, um</w:t>
      </w:r>
      <w:r>
        <w:t xml:space="preserve"> </w:t>
      </w:r>
      <w:r>
        <w:rPr>
          <w:i/>
          <w:iCs/>
        </w:rPr>
        <w:t xml:space="preserve">bad control</w:t>
      </w:r>
      <w:r>
        <w:t xml:space="preserve"> </w:t>
      </w:r>
      <w:r>
        <w:t xml:space="preserve">no modelo de rendimento e o próprio desfecho</w:t>
      </w:r>
      <w:r>
        <w:t xml:space="preserve"> </w:t>
      </w:r>
      <w:r>
        <w:t xml:space="preserve">no de acesso. Fica ainda como agenda relacionar a penalidade estimada em cada estado</w:t>
      </w:r>
      <w:r>
        <w:t xml:space="preserve"> </w:t>
      </w:r>
      <w:r>
        <w:t xml:space="preserve">à presença de pretos e pardos nos cargos eletivos, que a Justiça Eleitoral registra</w:t>
      </w:r>
      <w:r>
        <w:t xml:space="preserve"> </w:t>
      </w:r>
      <w:r>
        <w:t xml:space="preserve">por cor ou raça desde 2014: a sub-representação negra no comando político seria a</w:t>
      </w:r>
      <w:r>
        <w:t xml:space="preserve"> </w:t>
      </w:r>
      <w:r>
        <w:t xml:space="preserve">face institucional do teto de vidro aqui medido</w:t>
      </w:r>
      <w:r>
        <w:t xml:space="preserve"> </w:t>
      </w:r>
      <w:r>
        <w:t xml:space="preserve">(Almeida, 2019)</w:t>
      </w:r>
      <w:r>
        <w:t xml:space="preserve">, mas, com uma</w:t>
      </w:r>
      <w:r>
        <w:t xml:space="preserve"> </w:t>
      </w:r>
      <w:r>
        <w:t xml:space="preserve">observação por estado, a comparação seria apenas ecológica.</w:t>
      </w:r>
    </w:p>
    <w:p>
      <w:pPr>
        <w:pStyle w:val="BodyText"/>
      </w:pPr>
      <w:r>
        <w:rPr>
          <w:b/>
          <w:bCs/>
        </w:rPr>
        <w:t xml:space="preserve">Declaração de uso de inteligência artificial.</w:t>
      </w:r>
      <w:r>
        <w:t xml:space="preserve"> </w:t>
      </w:r>
      <w:r>
        <w:t xml:space="preserve">Na elaboração deste trabalho foram utilizadas ferramentas de inteligência</w:t>
      </w:r>
      <w:r>
        <w:t xml:space="preserve"> </w:t>
      </w:r>
      <w:r>
        <w:t xml:space="preserve">artificial (Claude Code, da Anthropic) como apoio à implementação e depuração de</w:t>
      </w:r>
      <w:r>
        <w:t xml:space="preserve"> </w:t>
      </w:r>
      <w:r>
        <w:t xml:space="preserve">código (Python e R), à geração de figuras e tabelas e à formatação dos documentos.</w:t>
      </w:r>
      <w:r>
        <w:t xml:space="preserve"> </w:t>
      </w:r>
      <w:r>
        <w:t xml:space="preserve">A concepção da pesquisa, a escolha das metodologias, a interpretação dos resultados</w:t>
      </w:r>
      <w:r>
        <w:t xml:space="preserve"> </w:t>
      </w:r>
      <w:r>
        <w:t xml:space="preserve">e a redação final são de responsabilidade do autor, que revisou, validou e responde</w:t>
      </w:r>
      <w:r>
        <w:t xml:space="preserve"> </w:t>
      </w:r>
      <w:r>
        <w:t xml:space="preserve">por todo o conteúdo.</w:t>
      </w:r>
    </w:p>
    <w:bookmarkStart w:id="157" w:name="refs"/>
    <w:bookmarkStart w:id="118" w:name="ref-alencar2026a"/>
    <w:p>
      <w:pPr>
        <w:pStyle w:val="Bibliography"/>
      </w:pPr>
      <w:r>
        <w:t xml:space="preserve">ALENCAR, Valquíria.</w:t>
      </w:r>
      <w:r>
        <w:t xml:space="preserve"> </w:t>
      </w:r>
      <w:r>
        <w:rPr>
          <w:b/>
          <w:bCs/>
        </w:rPr>
        <w:t xml:space="preserve">Árvores, Redes e Ensembles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t xml:space="preserve">. Apostila do MBA em Data Science e Analytics. Piracicaba: Escola Superior de Agricultura</w:t>
      </w:r>
      <w:r>
        <w:t xml:space="preserve"> </w:t>
      </w:r>
      <w:r>
        <w:t xml:space="preserve">“Luiz de Queiroz”</w:t>
      </w:r>
      <w:r>
        <w:t xml:space="preserve">, Universidade de São Paulo, a2026.</w:t>
      </w:r>
    </w:p>
    <w:bookmarkEnd w:id="118"/>
    <w:bookmarkStart w:id="119" w:name="ref-alencar2026b"/>
    <w:p>
      <w:pPr>
        <w:pStyle w:val="Bibliography"/>
      </w:pPr>
      <w:r>
        <w:t xml:space="preserve">ALENCAR, Valquíria.</w:t>
      </w:r>
      <w:r>
        <w:t xml:space="preserve"> </w:t>
      </w:r>
      <w:r>
        <w:rPr>
          <w:b/>
          <w:bCs/>
        </w:rPr>
        <w:t xml:space="preserve">Árvores, Redes e Ensembles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  <w:r>
        <w:t xml:space="preserve">. Apostila do MBA em Data Science e Analytics. Piracicaba: Escola Superior de Agricultura</w:t>
      </w:r>
      <w:r>
        <w:t xml:space="preserve"> </w:t>
      </w:r>
      <w:r>
        <w:t xml:space="preserve">“Luiz de Queiroz”</w:t>
      </w:r>
      <w:r>
        <w:t xml:space="preserve">, Universidade de São Paulo, b2026.</w:t>
      </w:r>
    </w:p>
    <w:bookmarkEnd w:id="119"/>
    <w:bookmarkStart w:id="120" w:name="ref-alencar2026c"/>
    <w:p>
      <w:pPr>
        <w:pStyle w:val="Bibliography"/>
      </w:pPr>
      <w:r>
        <w:t xml:space="preserve">ALENCAR, Valquíria.</w:t>
      </w:r>
      <w:r>
        <w:t xml:space="preserve"> </w:t>
      </w:r>
      <w:r>
        <w:rPr>
          <w:b/>
          <w:bCs/>
        </w:rPr>
        <w:t xml:space="preserve">Árvores, Redes e Ensembles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  <w:r>
        <w:t xml:space="preserve">. Apostila do MBA em Data Science e Analytics. Piracicaba: Escola Superior de Agricultura</w:t>
      </w:r>
      <w:r>
        <w:t xml:space="preserve"> </w:t>
      </w:r>
      <w:r>
        <w:t xml:space="preserve">“Luiz de Queiroz”</w:t>
      </w:r>
      <w:r>
        <w:t xml:space="preserve">, Universidade de São Paulo, c2026.</w:t>
      </w:r>
    </w:p>
    <w:bookmarkEnd w:id="120"/>
    <w:bookmarkStart w:id="121" w:name="ref-almeida2019"/>
    <w:p>
      <w:pPr>
        <w:pStyle w:val="Bibliography"/>
      </w:pPr>
      <w:r>
        <w:t xml:space="preserve">ALMEIDA, Silvio Luiz de.</w:t>
      </w:r>
      <w:r>
        <w:t xml:space="preserve"> </w:t>
      </w:r>
      <w:r>
        <w:rPr>
          <w:b/>
          <w:bCs/>
        </w:rPr>
        <w:t xml:space="preserve">Racismo Estrutural</w:t>
      </w:r>
      <w:r>
        <w:t xml:space="preserve">. S</w:t>
      </w:r>
      <w:r>
        <w:t xml:space="preserve">ã</w:t>
      </w:r>
      <w:r>
        <w:t xml:space="preserve">o Paulo: Janda</w:t>
      </w:r>
      <w:r>
        <w:t xml:space="preserve">í</w:t>
      </w:r>
      <w:r>
        <w:t xml:space="preserve">ra, 2019.</w:t>
      </w:r>
    </w:p>
    <w:bookmarkEnd w:id="121"/>
    <w:bookmarkStart w:id="122" w:name="ref-angrist2009"/>
    <w:p>
      <w:pPr>
        <w:pStyle w:val="Bibliography"/>
      </w:pPr>
      <w:r>
        <w:t xml:space="preserve">ANGRIST, Joshua D.; PISCHKE, Jörn-Steffen.</w:t>
      </w:r>
      <w:r>
        <w:t xml:space="preserve"> </w:t>
      </w:r>
      <w:r>
        <w:rPr>
          <w:b/>
          <w:bCs/>
        </w:rPr>
        <w:t xml:space="preserve">Mostly Harmless Econometrics: An Empiricist’s Companion</w:t>
      </w:r>
      <w:r>
        <w:t xml:space="preserve">. Princeton: Princeton University Press, 2009.</w:t>
      </w:r>
    </w:p>
    <w:bookmarkEnd w:id="122"/>
    <w:bookmarkStart w:id="123" w:name="ref-arrow1973"/>
    <w:p>
      <w:pPr>
        <w:pStyle w:val="Bibliography"/>
      </w:pPr>
      <w:r>
        <w:t xml:space="preserve">ARROW, Kenneth J. The Theory of Discrimination.</w:t>
      </w:r>
      <w:r>
        <w:t xml:space="preserve"> </w:t>
      </w:r>
      <w:r>
        <w:rPr>
          <w:i/>
          <w:iCs/>
        </w:rPr>
        <w:t xml:space="preserve">In</w:t>
      </w:r>
      <w:r>
        <w:t xml:space="preserve">: ASHENFELTER, Orley; REES, Albert (Orgs.).</w:t>
      </w:r>
      <w:r>
        <w:t xml:space="preserve"> </w:t>
      </w:r>
      <w:r>
        <w:rPr>
          <w:b/>
          <w:bCs/>
        </w:rPr>
        <w:t xml:space="preserve">Discrimination in Labor Markets</w:t>
      </w:r>
      <w:r>
        <w:t xml:space="preserve">. Princeton, NJ: Princeton University Press, 1973. p. 3–33.</w:t>
      </w:r>
    </w:p>
    <w:bookmarkEnd w:id="123"/>
    <w:bookmarkStart w:id="124" w:name="ref-becker1957"/>
    <w:p>
      <w:pPr>
        <w:pStyle w:val="Bibliography"/>
      </w:pPr>
      <w:r>
        <w:t xml:space="preserve">BECKER, Gary S.</w:t>
      </w:r>
      <w:r>
        <w:t xml:space="preserve"> </w:t>
      </w:r>
      <w:r>
        <w:rPr>
          <w:b/>
          <w:bCs/>
        </w:rPr>
        <w:t xml:space="preserve">The Economics of Discrimination</w:t>
      </w:r>
      <w:r>
        <w:t xml:space="preserve">. Chicago: University of Chicago Press, 1957.</w:t>
      </w:r>
    </w:p>
    <w:bookmarkEnd w:id="124"/>
    <w:bookmarkStart w:id="125" w:name="ref-bickel2008"/>
    <w:p>
      <w:pPr>
        <w:pStyle w:val="Bibliography"/>
      </w:pPr>
      <w:r>
        <w:t xml:space="preserve">BICKEL, Peter J.; SAKOV, Anat. On the Choice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out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Bootstrap and Confidence Bounds for Extrema.</w:t>
      </w:r>
      <w:r>
        <w:t xml:space="preserve"> </w:t>
      </w:r>
      <w:r>
        <w:rPr>
          <w:b/>
          <w:bCs/>
        </w:rPr>
        <w:t xml:space="preserve">Statistica Sinica</w:t>
      </w:r>
      <w:r>
        <w:t xml:space="preserve">, v. 18, n. 3, p. 967–985, 2008.</w:t>
      </w:r>
    </w:p>
    <w:bookmarkEnd w:id="125"/>
    <w:bookmarkStart w:id="126" w:name="ref-blinder1973"/>
    <w:p>
      <w:pPr>
        <w:pStyle w:val="Bibliography"/>
      </w:pPr>
      <w:r>
        <w:t xml:space="preserve">BLINDER, Alan S. Wage Discrimination: Reduced Form and Structural Estimates.</w:t>
      </w:r>
      <w:r>
        <w:t xml:space="preserve"> </w:t>
      </w:r>
      <w:r>
        <w:rPr>
          <w:b/>
          <w:bCs/>
        </w:rPr>
        <w:t xml:space="preserve">Journal of Human Resources</w:t>
      </w:r>
      <w:r>
        <w:t xml:space="preserve">, v. 8, n. 4, p. 436–455, 1973.</w:t>
      </w:r>
    </w:p>
    <w:bookmarkEnd w:id="126"/>
    <w:bookmarkStart w:id="127" w:name="ref-breiman2001"/>
    <w:p>
      <w:pPr>
        <w:pStyle w:val="Bibliography"/>
      </w:pPr>
      <w:r>
        <w:t xml:space="preserve">BREIMAN, Leo. Random Forests.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, v. 45, n. 1, p. 5–32, 2001.</w:t>
      </w:r>
    </w:p>
    <w:bookmarkEnd w:id="127"/>
    <w:bookmarkStart w:id="128" w:name="ref-cameron2008"/>
    <w:p>
      <w:pPr>
        <w:pStyle w:val="Bibliography"/>
      </w:pPr>
      <w:r>
        <w:t xml:space="preserve">CAMERON, A. Colin; GELBACH, Jonah B.; MILLER, Douglas L. Bootstrap-Based Improvements for Inference with Clustered Errors.</w:t>
      </w:r>
      <w:r>
        <w:t xml:space="preserve"> </w:t>
      </w:r>
      <w:r>
        <w:rPr>
          <w:b/>
          <w:bCs/>
        </w:rPr>
        <w:t xml:space="preserve">The Review of Economics and Statistics</w:t>
      </w:r>
      <w:r>
        <w:t xml:space="preserve">, v. 90, n. 3, p. 414–427, 2008.</w:t>
      </w:r>
    </w:p>
    <w:bookmarkEnd w:id="128"/>
    <w:bookmarkStart w:id="130" w:name="ref-chen2016"/>
    <w:p>
      <w:pPr>
        <w:pStyle w:val="Bibliography"/>
      </w:pPr>
      <w:r>
        <w:t xml:space="preserve">CHEN, Tianqi; GUESTRIN, Carlos.</w:t>
      </w:r>
      <w:r>
        <w:t xml:space="preserve"> </w:t>
      </w:r>
      <w:hyperlink r:id="rId129">
        <w:r>
          <w:rPr>
            <w:rStyle w:val="Hyperlink"/>
          </w:rPr>
          <w:t xml:space="preserve">XGBoost</w:t>
        </w:r>
        <w:r>
          <w:rPr>
            <w:rStyle w:val="Hyperlink"/>
          </w:rPr>
          <w:t xml:space="preserve">: A Scalable Tree Boosting System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</w:t>
      </w:r>
      <w:r>
        <w:t xml:space="preserve">:</w:t>
      </w:r>
      <w:r>
        <w:t xml:space="preserve"> </w:t>
      </w:r>
      <w:r>
        <w:rPr>
          <w:b/>
          <w:bCs/>
        </w:rPr>
        <w:t xml:space="preserve">Proceedings of the 22nd ACM SIGKDD International Conference on Knowledge Discovery and Data Mining</w:t>
      </w:r>
      <w:r>
        <w:t xml:space="preserve">. San Francisco: ACM, 2016. p. 785–794.</w:t>
      </w:r>
    </w:p>
    <w:bookmarkEnd w:id="130"/>
    <w:bookmarkStart w:id="131" w:name="ref-crenshaw1989"/>
    <w:p>
      <w:pPr>
        <w:pStyle w:val="Bibliography"/>
      </w:pPr>
      <w:r>
        <w:t xml:space="preserve">CRENSHAW, Kimberlé. Demarginalizing the Intersection of Race and Sex: A Black Feminist Critique of Antidiscrimination Doctrine.</w:t>
      </w:r>
      <w:r>
        <w:t xml:space="preserve"> </w:t>
      </w:r>
      <w:r>
        <w:rPr>
          <w:b/>
          <w:bCs/>
        </w:rPr>
        <w:t xml:space="preserve">University of Chicago Legal Forum</w:t>
      </w:r>
      <w:r>
        <w:t xml:space="preserve">, v. 1989, n. 1, p. 139–167, 1989.</w:t>
      </w:r>
    </w:p>
    <w:bookmarkEnd w:id="131"/>
    <w:bookmarkStart w:id="132" w:name="ref-duan1983"/>
    <w:p>
      <w:pPr>
        <w:pStyle w:val="Bibliography"/>
      </w:pPr>
      <w:r>
        <w:t xml:space="preserve">DUAN, Naihua. Smearing Estimate: A Nonparametric Retransformation Method.</w:t>
      </w:r>
      <w:r>
        <w:t xml:space="preserve"> </w:t>
      </w:r>
      <w:r>
        <w:rPr>
          <w:b/>
          <w:bCs/>
        </w:rPr>
        <w:t xml:space="preserve">Journal of the American Statistical Association</w:t>
      </w:r>
      <w:r>
        <w:t xml:space="preserve">, v. 78, n. 383, p. 605–610, 1983.</w:t>
      </w:r>
    </w:p>
    <w:bookmarkEnd w:id="132"/>
    <w:bookmarkStart w:id="133" w:name="ref-favero2024"/>
    <w:p>
      <w:pPr>
        <w:pStyle w:val="Bibliography"/>
      </w:pPr>
      <w:r>
        <w:t xml:space="preserve">FÁVERO, Luiz Paulo; BELFIORE, Patrícia.</w:t>
      </w:r>
      <w:r>
        <w:t xml:space="preserve"> </w:t>
      </w:r>
      <w:r>
        <w:rPr>
          <w:b/>
          <w:bCs/>
        </w:rPr>
        <w:t xml:space="preserve">Manual de Análise de Dados: estatística e machine learning com Excel, SPSS, Stata, R e Python</w:t>
      </w:r>
      <w:r>
        <w:t xml:space="preserve">. 2. ed. Rio de Janeiro: GEN LTC, 2024.</w:t>
      </w:r>
    </w:p>
    <w:bookmarkEnd w:id="133"/>
    <w:bookmarkStart w:id="134" w:name="ref-firpo2018"/>
    <w:p>
      <w:pPr>
        <w:pStyle w:val="Bibliography"/>
      </w:pPr>
      <w:r>
        <w:t xml:space="preserve">FIRPO, Sergio P.; FORTIN, Nicole M.; LEMIEUX, Thomas. Decomposing Wage Distributions Using Recentered Influence Function Regressions.</w:t>
      </w:r>
      <w:r>
        <w:t xml:space="preserve"> </w:t>
      </w:r>
      <w:r>
        <w:rPr>
          <w:b/>
          <w:bCs/>
        </w:rPr>
        <w:t xml:space="preserve">Econometrics</w:t>
      </w:r>
      <w:r>
        <w:t xml:space="preserve">, v. 6, n. 2, p. 28, 2018.</w:t>
      </w:r>
    </w:p>
    <w:bookmarkEnd w:id="134"/>
    <w:bookmarkStart w:id="135" w:name="ref-frank2013"/>
    <w:p>
      <w:pPr>
        <w:pStyle w:val="Bibliography"/>
      </w:pPr>
      <w:r>
        <w:t xml:space="preserve">FRANK, Kenneth A.</w:t>
      </w:r>
      <w:r>
        <w:t xml:space="preserve"> </w:t>
      </w:r>
      <w:r>
        <w:rPr>
          <w:i/>
          <w:iCs/>
        </w:rPr>
        <w:t xml:space="preserve">et al.</w:t>
      </w:r>
      <w:r>
        <w:t xml:space="preserve"> What Would It Take to Change an Inference? Using Rubin’s Causal Model to Interpret the Robustness of Causal Inferences.</w:t>
      </w:r>
      <w:r>
        <w:t xml:space="preserve"> </w:t>
      </w:r>
      <w:r>
        <w:rPr>
          <w:b/>
          <w:bCs/>
        </w:rPr>
        <w:t xml:space="preserve">Educational Evaluation and Policy Analysis</w:t>
      </w:r>
      <w:r>
        <w:t xml:space="preserve">, v. 35, n. 4, p. 437–460, 2013.</w:t>
      </w:r>
    </w:p>
    <w:bookmarkEnd w:id="135"/>
    <w:bookmarkStart w:id="136" w:name="ref-geron2021"/>
    <w:p>
      <w:pPr>
        <w:pStyle w:val="Bibliography"/>
      </w:pPr>
      <w:r>
        <w:t xml:space="preserve">GÉRON, Aurélien.</w:t>
      </w:r>
      <w:r>
        <w:t xml:space="preserve"> </w:t>
      </w:r>
      <w:r>
        <w:rPr>
          <w:b/>
          <w:bCs/>
        </w:rPr>
        <w:t xml:space="preserve">Mãos à obra: aprendizado de máquina com Scikit-Learn, Keras &amp; TensorFlow: conceitos, ferramentas e técnicas para a construção de sistemas inteligentes</w:t>
      </w:r>
      <w:r>
        <w:t xml:space="preserve">. Tradução: Cibelle Ravaglia. 2. ed. Rio de Janeiro: Alta Books, 2021.</w:t>
      </w:r>
    </w:p>
    <w:bookmarkEnd w:id="136"/>
    <w:bookmarkStart w:id="137" w:name="ref-granovetter1973"/>
    <w:p>
      <w:pPr>
        <w:pStyle w:val="Bibliography"/>
      </w:pPr>
      <w:r>
        <w:t xml:space="preserve">GRANOVETTER, Mark S. The Strength of Weak Ties.</w:t>
      </w:r>
      <w:r>
        <w:t xml:space="preserve"> </w:t>
      </w:r>
      <w:r>
        <w:rPr>
          <w:b/>
          <w:bCs/>
        </w:rPr>
        <w:t xml:space="preserve">American Journal of Sociology</w:t>
      </w:r>
      <w:r>
        <w:t xml:space="preserve">, v. 78, n. 6, p. 1360–1380, 1973.</w:t>
      </w:r>
    </w:p>
    <w:bookmarkEnd w:id="137"/>
    <w:bookmarkStart w:id="138" w:name="ref-hasenbalg1979"/>
    <w:p>
      <w:pPr>
        <w:pStyle w:val="Bibliography"/>
      </w:pPr>
      <w:r>
        <w:t xml:space="preserve">HASENBALG, Carlos.</w:t>
      </w:r>
      <w:r>
        <w:t xml:space="preserve"> </w:t>
      </w:r>
      <w:r>
        <w:rPr>
          <w:b/>
          <w:bCs/>
        </w:rPr>
        <w:t xml:space="preserve">Discriminação e Desigualdades Raciais no Brasil</w:t>
      </w:r>
      <w:r>
        <w:t xml:space="preserve">. Rio de Janeiro: Graal, 1979.</w:t>
      </w:r>
    </w:p>
    <w:bookmarkEnd w:id="138"/>
    <w:bookmarkStart w:id="139" w:name="ref-henriques2001"/>
    <w:p>
      <w:pPr>
        <w:pStyle w:val="Bibliography"/>
      </w:pPr>
      <w:r>
        <w:t xml:space="preserve">HENRIQUES, Ricardo. Desigualdade Racial no Brasil: Evolução das Condições de Vida na Década de 90.</w:t>
      </w:r>
      <w:r>
        <w:t xml:space="preserve"> </w:t>
      </w:r>
      <w:r>
        <w:rPr>
          <w:b/>
          <w:bCs/>
        </w:rPr>
        <w:t xml:space="preserve">Texto para Discussão IPEA</w:t>
      </w:r>
      <w:r>
        <w:t xml:space="preserve">, n. 807, 2001.</w:t>
      </w:r>
    </w:p>
    <w:bookmarkEnd w:id="139"/>
    <w:bookmarkStart w:id="140" w:name="ref-ibge_pof_2019"/>
    <w:p>
      <w:pPr>
        <w:pStyle w:val="Bibliography"/>
      </w:pPr>
      <w:r>
        <w:t xml:space="preserve">IBGE.</w:t>
      </w:r>
      <w:r>
        <w:t xml:space="preserve"> </w:t>
      </w:r>
      <w:r>
        <w:rPr>
          <w:b/>
          <w:bCs/>
        </w:rPr>
        <w:t xml:space="preserve">Pesquisa de Orçamentos Familiares 2017–2018: análise da qualidade de vida (Índice de Perda de Qualidade de Vida)</w:t>
      </w:r>
      <w:r>
        <w:t xml:space="preserve">. Rio de Janeiro: Instituto Brasileiro de Geografia e Estatística, 2019.</w:t>
      </w:r>
    </w:p>
    <w:bookmarkEnd w:id="140"/>
    <w:bookmarkStart w:id="141" w:name="ref-ibge_pnad_2023"/>
    <w:p>
      <w:pPr>
        <w:pStyle w:val="Bibliography"/>
      </w:pPr>
      <w:r>
        <w:t xml:space="preserve">IBGE.</w:t>
      </w:r>
      <w:r>
        <w:t xml:space="preserve"> </w:t>
      </w:r>
      <w:r>
        <w:rPr>
          <w:b/>
          <w:bCs/>
        </w:rPr>
        <w:t xml:space="preserve">Pesquisa Nacional por Amostra de Domicílios Contínua: Notas Metodológicas</w:t>
      </w:r>
      <w:r>
        <w:t xml:space="preserve">. Rio de Janeiro: Instituto Brasileiro de Geografia e Estatística, 2023.</w:t>
      </w:r>
    </w:p>
    <w:bookmarkEnd w:id="141"/>
    <w:bookmarkStart w:id="142" w:name="ref-ibge_rendimentos_2025"/>
    <w:p>
      <w:pPr>
        <w:pStyle w:val="Bibliography"/>
      </w:pPr>
      <w:r>
        <w:t xml:space="preserve">IBGE.</w:t>
      </w:r>
      <w:r>
        <w:t xml:space="preserve"> </w:t>
      </w:r>
      <w:r>
        <w:rPr>
          <w:b/>
          <w:bCs/>
        </w:rPr>
        <w:t xml:space="preserve">Pesquisa Nacional por Amostra de Domicílios Contínua: Rendimento de Todas as Fontes 2025</w:t>
      </w:r>
      <w:r>
        <w:t xml:space="preserve">. Rio de Janeiro: Instituto Brasileiro de Geografia e Estatística, 2025.</w:t>
      </w:r>
    </w:p>
    <w:bookmarkEnd w:id="142"/>
    <w:bookmarkStart w:id="143" w:name="ref-koenker1978"/>
    <w:p>
      <w:pPr>
        <w:pStyle w:val="Bibliography"/>
      </w:pPr>
      <w:r>
        <w:t xml:space="preserve">KOENKER, Roger; BASSETT, Gilbert. Regression Quantiles.</w:t>
      </w:r>
      <w:r>
        <w:t xml:space="preserve"> </w:t>
      </w:r>
      <w:r>
        <w:rPr>
          <w:b/>
          <w:bCs/>
        </w:rPr>
        <w:t xml:space="preserve">Econometrica</w:t>
      </w:r>
      <w:r>
        <w:t xml:space="preserve">, v. 46, n. 1, p. 33–50, 1978.</w:t>
      </w:r>
    </w:p>
    <w:bookmarkEnd w:id="143"/>
    <w:bookmarkStart w:id="144" w:name="ref-lundberg2017"/>
    <w:p>
      <w:pPr>
        <w:pStyle w:val="Bibliography"/>
      </w:pPr>
      <w:r>
        <w:t xml:space="preserve">LUNDBERG, Scott M.; LEE, Su-In. A Unified Approach to Interpreting Model Predictions.</w:t>
      </w:r>
      <w:r>
        <w:t xml:space="preserve"> </w:t>
      </w:r>
      <w:r>
        <w:rPr>
          <w:b/>
          <w:bCs/>
        </w:rPr>
        <w:t xml:space="preserve">Advances in Neural Information Processing Systems</w:t>
      </w:r>
      <w:r>
        <w:t xml:space="preserve">, v. 30, 2017.</w:t>
      </w:r>
    </w:p>
    <w:bookmarkEnd w:id="144"/>
    <w:bookmarkStart w:id="145" w:name="ref-manski1993"/>
    <w:p>
      <w:pPr>
        <w:pStyle w:val="Bibliography"/>
      </w:pPr>
      <w:r>
        <w:t xml:space="preserve">MANSKI, Charles F. Identification of Endogenous Social Effects: The Reflection Problem.</w:t>
      </w:r>
      <w:r>
        <w:t xml:space="preserve"> </w:t>
      </w:r>
      <w:r>
        <w:rPr>
          <w:b/>
          <w:bCs/>
        </w:rPr>
        <w:t xml:space="preserve">Review of Economic Studies</w:t>
      </w:r>
      <w:r>
        <w:t xml:space="preserve">, v. 60, n. 3, p. 531–542, 1993.</w:t>
      </w:r>
    </w:p>
    <w:bookmarkEnd w:id="145"/>
    <w:bookmarkStart w:id="146" w:name="ref-marques2010"/>
    <w:p>
      <w:pPr>
        <w:pStyle w:val="Bibliography"/>
      </w:pPr>
      <w:r>
        <w:t xml:space="preserve">MARQUES, Eduardo. Redes Sociais, Segregação e Pobreza em São Paulo.</w:t>
      </w:r>
      <w:r>
        <w:t xml:space="preserve"> </w:t>
      </w:r>
      <w:r>
        <w:rPr>
          <w:b/>
          <w:bCs/>
        </w:rPr>
        <w:t xml:space="preserve">Dados: Revista de Ciências Sociais</w:t>
      </w:r>
      <w:r>
        <w:t xml:space="preserve">, v. 53, n. 1, p. 5–50, 2010.</w:t>
      </w:r>
    </w:p>
    <w:bookmarkEnd w:id="146"/>
    <w:bookmarkStart w:id="147" w:name="ref-oaxaca1973"/>
    <w:p>
      <w:pPr>
        <w:pStyle w:val="Bibliography"/>
      </w:pPr>
      <w:r>
        <w:t xml:space="preserve">OAXACA, Ronald. Male-Female Wage Differentials in Urban Labor Markets.</w:t>
      </w:r>
      <w:r>
        <w:t xml:space="preserve"> </w:t>
      </w:r>
      <w:r>
        <w:rPr>
          <w:b/>
          <w:bCs/>
        </w:rPr>
        <w:t xml:space="preserve">International Economic Review</w:t>
      </w:r>
      <w:r>
        <w:t xml:space="preserve">, v. 14, n. 3, p. 693–709, 1973.</w:t>
      </w:r>
    </w:p>
    <w:bookmarkEnd w:id="147"/>
    <w:bookmarkStart w:id="148" w:name="ref-oaxaca_ransom1999"/>
    <w:p>
      <w:pPr>
        <w:pStyle w:val="Bibliography"/>
      </w:pPr>
      <w:r>
        <w:t xml:space="preserve">OAXACA, Ronald L.; RANSOM, Michael R. Identification in Detailed Wage Decompositions.</w:t>
      </w:r>
      <w:r>
        <w:t xml:space="preserve"> </w:t>
      </w:r>
      <w:r>
        <w:rPr>
          <w:b/>
          <w:bCs/>
        </w:rPr>
        <w:t xml:space="preserve">Review of Economics and Statistics</w:t>
      </w:r>
      <w:r>
        <w:t xml:space="preserve">, v. 81, n. 1, p. 154–157, 1999.</w:t>
      </w:r>
    </w:p>
    <w:bookmarkEnd w:id="148"/>
    <w:bookmarkStart w:id="149" w:name="ref-pager2007"/>
    <w:p>
      <w:pPr>
        <w:pStyle w:val="Bibliography"/>
      </w:pPr>
      <w:r>
        <w:t xml:space="preserve">PAGER, Devah.</w:t>
      </w:r>
      <w:r>
        <w:t xml:space="preserve"> </w:t>
      </w:r>
      <w:r>
        <w:rPr>
          <w:b/>
          <w:bCs/>
        </w:rPr>
        <w:t xml:space="preserve">Marked: Race, Crime, and Finding Work in an Era of Mass Incarceration</w:t>
      </w:r>
      <w:r>
        <w:t xml:space="preserve">. Chicago: University of Chicago Press, 2007.</w:t>
      </w:r>
    </w:p>
    <w:bookmarkEnd w:id="149"/>
    <w:bookmarkStart w:id="150" w:name="ref-raudenbush2002"/>
    <w:p>
      <w:pPr>
        <w:pStyle w:val="Bibliography"/>
      </w:pPr>
      <w:r>
        <w:t xml:space="preserve">RAUDENBUSH, Stephen W.; BRYK, Anthony S.</w:t>
      </w:r>
      <w:r>
        <w:t xml:space="preserve"> </w:t>
      </w:r>
      <w:r>
        <w:rPr>
          <w:b/>
          <w:bCs/>
        </w:rPr>
        <w:t xml:space="preserve">Hierarchical Linear Models: Applications and Data Analysis Methods</w:t>
      </w:r>
      <w:r>
        <w:t xml:space="preserve">. 2. ed. Thousand Oaks, CA: Sage, 2002.</w:t>
      </w:r>
    </w:p>
    <w:bookmarkEnd w:id="150"/>
    <w:bookmarkStart w:id="151" w:name="ref-sampson1997"/>
    <w:p>
      <w:pPr>
        <w:pStyle w:val="Bibliography"/>
      </w:pPr>
      <w:r>
        <w:t xml:space="preserve">SAMPSON, Robert J.; RAUDENBUSH, Stephen W.; EARLS, Felton. Neighborhoods and Violent Crime: A Multilevel Study of Collective Efficacy.</w:t>
      </w:r>
      <w:r>
        <w:t xml:space="preserve"> </w:t>
      </w:r>
      <w:r>
        <w:rPr>
          <w:b/>
          <w:bCs/>
        </w:rPr>
        <w:t xml:space="preserve">Science</w:t>
      </w:r>
      <w:r>
        <w:t xml:space="preserve">, v. 277, p. 918–924, 1997.</w:t>
      </w:r>
    </w:p>
    <w:bookmarkEnd w:id="151"/>
    <w:bookmarkStart w:id="152" w:name="ref-soares2009"/>
    <w:p>
      <w:pPr>
        <w:pStyle w:val="Bibliography"/>
      </w:pPr>
      <w:r>
        <w:t xml:space="preserve">SOARES, Sergei. Desigualdade Racial de Renda no Brasil: 1976–2006.</w:t>
      </w:r>
      <w:r>
        <w:t xml:space="preserve"> </w:t>
      </w:r>
      <w:r>
        <w:rPr>
          <w:b/>
          <w:bCs/>
        </w:rPr>
        <w:t xml:space="preserve">Estudos Econômicos</w:t>
      </w:r>
      <w:r>
        <w:t xml:space="preserve">, v. 39, n. 4, p. 803–825, 2009.</w:t>
      </w:r>
    </w:p>
    <w:bookmarkEnd w:id="152"/>
    <w:bookmarkStart w:id="153" w:name="ref-vanderweele2017"/>
    <w:p>
      <w:pPr>
        <w:pStyle w:val="Bibliography"/>
      </w:pPr>
      <w:r>
        <w:t xml:space="preserve">VANDERWEELE, Tyler J.; DING, Peng. Sensitivity Analysis in Observational Research: Introducing the E-Value.</w:t>
      </w:r>
      <w:r>
        <w:t xml:space="preserve"> </w:t>
      </w:r>
      <w:r>
        <w:rPr>
          <w:b/>
          <w:bCs/>
        </w:rPr>
        <w:t xml:space="preserve">Annals of Internal Medicine</w:t>
      </w:r>
      <w:r>
        <w:t xml:space="preserve">, v. 167, n. 4, p. 268–274, 2017.</w:t>
      </w:r>
    </w:p>
    <w:bookmarkEnd w:id="153"/>
    <w:bookmarkStart w:id="155" w:name="ref-wilm2026"/>
    <w:p>
      <w:pPr>
        <w:pStyle w:val="Bibliography"/>
      </w:pPr>
      <w:r>
        <w:t xml:space="preserve">WILM, Melissa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rPr>
          <w:b/>
          <w:bCs/>
        </w:rPr>
        <w:t xml:space="preserve">Índice de Progresso Social Brasil 2026: resumo executivo</w:t>
      </w:r>
      <w:r>
        <w:t xml:space="preserve">. Belém: Imazon, 2026. Disponível em: &lt;</w:t>
      </w:r>
      <w:hyperlink r:id="rId154">
        <w:r>
          <w:rPr>
            <w:rStyle w:val="Hyperlink"/>
          </w:rPr>
          <w:t xml:space="preserve">https://imazon.org.br/relatorios/indice-de-progresso-social-brasil-2026</w:t>
        </w:r>
      </w:hyperlink>
      <w:r>
        <w:t xml:space="preserve">&gt;.</w:t>
      </w:r>
    </w:p>
    <w:bookmarkEnd w:id="155"/>
    <w:bookmarkStart w:id="156" w:name="ref-wilson1987"/>
    <w:p>
      <w:pPr>
        <w:pStyle w:val="Bibliography"/>
      </w:pPr>
      <w:r>
        <w:t xml:space="preserve">WILSON, William J.</w:t>
      </w:r>
      <w:r>
        <w:t xml:space="preserve"> </w:t>
      </w:r>
      <w:r>
        <w:rPr>
          <w:b/>
          <w:bCs/>
        </w:rPr>
        <w:t xml:space="preserve">The Truly Disadvantaged: The Inner City, the Underclass, and Public Policy</w:t>
      </w:r>
      <w:r>
        <w:t xml:space="preserve">. Chicago: University of Chicago Press, 1987.</w:t>
      </w:r>
    </w:p>
    <w:bookmarkEnd w:id="156"/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UPA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3018</m:t>
        </m:r>
      </m:oMath>
      <w:r>
        <w:t xml:space="preserve"> </w:t>
      </w:r>
      <w:r>
        <w:t xml:space="preserve">(variância entre</w:t>
      </w:r>
      <w:r>
        <w:t xml:space="preserve"> </w:t>
      </w:r>
      <w:r>
        <w:t xml:space="preserve">bairros) 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5524</m:t>
        </m:r>
      </m:oMath>
      <w:r>
        <w:t xml:space="preserve"> </w:t>
      </w:r>
      <w:r>
        <w:t xml:space="preserve">(variância entre pessoas do mesmo bairro), com</w:t>
      </w:r>
      <w:r>
        <w:t xml:space="preserve"> </w:t>
      </w:r>
      <w:r>
        <w:t xml:space="preserve">ICC</w:t>
      </w:r>
      <w:r>
        <w:t xml:space="preserve"> </w:t>
      </w:r>
      <m:oMath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  <m:sup>
            <m:r>
              <m:t>M</m:t>
            </m:r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0669</m:t>
        </m:r>
      </m:oMath>
      <w:r>
        <w:t xml:space="preserve">, IC 95%: [−0,0679; −0,0658].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cai de 0,1012 para</w:t>
      </w:r>
      <w:r>
        <w:t xml:space="preserve"> </w:t>
      </w:r>
      <w:r>
        <w:t xml:space="preserve">0,0454; LR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29.811, 3 g.l.,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.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 95% de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  <m:sup>
            <m:r>
              <m:t>M</m:t>
            </m:r>
            <m:r>
              <m:t>3</m:t>
            </m:r>
          </m:sup>
        </m:sSubSup>
      </m:oMath>
      <w:r>
        <w:t xml:space="preserve">: [−0,0639; −0,0619]. O ICC cai para 0,076 e os controles acumulados explicam</w:t>
      </w:r>
      <w:r>
        <w:t xml:space="preserve"> </w:t>
      </w:r>
      <w:r>
        <w:t xml:space="preserve">90,1% da variância entre bairros do M0; a escada completa está nas linhas</w:t>
      </w:r>
      <w:r>
        <w:t xml:space="preserve"> </w:t>
      </w:r>
      <w:r>
        <w:t xml:space="preserve">inferiores da Tabela </w:t>
      </w:r>
      <w:hyperlink w:anchor="tab:hlm_resultados">
        <w:r>
          <w:rPr>
            <w:rStyle w:val="Hyperlink"/>
          </w:rPr>
          <w:t xml:space="preserve">5</w:t>
        </w:r>
      </w:hyperlink>
      <w:r>
        <w:t xml:space="preserve">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Estimado com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sobre a mesma população. A especificação do trabalho continua sendo a de dois níveis: 27 estados são poucos para estimar uma variância com precisão, e o efeito fixo absorve o contexto estadual sem hipótese distribucional. O ponto desta checagem é outro: o coeficiente racial não depende dessa escolha — vale −0,0629 com a UF como efeito fixo e −0,0629 com a UF como nível aleatório.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0210</m:t>
        </m:r>
      </m:oMath>
      <w:r>
        <w:t xml:space="preserve">, componente de variância da inclinação</w:t>
      </w:r>
      <w:r>
        <w:t xml:space="preserve"> </w:t>
      </w:r>
      <w:r>
        <w:t xml:space="preserve">aleatória de</w:t>
      </w:r>
      <w:r>
        <w:t xml:space="preserve"> </w:t>
      </w:r>
      <w:r>
        <w:rPr>
          <w:rStyle w:val="VerbatimChar"/>
        </w:rPr>
        <w:t xml:space="preserve">negro</w:t>
      </w:r>
      <w:r>
        <w:t xml:space="preserve"> </w:t>
      </w:r>
      <w:r>
        <w:t xml:space="preserve">por UPA.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Profundidade 10, com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6435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0006</m:t>
        </m:r>
      </m:oMath>
      <w:r>
        <w:t xml:space="preserve"> </w:t>
      </w:r>
      <w:r>
        <w:t xml:space="preserve">entre os</w:t>
      </w:r>
      <w:r>
        <w:t xml:space="preserve"> </w:t>
      </w:r>
      <w:r>
        <w:rPr>
          <w:i/>
          <w:iCs/>
        </w:rPr>
        <w:t xml:space="preserve">folds</w:t>
      </w:r>
      <w:r>
        <w:t xml:space="preserve">, contra</w:t>
      </w:r>
      <w:r>
        <w:t xml:space="preserve"> </w:t>
      </w:r>
      <w:r>
        <w:t xml:space="preserve">0,6294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0,0006 da profundidade 6 de referência, sobre</w:t>
      </w:r>
      <w:r>
        <w:t xml:space="preserve"> </w:t>
      </w:r>
      <w:r>
        <w:t xml:space="preserve">6.159.418 observações de treino.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População completa,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7.699</m:t>
        </m:r>
        <m:r>
          <m:t>.273</m:t>
        </m:r>
      </m:oMath>
      <w:r>
        <w:t xml:space="preserve">, com 80% para</w:t>
      </w:r>
      <w:r>
        <w:t xml:space="preserve"> </w:t>
      </w:r>
      <w:r>
        <w:t xml:space="preserve">treino e 20% para teste; o mesmo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aparece no Random Forest.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15</w:t>
      </w:r>
      <w:r>
        <w:rPr>
          <w:vertAlign w:val="superscript"/>
        </w:rPr>
        <w:t xml:space="preserve">a</w:t>
      </w:r>
      <w:r>
        <w:t xml:space="preserve"> </w:t>
      </w:r>
      <w:r>
        <w:t xml:space="preserve">de 27 variáveis no modelo sem renda de vizinhança, contra</w:t>
      </w:r>
      <w:r>
        <w:t xml:space="preserve"> </w:t>
      </w:r>
      <w:r>
        <w:t xml:space="preserve">14</w:t>
      </w:r>
      <w:r>
        <w:rPr>
          <w:vertAlign w:val="superscript"/>
        </w:rPr>
        <w:t xml:space="preserve">a</w:t>
      </w:r>
      <w:r>
        <w:t xml:space="preserve"> </w:t>
      </w:r>
      <w:r>
        <w:t xml:space="preserve">de 28 no modelo completo.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Contribuição média da variável racial à previsão, com sinal: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0241</m:t>
        </m:r>
      </m:oMath>
      <w:r>
        <w:t xml:space="preserve"> </w:t>
      </w:r>
      <w:r>
        <w:t xml:space="preserve">log-pontos entre os negros 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0299</m:t>
        </m:r>
      </m:oMath>
      <w:r>
        <w:t xml:space="preserve"> </w:t>
      </w:r>
      <w:r>
        <w:t xml:space="preserve">entre os brancos (XGBoost,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SHAP</m:t>
            </m:r>
          </m:sub>
        </m:sSub>
        <m:r>
          <m:rPr>
            <m:sty m:val="p"/>
          </m:rPr>
          <m:t>=</m:t>
        </m:r>
        <m:r>
          <m:t>50.000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shap_negro_por_grupo.csv</w:t>
      </w:r>
      <w:r>
        <w:t xml:space="preserve">). A média de um</w:t>
      </w:r>
      <w:r>
        <w:t xml:space="preserve"> </w:t>
      </w:r>
      <w:r>
        <w:t xml:space="preserve">grupo mede o desvio em relação à previsão média da base, que mistura os dois; o</w:t>
      </w:r>
      <w:r>
        <w:t xml:space="preserve"> </w:t>
      </w:r>
      <w:r>
        <w:t xml:space="preserve">que corresponde ao coeficiente racial das regressões é o contraste entre elas.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lme4::glmer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nAGQ = 0</w:t>
      </w:r>
      <w:r>
        <w:t xml:space="preserve"> </w:t>
      </w:r>
      <w:r>
        <w:t xml:space="preserve">— os efeitos fixos são estimados</w:t>
      </w:r>
      <w:r>
        <w:t xml:space="preserve"> </w:t>
      </w:r>
      <w:r>
        <w:t xml:space="preserve">junto com os modos condicionais, aproximação mais rápida que a de Laplace e adequada 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 milhões —, sobre a população completa.</w:t>
      </w:r>
      <w:r>
        <w:t xml:space="preserve"> </w:t>
      </w:r>
      <w:r>
        <w:t xml:space="preserve">Os degraus são: A1 individual; A2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contexto do bairro; A3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vínculo (formalidade,</w:t>
      </w:r>
      <w:r>
        <w:t xml:space="preserve"> </w:t>
      </w:r>
      <w:r>
        <w:t xml:space="preserve">setor público, conta própria, doméstico), que é desfecho da própria discriminação e por</w:t>
      </w:r>
      <w:r>
        <w:t xml:space="preserve"> </w:t>
      </w:r>
      <w:r>
        <w:t xml:space="preserve">isso faz do A3 um limite inferior; A4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interação</w:t>
      </w:r>
      <w:r>
        <w:t xml:space="preserve"> </w:t>
      </w:r>
      <w:r>
        <w:rPr>
          <w:rStyle w:val="VerbatimChar"/>
        </w:rPr>
        <w:t xml:space="preserve">negro</w:t>
      </w:r>
      <m:oMath>
        <m:r>
          <m:rPr>
            <m:sty m:val="p"/>
          </m:rPr>
          <m:t>×</m:t>
        </m:r>
      </m:oMath>
      <w:r>
        <w:t xml:space="preserve">credencial. A</w:t>
      </w:r>
      <w:r>
        <w:t xml:space="preserve"> </w:t>
      </w:r>
      <w:r>
        <w:t xml:space="preserve">Tabela </w:t>
      </w:r>
      <w:hyperlink w:anchor="tab:glmm_glassceil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traz</w:t>
      </w:r>
      <w:r>
        <w:t xml:space="preserve"> </w:t>
      </w:r>
      <w:r>
        <w:rPr>
          <w:i/>
          <w:iCs/>
        </w:rPr>
        <w:t xml:space="preserve">odds ratios</w:t>
      </w:r>
      <w:r>
        <w:t xml:space="preserve">, efeitos marginais, ICC e</w:t>
      </w:r>
      <w:r>
        <w:t xml:space="preserve"> </w:t>
      </w:r>
      <w:r>
        <w:t xml:space="preserve">E-values; a Tabela </w:t>
      </w:r>
      <w:hyperlink w:anchor="tab:glmm_ajuste">
        <w:r>
          <w:rPr>
            <w:rStyle w:val="Hyperlink"/>
          </w:rPr>
          <w:t xml:space="preserve">15</w:t>
        </w:r>
      </w:hyperlink>
      <w:r>
        <w:t xml:space="preserve">, o ajuste e a classificação.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Correlação intraclasse latente do M1:</w:t>
      </w:r>
      <w:r>
        <w:t xml:space="preserve"> </w:t>
      </w:r>
      <w:r>
        <w:t xml:space="preserve">0,087 para o cargo qualificado e 0,221 para o top 10%, com</w:t>
      </w:r>
      <w:r>
        <w:t xml:space="preserve"> </w:t>
      </w:r>
      <w:r>
        <w:t xml:space="preserve">ICC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 O teste de razão de verossimilhança contra o logit sem</w:t>
      </w:r>
      <w:r>
        <w:t xml:space="preserve"> </w:t>
      </w:r>
      <w:r>
        <w:t xml:space="preserve">efeito aleatório dá LR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77.940 para o cargo e 80.791 para o top 10%</w:t>
      </w:r>
      <w:r>
        <w:t xml:space="preserve"> </w:t>
      </w:r>
      <w:r>
        <w:t xml:space="preserve">(1 g.l.,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).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 95% 0,810–0,818.</w:t>
      </w:r>
      <w:r>
        <w:t xml:space="preserve"> </w:t>
      </w:r>
      <w:r>
        <w:rPr>
          <w:i/>
          <w:iCs/>
        </w:rPr>
        <w:t xml:space="preserve">Odds ratio</w:t>
      </w:r>
      <w:r>
        <w:t xml:space="preserve"> </w:t>
      </w:r>
      <w:r>
        <w:t xml:space="preserve">abaixo de 1 é</w:t>
      </w:r>
      <w:r>
        <w:t xml:space="preserve"> </w:t>
      </w:r>
      <w:r>
        <w:t xml:space="preserve">desvantagem; acima de 1, vantagem.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AUC de 0,878 com</w:t>
      </w:r>
      <w:r>
        <w:t xml:space="preserve"> </w:t>
      </w:r>
      <w:r>
        <w:t xml:space="preserve">efeitos aleatórios e 0,870 só com efeitos fixos, para o cargo qualificado;</w:t>
      </w:r>
      <w:r>
        <w:t xml:space="preserve"> </w:t>
      </w:r>
      <w:r>
        <w:t xml:space="preserve">no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de Youden (0,30), sensibilidade 0,79 e</w:t>
      </w:r>
      <w:r>
        <w:t xml:space="preserve"> </w:t>
      </w:r>
      <w:r>
        <w:t xml:space="preserve">especificidade 0,79. O teste de Hosmer–Lemeshow rejeita a calibração</w:t>
      </w:r>
      <w:r>
        <w:t xml:space="preserve"> </w:t>
      </w:r>
      <w:r>
        <w:t xml:space="preserve">perfeita em todos os degraus — inevitável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 milhões</w:t>
      </w:r>
      <w:r>
        <w:t xml:space="preserve"> </w:t>
      </w:r>
      <w:r>
        <w:t xml:space="preserve">(Angrist; Pischke, 2009)</w:t>
      </w:r>
      <w:r>
        <w:t xml:space="preserve"> </w:t>
      </w:r>
      <w:r>
        <w:t xml:space="preserve">—,</w:t>
      </w:r>
      <w:r>
        <w:t xml:space="preserve"> </w:t>
      </w:r>
      <w:r>
        <w:t xml:space="preserve">mas a estatística cai 69% no top 20% e 54% no top 10%, embora suba no cargo qualificado ao se acrescentar o vínculo (A3).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GLMM de acesso reespecificado com</w:t>
      </w:r>
      <w:r>
        <w:t xml:space="preserve"> </w:t>
      </w:r>
      <w:r>
        <w:rPr>
          <w:rStyle w:val="VerbatimChar"/>
        </w:rPr>
        <w:t xml:space="preserve">grupo_rg</w:t>
      </w:r>
      <w:r>
        <w:t xml:space="preserve"> </w:t>
      </w:r>
      <w:r>
        <w:t xml:space="preserve">(homem branco como</w:t>
      </w:r>
      <w:r>
        <w:t xml:space="preserve"> </w:t>
      </w:r>
      <w:r>
        <w:t xml:space="preserve">referência, mulher branca, homem negro, mulher negra) e a interação</w:t>
      </w:r>
      <w:r>
        <w:t xml:space="preserve"> </w:t>
      </w:r>
      <w:r>
        <w:rPr>
          <w:rStyle w:val="VerbatimChar"/>
        </w:rPr>
        <w:t xml:space="preserve">negro</w:t>
      </w:r>
      <m:oMath>
        <m:r>
          <m:rPr>
            <m:sty m:val="p"/>
          </m:rPr>
          <m:t>×</m:t>
        </m:r>
      </m:oMath>
      <w:r>
        <w:rPr>
          <w:rStyle w:val="VerbatimChar"/>
        </w:rPr>
        <w:t xml:space="preserve">sexo_fem</w:t>
      </w:r>
      <w:r>
        <w:t xml:space="preserve">, em três desfechos: ocupação qualificada (CBO 1–4),</w:t>
      </w:r>
      <w:r>
        <w:t xml:space="preserve"> </w:t>
      </w:r>
      <w:r>
        <w:t xml:space="preserve">renda no top 20% e no top 10%.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interação</w:t>
      </w:r>
      <w:r>
        <w:t xml:space="preserve"> </w:t>
      </w:r>
      <w:r>
        <w:rPr>
          <w:rStyle w:val="VerbatimChar"/>
        </w:rPr>
        <w:t xml:space="preserve">negro</w:t>
      </w:r>
      <m:oMath>
        <m:r>
          <m:rPr>
            <m:sty m:val="p"/>
          </m:rPr>
          <m:t>×</m:t>
        </m:r>
      </m:oMath>
      <w:r>
        <w:rPr>
          <w:rStyle w:val="VerbatimChar"/>
        </w:rPr>
        <w:t xml:space="preserve">sexo_fem</w:t>
      </w:r>
      <w:r>
        <w:t xml:space="preserve"> </w:t>
      </w:r>
      <w:r>
        <w:t xml:space="preserve">é</w:t>
      </w:r>
      <w:r>
        <w:t xml:space="preserve"> </w:t>
      </w:r>
      <w:r>
        <w:rPr>
          <w:i/>
          <w:iCs/>
        </w:rPr>
        <w:t xml:space="preserve">sub-aditiva</w:t>
      </w:r>
      <w:r>
        <w:t xml:space="preserve"> </w:t>
      </w:r>
      <w:r>
        <w:t xml:space="preserve">em todos os desfechos (OR 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no acesso;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</m:t>
        </m:r>
      </m:oMath>
      <w:r>
        <w:t xml:space="preserve"> </w:t>
      </w:r>
      <w:r>
        <w:t xml:space="preserve">no top 10%): a penalidade racial é um pouco menor entre</w:t>
      </w:r>
      <w:r>
        <w:t xml:space="preserve"> </w:t>
      </w:r>
      <w:r>
        <w:t xml:space="preserve">mulheres do que entre homens, o que atenua a soma sem desfazê-la.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Calculado sobre a população completa da PEA com renda positiva. Dos</w:t>
      </w:r>
      <w:r>
        <w:t xml:space="preserve"> </w:t>
      </w:r>
      <m:oMath>
        <m:r>
          <m:t>23</m:t>
        </m:r>
      </m:oMath>
      <w:r>
        <w:t xml:space="preserve"> </w:t>
      </w:r>
      <w:r>
        <w:t xml:space="preserve">preditores analisados, VIF máximo 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66</m:t>
        </m:r>
      </m:oMath>
      <w:r>
        <w:t xml:space="preserve"> </w:t>
      </w:r>
      <w:r>
        <w:t xml:space="preserve">(CBO: Profissionais); 0 variáveis críticas</w:t>
      </w:r>
      <w:r>
        <w:t xml:space="preserve"> </w:t>
      </w:r>
      <w:r>
        <w:t xml:space="preserve">(VIF </w:t>
      </w:r>
      <m:oMath>
        <m:r>
          <m:rPr>
            <m:sty m:val="p"/>
          </m:rPr>
          <m:t>&gt;</m:t>
        </m:r>
        <m:r>
          <m:t>10</m:t>
        </m:r>
      </m:oMath>
      <w:r>
        <w:t xml:space="preserve">); 0 variáveis altas (</w:t>
      </w:r>
      <m:oMath>
        <m:r>
          <m:t>5</m:t>
        </m:r>
      </m:oMath>
      <w:r>
        <w:t xml:space="preserve">–</w:t>
      </w:r>
      <m:oMath>
        <m:r>
          <m:t>10</m:t>
        </m:r>
      </m:oMath>
      <w:r>
        <w:t xml:space="preserve">);</w:t>
      </w:r>
      <w:r>
        <w:t xml:space="preserve"> </w:t>
      </w:r>
      <w:r>
        <w:t xml:space="preserve">6 variáveis moderadas (</w:t>
      </w:r>
      <m:oMath>
        <m:r>
          <m:t>2</m:t>
        </m:r>
      </m:oMath>
      <w:r>
        <w:t xml:space="preserve">–</w:t>
      </w:r>
      <m:oMath>
        <m:r>
          <m:t>5</m:t>
        </m:r>
      </m:oMath>
      <w:r>
        <w:t xml:space="preserve">);</w:t>
      </w:r>
      <w:r>
        <w:t xml:space="preserve"> </w:t>
      </w:r>
      <w:r>
        <w:t xml:space="preserve">17 variáveis baixas (</w:t>
      </w:r>
      <m:oMath>
        <m:r>
          <m:rPr>
            <m:sty m:val="p"/>
          </m:rPr>
          <m:t>&lt;</m:t>
        </m:r>
        <m:r>
          <m:t>2</m:t>
        </m:r>
      </m:oMath>
      <w:r>
        <w:t xml:space="preserve">).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Índice de Perda de Qualidade de Vida (IPQV; quanto maior, pior) de 0</w:t>
      </w:r>
      <w:r>
        <w:t xml:space="preserve">,</w:t>
      </w:r>
      <w:r>
        <w:t xml:space="preserve">183 para chefes pretos ou pardos, contra 0</w:t>
      </w:r>
      <w:r>
        <w:t xml:space="preserve">,</w:t>
      </w:r>
      <w:r>
        <w:t xml:space="preserve">122 para brancos; Gini do rendimento domiciliar</w:t>
      </w:r>
      <w:r>
        <w:t xml:space="preserve"> </w:t>
      </w:r>
      <w:r>
        <w:rPr>
          <w:i/>
          <w:iCs/>
        </w:rPr>
        <w:t xml:space="preserve">per capita</w:t>
      </w:r>
      <w:r>
        <w:t xml:space="preserve"> </w:t>
      </w:r>
      <w:r>
        <w:t xml:space="preserve">de 0</w:t>
      </w:r>
      <w:r>
        <w:t xml:space="preserve">,</w:t>
      </w:r>
      <w:r>
        <w:t xml:space="preserve">491 em 2025</w:t>
      </w:r>
      <w:r>
        <w:t xml:space="preserve"> </w:t>
      </w:r>
      <w:r>
        <w:t xml:space="preserve">(IBGE, 2019, 2025)</w:t>
      </w:r>
      <w:r>
        <w:t xml:space="preserve">.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 Gini estimado neste trabalho refere-se ao rendimento do trabalho entre ocupados (em torno de 0</w:t>
      </w:r>
      <w:r>
        <w:t xml:space="preserve">,</w:t>
      </w:r>
      <w:r>
        <w:t xml:space="preserve">47), ao passo que o do IBGE é domiciliar</w:t>
      </w:r>
      <w:r>
        <w:t xml:space="preserve"> </w:t>
      </w:r>
      <w:r>
        <w:rPr>
          <w:i/>
          <w:iCs/>
        </w:rPr>
        <w:t xml:space="preserve">per capita</w:t>
      </w:r>
      <w:r>
        <w:t xml:space="preserve"> </w:t>
      </w:r>
      <w:r>
        <w:t xml:space="preserve">e de todas as fontes. Os níveis são próximos, mas as medidas podem divergir em tendência: a alta de 2025 é puxada por renda não-trabalho do topo, que não transita pelo rendimento dos ocupados.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000928</m:t>
        </m:r>
      </m:oMath>
      <w:r>
        <w:t xml:space="preserve"> </w:t>
      </w:r>
      <w:r>
        <w:t xml:space="preserve">log-ponto por ano, IC 95%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000133</m:t>
        </m:r>
        <m:r>
          <m:rPr>
            <m:sty m:val="p"/>
          </m:rPr>
          <m:t>;</m:t>
        </m:r>
        <m:r>
          <m:t> </m:t>
        </m:r>
        <m:r>
          <m:t>0</m:t>
        </m:r>
        <m:r>
          <m:rPr>
            <m:sty m:val="p"/>
          </m:rPr>
          <m:t>,</m:t>
        </m:r>
        <m:r>
          <m:t>001723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027</m:t>
        </m:r>
      </m:oMath>
      <w:r>
        <w:t xml:space="preserve">, por mínimos quadrados ponderados sobre 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negro</m:t>
            </m:r>
          </m:sub>
        </m:sSub>
      </m:oMath>
      <w:r>
        <w:t xml:space="preserve"> </w:t>
      </w:r>
      <w:r>
        <w:t xml:space="preserve">do M3 estimado ano a ano, 2016–2025.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5" Target="media/rId95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105" Target="media/rId105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hyperlink" Id="rId129" Target="https://doi.org/10.1145/2939672.2939785" TargetMode="External" /><Relationship Type="http://schemas.openxmlformats.org/officeDocument/2006/relationships/hyperlink" Id="rId154" Target="https://imazon.org.br/relatorios/indice-de-progresso-social-brasil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https://doi.org/10.1145/2939672.2939785" TargetMode="External" /><Relationship Type="http://schemas.openxmlformats.org/officeDocument/2006/relationships/hyperlink" Id="rId154" Target="https://imazon.org.br/relatorios/indice-de-progresso-social-brasil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2026-10-06T22:25:04Z</dcterms:created>
  <dcterms:modified xsi:type="dcterms:W3CDTF">2026-10-06T22:25:04Z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C:\Users\user\Documents\ProjetoRacismoPNAD\relatorio_tcc.bib</vt:lpwstr>
  </property>
  <property fmtid="{D5CDD505-2E9C-101B-9397-08002B2CF9AE}" pid="3" name="csl">
    <vt:lpwstr>C:\Users\user\Documents\ProjetoRacismoPNAD\tcc\scripts\abnt.csl</vt:lpwstr>
  </property>
</Properties>
</file>