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spacing w:before="800" w:after="120"/>
        <w:jc w:val="center"/>
      </w:pPr>
      <w:r>
        <w:rPr>
          <w:rFonts w:ascii="Calibri" w:hAnsi="Calibri"/>
          <w:b/>
          <w:i w:val="0"/>
          <w:color w:val="1F3864"/>
          <w:sz w:val="40"/>
        </w:rPr>
        <w:t>GUIA DE ESTUDO PARA DEFESA DE TCC</w:t>
      </w:r>
    </w:p>
    <w:p>
      <w:pPr>
        <w:spacing w:before="0" w:after="120"/>
        <w:jc w:val="center"/>
      </w:pPr>
      <w:r>
        <w:rPr>
          <w:rFonts w:ascii="Calibri" w:hAnsi="Calibri"/>
          <w:b w:val="0"/>
          <w:i/>
          <w:color w:val="444444"/>
          <w:sz w:val="28"/>
        </w:rPr>
        <w:t>Racismo Estrutural e Mercado de Trabalho no Brasil</w:t>
      </w:r>
    </w:p>
    <w:p>
      <w:pPr>
        <w:spacing w:before="0" w:after="400"/>
        <w:jc w:val="center"/>
      </w:pPr>
      <w:r>
        <w:rPr>
          <w:rFonts w:ascii="Calibri" w:hAnsi="Calibri"/>
          <w:b w:val="0"/>
          <w:i w:val="0"/>
          <w:color w:val="666666"/>
          <w:sz w:val="22"/>
        </w:rPr>
        <w:t>Ricardo Calheiros  |  MBA USP/ESALQ  |  2026</w:t>
      </w:r>
    </w:p>
    <w:p>
      <w:pPr>
        <w:spacing w:before="120" w:after="120"/>
      </w:pPr>
      <w:r>
        <w:rPr>
          <w:color w:val="BBBBBB"/>
          <w:sz w:val="16"/>
        </w:rPr>
        <w:t>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spacing w:before="0" w:after="240"/>
        <w:jc w:val="left"/>
      </w:pPr>
      <w:r>
        <w:rPr>
          <w:rFonts w:ascii="Calibri" w:hAnsi="Calibri"/>
          <w:b w:val="0"/>
          <w:i w:val="0"/>
          <w:sz w:val="22"/>
        </w:rPr>
        <w:t>Este guia tem dois objetivos: (1) indicar o que ler de cada obra citada no TCC antes da defesa, com priorização por risco de pergunta da banca; e (2) oferecer uma interpretação detalhada de cada gráfico produzido, incluindo o que dizer se você for questionado sobre ele durante a apresentação.</w:t>
      </w:r>
    </w:p>
    <w:p>
      <w:r>
        <w:br w:type="page"/>
      </w:r>
    </w:p>
    <w:p>
      <w:pPr>
        <w:pStyle w:val="Heading1"/>
      </w:pPr>
      <w:r>
        <w:rPr>
          <w:rFonts w:ascii="Calibri" w:hAnsi="Calibri"/>
          <w:color w:val="1F3864"/>
        </w:rPr>
        <w:t>PARTE 1 — ROTEIRO DE LEITURAS PRIORITÁRIAS</w:t>
      </w:r>
    </w:p>
    <w:p>
      <w:pPr>
        <w:spacing w:before="120" w:after="120"/>
        <w:jc w:val="left"/>
      </w:pPr>
      <w:r>
        <w:rPr>
          <w:rFonts w:ascii="Calibri" w:hAnsi="Calibri"/>
          <w:b/>
          <w:i w:val="0"/>
          <w:color w:val="1F3864"/>
          <w:sz w:val="26"/>
        </w:rPr>
        <w:t>Como acessar as obras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Portal CAPES (gratuito com vínculo USP/ESALQ): periodicos.capes.gov.br — login com CPF USP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Google Scholar: busque título completo + nome do autor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Sci-Hub: para artigos pagos — cole o DOI ou título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LibGen: para livros — busque autor + título</w:t>
      </w:r>
    </w:p>
    <w:p/>
    <w:p>
      <w:pPr>
        <w:pStyle w:val="Heading2"/>
      </w:pPr>
      <w:r>
        <w:rPr>
          <w:rFonts w:ascii="Calibri" w:hAnsi="Calibri"/>
          <w:color w:val="1F3864"/>
        </w:rPr>
        <w:t>1.1  Prioridade 1 — Você será perguntado sobre estas obras</w:t>
      </w:r>
    </w:p>
    <w:p>
      <w:pPr>
        <w:spacing w:before="160" w:after="120"/>
        <w:jc w:val="left"/>
      </w:pPr>
      <w:r>
        <w:rPr>
          <w:rFonts w:ascii="Calibri" w:hAnsi="Calibri"/>
          <w:b/>
          <w:i w:val="0"/>
          <w:sz w:val="22"/>
        </w:rPr>
        <w:t>RAUDENBUSH, S. W.; BRYK, A. S. (2002). Hierarchical Linear Models. 2. ed. Thousand Oaks: SAGE.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Por que é crítica: você cita o limiar de ICC=5% e usa a nomenclatura M0–M4 diretamente deste livro.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O que ler: Capítulo 2 (conceito de ICC, decomposição da variância entre e dentro dos grupos) e Capítulo 4 (modelos de intercepto e inclinação aleatória). Aproximadamente 40 páginas.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Número específico a verificar: a regra prática de ICC &gt; 0,05 como justificativa para HLM está no Capítulo 2, seção 'Intraclass Correlation'.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Pergunta provável da banca: 'Por que 5% é o limiar para o ICC?' — Resposta: convenção de Raudenbush &amp; Bryk (2002) amplamente adotada na literatura educacional e econômica; no seu caso o ICC é 9,83%, bem acima do limiar.</w:t>
      </w:r>
    </w:p>
    <w:p/>
    <w:p>
      <w:pPr>
        <w:spacing w:before="160" w:after="120"/>
        <w:jc w:val="left"/>
      </w:pPr>
      <w:r>
        <w:rPr>
          <w:rFonts w:ascii="Calibri" w:hAnsi="Calibri"/>
          <w:b/>
          <w:i w:val="0"/>
          <w:sz w:val="22"/>
        </w:rPr>
        <w:t>HSIEH, C-T.; HURST, E.; JONES, C. I.; KLENOW, P. J. (2019). The Allocation of Talent and U.S. Economic Growth. Econometrica, v. 87, n. 5, p. 1439-1474.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Por que é crítica: você usa o argumento de que eliminar barreiras ocupacionais = ganho de produtividade (+127,3% renda negra, proxy +74,3 p.p. de PIB).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O que ler: Abstract (2 parágrafos) + Introduction (pp. 1–6) + Tabela 1 (resultados principais) + Conclusion (pp. 38–40). O artigo completo tem 40 páginas mas as seções indicadas são suficientes para a defesa.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Achado central a memorizar: barreiras à entrada de mulheres e negros em ocupações de alta qualificação explicam 40% do crescimento da PTF dos EUA entre 1960 e 2010.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Pergunta provável: 'Qual a diferença entre o resultado deles e o seu?' — Resposta: eles estimam PTF com modelo de equilíbrio geral; seu proxy é mais conservador (diferença de renda × participação na força de trabalho), o que justifica usá-lo como lower bound.</w:t>
      </w:r>
    </w:p>
    <w:p/>
    <w:p>
      <w:pPr>
        <w:spacing w:before="160" w:after="120"/>
        <w:jc w:val="left"/>
      </w:pPr>
      <w:r>
        <w:rPr>
          <w:rFonts w:ascii="Calibri" w:hAnsi="Calibri"/>
          <w:b/>
          <w:i w:val="0"/>
          <w:sz w:val="22"/>
        </w:rPr>
        <w:t>OAXACA, R. (1973). Male-Female Wage Differentials in Urban Labor Markets. International Economic Review, v. 14, n. 3, p. 693-709.</w:t>
      </w:r>
    </w:p>
    <w:p>
      <w:pPr>
        <w:spacing w:before="0" w:after="120"/>
        <w:jc w:val="left"/>
      </w:pPr>
      <w:r>
        <w:rPr>
          <w:rFonts w:ascii="Calibri" w:hAnsi="Calibri"/>
          <w:b/>
          <w:i w:val="0"/>
          <w:sz w:val="22"/>
        </w:rPr>
        <w:t>BLINDER, A. S. (1973). Wage Discrimination: Reduced Form and Structural Estimates. Journal of Human Resources, v. 8, n. 4, p. 436-455.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Por que são críticos: você usa a decomposição deles e escolheu a formulação two-fold (dotações + retornos) em vez da three-fold.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O que ler: em cada artigo, leia apenas a seção onde a decomposição é formalizada (~4–6 páginas). Cada artigo tem ~15 páginas no total.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Diferença entre os dois: Oaxaca usa o grupo masculino como referência; Blinder usa uma média ponderada. Sua implementação usou brancos como grupo de referência.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Pergunta provável: 'Por que two-fold e não three-fold?' — Resposta: na decomposição three-fold, o terceiro componente (interação) não tem interpretação econômica clara em contextos de discriminação racial; a literatura de economics of discrimination prefere two-fold (Fortin, Lemieux &amp; Firpo, 2011).</w:t>
      </w:r>
    </w:p>
    <w:p/>
    <w:p>
      <w:pPr>
        <w:pStyle w:val="Heading2"/>
      </w:pPr>
      <w:r>
        <w:rPr>
          <w:rFonts w:ascii="Calibri" w:hAnsi="Calibri"/>
          <w:color w:val="1F3864"/>
        </w:rPr>
        <w:t>1.2  Prioridade 2 — Risco moderado</w:t>
      </w:r>
    </w:p>
    <w:p>
      <w:pPr>
        <w:spacing w:before="160" w:after="120"/>
        <w:jc w:val="left"/>
      </w:pPr>
      <w:r>
        <w:rPr>
          <w:rFonts w:ascii="Calibri" w:hAnsi="Calibri"/>
          <w:b/>
          <w:i w:val="0"/>
          <w:sz w:val="22"/>
        </w:rPr>
        <w:t>BURT, R. S. (2004). Structural Holes and Good Ideas. American Journal of Sociology, v. 110, n. 2, p. 349-399.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Por que é relevante: fundamenta a análise de betweenness centrality na SNA e o argumento de que negros têm betweenness=0 mesmo com pós-graduação.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O que ler: Introduction (pp. 349–355) + seção 'Network Constraint and Brokerage' (pp. 355–370). São ~20 páginas.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Conceito-chave: structural hole = posição de broker entre grupos que não se conectam diretamente. Alta betweenness = acesso antecipado a informação e oportunidades.</w:t>
      </w:r>
    </w:p>
    <w:p/>
    <w:p>
      <w:pPr>
        <w:spacing w:before="160" w:after="120"/>
        <w:jc w:val="left"/>
      </w:pPr>
      <w:r>
        <w:rPr>
          <w:rFonts w:ascii="Calibri" w:hAnsi="Calibri"/>
          <w:b/>
          <w:i w:val="0"/>
          <w:sz w:val="22"/>
        </w:rPr>
        <w:t>WILSON, W. J. (1987). The Truly Disadvantaged: The Inner City, the Underclass, and Public Policy. Chicago: University of Chicago Press.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Por que é relevante: justifica o uso da UPA como proxy de bairro e o argumento de que o local de moradia explica parte do gap salarial.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O que ler: Capítulo 1 (tese central do efeito de vizinhança) e Capítulo 7 (implicações de política). São ~40 páginas.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Tese central: concentração de pobreza em bairros segregados cria isolamento de redes profissionais — reforça o argumento da UPA como mediadora.</w:t>
      </w:r>
    </w:p>
    <w:p/>
    <w:p>
      <w:pPr>
        <w:pStyle w:val="Heading2"/>
      </w:pPr>
      <w:r>
        <w:rPr>
          <w:rFonts w:ascii="Calibri" w:hAnsi="Calibri"/>
          <w:color w:val="1F3864"/>
        </w:rPr>
        <w:t>1.3  Prioridade 3 — Leia se sobrar tempo</w:t>
      </w:r>
    </w:p>
    <w:p>
      <w:pPr>
        <w:spacing w:before="120" w:after="120"/>
        <w:jc w:val="left"/>
      </w:pPr>
      <w:r>
        <w:rPr>
          <w:rFonts w:ascii="Calibri" w:hAnsi="Calibri"/>
          <w:b/>
          <w:i w:val="0"/>
          <w:sz w:val="22"/>
        </w:rPr>
        <w:t>MOINEDDIN, R. et al. (2007). A simulation study of sample size for multilevel logistic regression models. BMC Medical Research Methodology, v. 7, n. 34.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Justifica o uso de logit multinível como aproximação válida mesmo sem GLMM completo. Leia apenas Abstract + Discussion (~3 páginas).</w:t>
      </w:r>
    </w:p>
    <w:p/>
    <w:p>
      <w:pPr>
        <w:spacing w:before="120" w:after="120"/>
        <w:jc w:val="left"/>
      </w:pPr>
      <w:r>
        <w:rPr>
          <w:rFonts w:ascii="Calibri" w:hAnsi="Calibri"/>
          <w:b/>
          <w:i w:val="0"/>
          <w:sz w:val="22"/>
        </w:rPr>
        <w:t>CHEN, T.; GUESTRIN, C. (2016). XGBoost: A Scalable Tree Boosting System. Proceedings of KDD 2016.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Base técnica do ML/SHAP. Leia Abstract + seção de 'Gain Importance' (~5 páginas).</w:t>
      </w:r>
    </w:p>
    <w:p/>
    <w:p>
      <w:pPr>
        <w:spacing w:before="120" w:after="120"/>
        <w:jc w:val="left"/>
      </w:pPr>
      <w:r>
        <w:rPr>
          <w:rFonts w:ascii="Calibri" w:hAnsi="Calibri"/>
          <w:b/>
          <w:i w:val="0"/>
          <w:sz w:val="22"/>
        </w:rPr>
        <w:t>LUNDBERG, S.; LEE, S-I. (2017). A Unified Approach to Interpreting Model Predictions. NeurIPS 2017.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Fundamenta os SHAP values. Leia Introduction + Figure 1 (~4 páginas).</w:t>
      </w:r>
    </w:p>
    <w:p/>
    <w:p>
      <w:pPr>
        <w:spacing w:before="120" w:after="120"/>
        <w:jc w:val="left"/>
      </w:pPr>
      <w:r>
        <w:rPr>
          <w:rFonts w:ascii="Calibri" w:hAnsi="Calibri"/>
          <w:b/>
          <w:i w:val="0"/>
          <w:sz w:val="22"/>
        </w:rPr>
        <w:t>FORTIN, N.; LEMIEUX, T.; FIRPO, S. (2011). Decomposition Methods in Economics. Handbook of Labor Economics, v. 4A.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Survey sobre decomposições salariais. Leia seção 3 (Oaxaca-Blinder, ~15 páginas). Justifica a escolha two-fold.</w:t>
      </w:r>
    </w:p>
    <w:p/>
    <w:p>
      <w:pPr>
        <w:pStyle w:val="Heading2"/>
      </w:pPr>
      <w:r>
        <w:rPr>
          <w:rFonts w:ascii="Calibri" w:hAnsi="Calibri"/>
          <w:color w:val="1F3864"/>
        </w:rPr>
        <w:t>1.4  Cronograma sugerido (1 semana antes da defesa)</w:t>
      </w:r>
    </w:p>
    <w:p>
      <w:pPr>
        <w:spacing w:after="60"/>
        <w:ind w:left="283"/>
      </w:pPr>
      <w:r>
        <w:rPr>
          <w:rFonts w:ascii="Calibri" w:hAnsi="Calibri"/>
          <w:b/>
          <w:i w:val="0"/>
          <w:color w:val="1F3864"/>
          <w:sz w:val="22"/>
        </w:rPr>
        <w:t xml:space="preserve">Dia 1: </w:t>
      </w:r>
      <w:r>
        <w:rPr>
          <w:rFonts w:ascii="Calibri" w:hAnsi="Calibri"/>
          <w:b w:val="0"/>
          <w:i w:val="0"/>
          <w:sz w:val="22"/>
        </w:rPr>
        <w:t>Raudenbush &amp; Bryk — Capítulos 2 e 4 (~40 páginas)</w:t>
      </w:r>
    </w:p>
    <w:p>
      <w:pPr>
        <w:spacing w:after="60"/>
        <w:ind w:left="283"/>
      </w:pPr>
      <w:r>
        <w:rPr>
          <w:rFonts w:ascii="Calibri" w:hAnsi="Calibri"/>
          <w:b/>
          <w:i w:val="0"/>
          <w:color w:val="1F3864"/>
          <w:sz w:val="22"/>
        </w:rPr>
        <w:t xml:space="preserve">Dia 2: </w:t>
      </w:r>
      <w:r>
        <w:rPr>
          <w:rFonts w:ascii="Calibri" w:hAnsi="Calibri"/>
          <w:b w:val="0"/>
          <w:i w:val="0"/>
          <w:sz w:val="22"/>
        </w:rPr>
        <w:t>Hsieh et al. (2019) — artigo completo (~40 páginas)</w:t>
      </w:r>
    </w:p>
    <w:p>
      <w:pPr>
        <w:spacing w:after="60"/>
        <w:ind w:left="283"/>
      </w:pPr>
      <w:r>
        <w:rPr>
          <w:rFonts w:ascii="Calibri" w:hAnsi="Calibri"/>
          <w:b/>
          <w:i w:val="0"/>
          <w:color w:val="1F3864"/>
          <w:sz w:val="22"/>
        </w:rPr>
        <w:t xml:space="preserve">Dia 3: </w:t>
      </w:r>
      <w:r>
        <w:rPr>
          <w:rFonts w:ascii="Calibri" w:hAnsi="Calibri"/>
          <w:b w:val="0"/>
          <w:i w:val="0"/>
          <w:sz w:val="22"/>
        </w:rPr>
        <w:t>Oaxaca (1973) + Blinder (1973) — seções de decomposição (~30 páginas no total)</w:t>
      </w:r>
    </w:p>
    <w:p>
      <w:pPr>
        <w:spacing w:after="60"/>
        <w:ind w:left="283"/>
      </w:pPr>
      <w:r>
        <w:rPr>
          <w:rFonts w:ascii="Calibri" w:hAnsi="Calibri"/>
          <w:b/>
          <w:i w:val="0"/>
          <w:color w:val="1F3864"/>
          <w:sz w:val="22"/>
        </w:rPr>
        <w:t xml:space="preserve">Dia 4: </w:t>
      </w:r>
      <w:r>
        <w:rPr>
          <w:rFonts w:ascii="Calibri" w:hAnsi="Calibri"/>
          <w:b w:val="0"/>
          <w:i w:val="0"/>
          <w:sz w:val="22"/>
        </w:rPr>
        <w:t>Burt (2004) + Wilson (1987) Cap. 1 (~60 páginas no total)</w:t>
      </w:r>
    </w:p>
    <w:p>
      <w:pPr>
        <w:spacing w:after="60"/>
        <w:ind w:left="283"/>
      </w:pPr>
      <w:r>
        <w:rPr>
          <w:rFonts w:ascii="Calibri" w:hAnsi="Calibri"/>
          <w:b/>
          <w:i w:val="0"/>
          <w:color w:val="1F3864"/>
          <w:sz w:val="22"/>
        </w:rPr>
        <w:t xml:space="preserve">Dia 5: </w:t>
      </w:r>
      <w:r>
        <w:rPr>
          <w:rFonts w:ascii="Calibri" w:hAnsi="Calibri"/>
          <w:b w:val="0"/>
          <w:i w:val="0"/>
          <w:sz w:val="22"/>
        </w:rPr>
        <w:t>Reler o roteiro de defesa e simular as perguntas da banca com os novos insumos</w:t>
      </w:r>
    </w:p>
    <w:p>
      <w:pPr>
        <w:spacing w:after="60"/>
        <w:ind w:left="283"/>
      </w:pPr>
      <w:r>
        <w:rPr>
          <w:rFonts w:ascii="Calibri" w:hAnsi="Calibri"/>
          <w:b/>
          <w:i w:val="0"/>
          <w:color w:val="1F3864"/>
          <w:sz w:val="22"/>
        </w:rPr>
        <w:t xml:space="preserve">Dia 6: </w:t>
      </w:r>
      <w:r>
        <w:rPr>
          <w:rFonts w:ascii="Calibri" w:hAnsi="Calibri"/>
          <w:b w:val="0"/>
          <w:i w:val="0"/>
          <w:sz w:val="22"/>
        </w:rPr>
        <w:t>Revisão das equações dos modelos (HLM, Oaxaca, QR) e dos resultados numéricos</w:t>
      </w:r>
    </w:p>
    <w:p>
      <w:pPr>
        <w:spacing w:after="60"/>
        <w:ind w:left="283"/>
      </w:pPr>
      <w:r>
        <w:rPr>
          <w:rFonts w:ascii="Calibri" w:hAnsi="Calibri"/>
          <w:b/>
          <w:i w:val="0"/>
          <w:color w:val="1F3864"/>
          <w:sz w:val="22"/>
        </w:rPr>
        <w:t xml:space="preserve">Dia 7: </w:t>
      </w:r>
      <w:r>
        <w:rPr>
          <w:rFonts w:ascii="Calibri" w:hAnsi="Calibri"/>
          <w:b w:val="0"/>
          <w:i w:val="0"/>
          <w:sz w:val="22"/>
        </w:rPr>
        <w:t>Descanso + leitura leve do Fortin et al. se sentir necessidade</w:t>
      </w:r>
    </w:p>
    <w:p>
      <w:r>
        <w:br w:type="page"/>
      </w:r>
    </w:p>
    <w:p>
      <w:pPr>
        <w:pStyle w:val="Heading1"/>
      </w:pPr>
      <w:r>
        <w:rPr>
          <w:rFonts w:ascii="Calibri" w:hAnsi="Calibri"/>
          <w:color w:val="1F3864"/>
        </w:rPr>
        <w:t>PARTE 2 — COMO LER CADA GRÁFICO</w:t>
      </w:r>
    </w:p>
    <w:p>
      <w:pPr>
        <w:spacing w:before="0" w:after="200"/>
        <w:jc w:val="left"/>
      </w:pPr>
      <w:r>
        <w:rPr>
          <w:rFonts w:ascii="Calibri" w:hAnsi="Calibri"/>
          <w:b w:val="0"/>
          <w:i w:val="0"/>
          <w:sz w:val="22"/>
        </w:rPr>
        <w:t>Para cada figura, este guia explica: (a) o que está nos eixos, (b) o que o padrão visual significa, (c) o achado principal e (d) o que dizer se a banca perguntar.</w:t>
      </w:r>
    </w:p>
    <w:p>
      <w:pPr>
        <w:pStyle w:val="Heading2"/>
      </w:pPr>
      <w:r>
        <w:rPr>
          <w:rFonts w:ascii="Calibri" w:hAnsi="Calibri"/>
          <w:color w:val="1F3864"/>
        </w:rPr>
        <w:t>Figura 1 — Distribuição de Log-Renda por Raça (Densidade KDE)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27852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_densidade_log_salari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7852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606060"/>
          <w:sz w:val="18"/>
        </w:rPr>
        <w:t>Estimativa por kernel (KDE) da log-renda por raça. Ponderado por V1028.</w:t>
      </w:r>
    </w:p>
    <w:p>
      <w:pPr>
        <w:spacing w:before="80" w:after="120"/>
        <w:jc w:val="left"/>
      </w:pPr>
      <w:r>
        <w:rPr>
          <w:rFonts w:ascii="Calibri" w:hAnsi="Calibri"/>
          <w:b/>
          <w:i w:val="0"/>
          <w:color w:val="1F3864"/>
          <w:sz w:val="22"/>
        </w:rPr>
        <w:t>Como ler: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Eixo X: log da renda nominal. Escala logarítmica aplaina a assimetria da distribuição de renda e permite leitura de diferenças percentuais como distâncias.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Eixo Y: densidade estimada — altura da curva indica concentração de observações naquele nível de renda.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Linha azul = brancos; linha vermelha = negros. Linhas verticais tracejadas = medianas.</w:t>
      </w:r>
    </w:p>
    <w:p>
      <w:pPr>
        <w:spacing w:before="80" w:after="120"/>
        <w:jc w:val="left"/>
      </w:pPr>
      <w:r>
        <w:rPr>
          <w:rFonts w:ascii="Calibri" w:hAnsi="Calibri"/>
          <w:b/>
          <w:i w:val="0"/>
          <w:color w:val="1F3864"/>
          <w:sz w:val="22"/>
        </w:rPr>
        <w:t>O que o padrão mostra: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Curva de negros deslocada para a ESQUERDA (menores log-rendas): não são apenas alguns outliers — toda a distribuição está à esquerda.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Mediana bruta: brancos R$2.000 / negros R$1.450 → gap de 27,5%. Gap médio maior (37,5%) porque negros são sobre-representados na cauda inferior.</w:t>
      </w:r>
    </w:p>
    <w:p>
      <w:pPr>
        <w:spacing w:before="80" w:after="40"/>
      </w:pPr>
      <w:r>
        <w:rPr>
          <w:rFonts w:ascii="Calibri" w:hAnsi="Calibri"/>
          <w:b/>
          <w:i w:val="0"/>
          <w:color w:val="B71C1C"/>
          <w:sz w:val="22"/>
        </w:rPr>
        <w:t>▌ O que dizer se perguntarem:</w:t>
      </w:r>
    </w:p>
    <w:p>
      <w:pPr>
        <w:spacing w:after="40"/>
        <w:ind w:left="454"/>
      </w:pPr>
      <w:r>
        <w:rPr>
          <w:rFonts w:ascii="Calibri" w:hAnsi="Calibri"/>
          <w:b w:val="0"/>
          <w:i w:val="0"/>
          <w:sz w:val="21"/>
        </w:rPr>
        <w:t>'O gráfico de densidade mostra que o gap não é gerado por poucos casos extremos — toda a distribuição de negros está deslocada à esquerda. O gap de 27,5% na mediana é a estimativa mais conservadora: a média (37,5%) é maior porque incorpora as rendas do topo onde o gap racial é ainda mais intenso (confirmado pela regressão quantílica).'</w:t>
      </w:r>
    </w:p>
    <w:p/>
    <w:p>
      <w:pPr>
        <w:pStyle w:val="Heading2"/>
      </w:pPr>
      <w:r>
        <w:rPr>
          <w:rFonts w:ascii="Calibri" w:hAnsi="Calibri"/>
          <w:color w:val="1F3864"/>
        </w:rPr>
        <w:t>Figura 2 — Heatmap do Gap Salarial por Gênero e Educação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210050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_heatmap_gap_genero_educ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1005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606060"/>
          <w:sz w:val="18"/>
        </w:rPr>
        <w:t>Gap racial médio (%) por categoria de gênero × nível de escolaridade.</w:t>
      </w:r>
    </w:p>
    <w:p>
      <w:pPr>
        <w:spacing w:before="80" w:after="120"/>
        <w:jc w:val="left"/>
      </w:pPr>
      <w:r>
        <w:rPr>
          <w:rFonts w:ascii="Calibri" w:hAnsi="Calibri"/>
          <w:b/>
          <w:i w:val="0"/>
          <w:color w:val="1F3864"/>
          <w:sz w:val="22"/>
        </w:rPr>
        <w:t>Como ler: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Eixo X: nível de escolaridade (categorias crescentes). Eixo Y: gênero (masculino / feminino).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Cor das células: intensidade do gap racial médio. Cores mais quentes = gap maior.</w:t>
      </w:r>
    </w:p>
    <w:p>
      <w:pPr>
        <w:spacing w:before="80" w:after="120"/>
        <w:jc w:val="left"/>
      </w:pPr>
      <w:r>
        <w:rPr>
          <w:rFonts w:ascii="Calibri" w:hAnsi="Calibri"/>
          <w:b/>
          <w:i w:val="0"/>
          <w:color w:val="1F3864"/>
          <w:sz w:val="22"/>
        </w:rPr>
        <w:t>O que o padrão mostra: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Mulheres negras: células com maior intensidade — confirmando interseccionalidade (Crenshaw, 1989). A desvantagem combinada raça × gênero supera a soma das partes.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Escolaridade não elimina o gap: mesmo na célula 'mulher negra + superior completo', o gap persiste — diplomas não são suficientes para anular a discriminação interseccional.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Confirmação estatística: interação negro×sexo_fem no GLMM (β=+0.0416, p&lt;0.001) confirma o padrão visual.</w:t>
      </w:r>
    </w:p>
    <w:p>
      <w:pPr>
        <w:spacing w:before="80" w:after="40"/>
      </w:pPr>
      <w:r>
        <w:rPr>
          <w:rFonts w:ascii="Calibri" w:hAnsi="Calibri"/>
          <w:b/>
          <w:i w:val="0"/>
          <w:color w:val="B71C1C"/>
          <w:sz w:val="22"/>
        </w:rPr>
        <w:t>▌ O que dizer se perguntarem sobre interseccionalidade:</w:t>
      </w:r>
    </w:p>
    <w:p>
      <w:pPr>
        <w:spacing w:after="40"/>
        <w:ind w:left="454"/>
      </w:pPr>
      <w:r>
        <w:rPr>
          <w:rFonts w:ascii="Calibri" w:hAnsi="Calibri"/>
          <w:b w:val="0"/>
          <w:i w:val="0"/>
          <w:sz w:val="21"/>
        </w:rPr>
        <w:t>'Crenshaw (1989) argumenta que identidades sobrepostas criam formas específicas de discriminação não capturadas por análises unidimensionais. O heatmap mostra isso empiricamente: o gap de mulheres negras é maior do que a soma do gap de gênero + gap racial. O coeficiente negro×sexo_fem=+0.0416 no GLMM confirma estatisticamente que a interação existe e é positiva — ou seja, o efeito combinado é ainda pior do que cada fator isoladamente.'</w:t>
      </w:r>
    </w:p>
    <w:p/>
    <w:p>
      <w:pPr>
        <w:pStyle w:val="Heading2"/>
      </w:pPr>
      <w:r>
        <w:rPr>
          <w:rFonts w:ascii="Calibri" w:hAnsi="Calibri"/>
          <w:color w:val="1F3864"/>
        </w:rPr>
        <w:t>Figura 4 — Gap Salarial por Faixa Etária (Ciclo de Vida)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2774831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4_gap_faixa_etaria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7748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606060"/>
          <w:sz w:val="18"/>
        </w:rPr>
        <w:t>Gap racial médio (%) por faixa etária. Ponderado por V1028.</w:t>
      </w:r>
    </w:p>
    <w:p>
      <w:pPr>
        <w:spacing w:before="80" w:after="120"/>
        <w:jc w:val="left"/>
      </w:pPr>
      <w:r>
        <w:rPr>
          <w:rFonts w:ascii="Calibri" w:hAnsi="Calibri"/>
          <w:b/>
          <w:i w:val="0"/>
          <w:color w:val="1F3864"/>
          <w:sz w:val="22"/>
        </w:rPr>
        <w:t>Como ler: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Eixo X: faixas etárias (14–24, 25–34, 35–44, 45–54, 55–64, 65+).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Eixo Y: gap salarial racial médio (%) entre brancos e negros naquela faixa etária.</w:t>
      </w:r>
    </w:p>
    <w:p>
      <w:pPr>
        <w:spacing w:before="80" w:after="120"/>
        <w:jc w:val="left"/>
      </w:pPr>
      <w:r>
        <w:rPr>
          <w:rFonts w:ascii="Calibri" w:hAnsi="Calibri"/>
          <w:b/>
          <w:i w:val="0"/>
          <w:color w:val="1F3864"/>
          <w:sz w:val="22"/>
        </w:rPr>
        <w:t>O que o padrão mostra: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14–24 anos: gap de 9,1% — pequeno, quando todos estão na base do mercado.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25–34 anos: gap sobe para 25,0% — primeiro ciclo de diferenciação de carreira.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35–44 anos: gap PICO de 37,5% — fase de maior mobilidade vertical; o teto de vidro se fecha exatamente quando as promoções mais importam.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65+: gap de 40,0% — acumulação máxima ao longo de toda a carreira.</w:t>
      </w:r>
    </w:p>
    <w:p>
      <w:pPr>
        <w:spacing w:before="80" w:after="40"/>
      </w:pPr>
      <w:r>
        <w:rPr>
          <w:rFonts w:ascii="Calibri" w:hAnsi="Calibri"/>
          <w:b/>
          <w:i w:val="0"/>
          <w:color w:val="B71C1C"/>
          <w:sz w:val="22"/>
        </w:rPr>
        <w:t>▌ O que dizer se perguntarem:</w:t>
      </w:r>
    </w:p>
    <w:p>
      <w:pPr>
        <w:spacing w:after="40"/>
        <w:ind w:left="454"/>
      </w:pPr>
      <w:r>
        <w:rPr>
          <w:rFonts w:ascii="Calibri" w:hAnsi="Calibri"/>
          <w:b w:val="0"/>
          <w:i w:val="0"/>
          <w:sz w:val="21"/>
        </w:rPr>
        <w:t>'O padrão de ciclo de vida é a confirmação empírica da natureza acumulativa da discriminação. Isso é consistente com o coeficiente negro×experiência (β=−0.0019, p&lt;0.001) no GLMM: cada ano adicional de experiência AMPLIA o gap racial em vez de reduzi-lo. Em um mercado justo, mais experiência deveria nivelar as diferenças — o sinal negativo confirma que o mecanismo de discriminação se intensifica com a progressão de carreira, não o contrário.'</w:t>
      </w:r>
    </w:p>
    <w:p/>
    <w:p>
      <w:pPr>
        <w:pStyle w:val="Heading2"/>
      </w:pPr>
      <w:r>
        <w:rPr>
          <w:rFonts w:ascii="Calibri" w:hAnsi="Calibri"/>
          <w:color w:val="1F3864"/>
        </w:rPr>
        <w:t>TABELAS ANALÍTICAS — O QUE SABER SOBRE CADA TABELA</w:t>
      </w:r>
    </w:p>
    <w:p>
      <w:pPr>
        <w:spacing w:before="0" w:after="160"/>
        <w:jc w:val="left"/>
      </w:pPr>
      <w:r>
        <w:rPr>
          <w:rFonts w:ascii="Calibri" w:hAnsi="Calibri"/>
          <w:b w:val="0"/>
          <w:i w:val="0"/>
          <w:sz w:val="22"/>
        </w:rPr>
        <w:t>As quatro tabelas abaixo foram geradas a partir dos microdados PNAD Contínua 2016–2025 com ponderação amostral (peso V1028). Elas estabelecem o diagnóstico descritivo e os resultados Mincer antes da modelagem HLM/GLMM.</w:t>
      </w:r>
    </w:p>
    <w:p>
      <w:pPr>
        <w:spacing w:before="80" w:after="40"/>
      </w:pPr>
      <w:r>
        <w:rPr>
          <w:rFonts w:ascii="Calibri" w:hAnsi="Calibri"/>
          <w:b/>
          <w:i w:val="0"/>
          <w:color w:val="1F3864"/>
          <w:sz w:val="22"/>
        </w:rPr>
        <w:t>▌ Tabela 1 — Estatísticas Descritivas por Raça (tab1_descritiva_racial.csv)</w:t>
      </w:r>
    </w:p>
    <w:p>
      <w:pPr>
        <w:spacing w:after="40"/>
        <w:ind w:left="454"/>
      </w:pPr>
      <w:r>
        <w:rPr>
          <w:rFonts w:ascii="Calibri" w:hAnsi="Calibri"/>
          <w:b w:val="0"/>
          <w:i w:val="0"/>
          <w:sz w:val="21"/>
        </w:rPr>
        <w:t>Conteúdo: N, renda média (R$), renda mediana (R$), escolaridade média (anos), % emprego formal, % superior completo — para brancos e negros separadamente.</w:t>
      </w:r>
    </w:p>
    <w:p>
      <w:pPr>
        <w:spacing w:after="40"/>
        <w:ind w:left="454"/>
      </w:pPr>
      <w:r>
        <w:rPr>
          <w:rFonts w:ascii="Calibri" w:hAnsi="Calibri"/>
          <w:b w:val="0"/>
          <w:i w:val="0"/>
          <w:sz w:val="21"/>
        </w:rPr>
        <w:t>Números a memorizar: renda mediana brancos = R$2.000 / negros = R$1.450 (gap 27,5%); renda média: gap de 37,5%; formal: brancos 53% vs negros 48%.</w:t>
      </w:r>
    </w:p>
    <w:p>
      <w:pPr>
        <w:spacing w:after="40"/>
        <w:ind w:left="454"/>
      </w:pPr>
      <w:r>
        <w:rPr>
          <w:rFonts w:ascii="Calibri" w:hAnsi="Calibri"/>
          <w:b w:val="0"/>
          <w:i w:val="0"/>
          <w:sz w:val="21"/>
        </w:rPr>
        <w:t>Se perguntarem 'por que mediana?': A distribuição de renda é muito assimétrica (cauda direita longa). A mediana é robusta a outliers e representa melhor o trabalhador típico. O gap de 37,5% na média é maior porque inclui rendas do topo onde o gap é ainda mais intenso.</w:t>
      </w:r>
    </w:p>
    <w:p/>
    <w:p>
      <w:pPr>
        <w:spacing w:before="80" w:after="40"/>
      </w:pPr>
      <w:r>
        <w:rPr>
          <w:rFonts w:ascii="Calibri" w:hAnsi="Calibri"/>
          <w:b/>
          <w:i w:val="0"/>
          <w:color w:val="1F3864"/>
          <w:sz w:val="22"/>
        </w:rPr>
        <w:t>▌ Tabela 2 — Gap Bruto por Subgrupo (tab2_gap_bruto_subgrupos.csv)</w:t>
      </w:r>
    </w:p>
    <w:p>
      <w:pPr>
        <w:spacing w:after="40"/>
        <w:ind w:left="454"/>
      </w:pPr>
      <w:r>
        <w:rPr>
          <w:rFonts w:ascii="Calibri" w:hAnsi="Calibri"/>
          <w:b w:val="0"/>
          <w:i w:val="0"/>
          <w:sz w:val="21"/>
        </w:rPr>
        <w:t>Conteúdo: gap racial médio (%) segmentado por gênero × faixa educacional.</w:t>
      </w:r>
    </w:p>
    <w:p>
      <w:pPr>
        <w:spacing w:after="40"/>
        <w:ind w:left="454"/>
      </w:pPr>
      <w:r>
        <w:rPr>
          <w:rFonts w:ascii="Calibri" w:hAnsi="Calibri"/>
          <w:b w:val="0"/>
          <w:i w:val="0"/>
          <w:sz w:val="21"/>
        </w:rPr>
        <w:t>Subgrupo com maior gap: mulher negra — confirma empiricamente a interseccionalidade.</w:t>
      </w:r>
    </w:p>
    <w:p>
      <w:pPr>
        <w:spacing w:after="40"/>
        <w:ind w:left="454"/>
      </w:pPr>
      <w:r>
        <w:rPr>
          <w:rFonts w:ascii="Calibri" w:hAnsi="Calibri"/>
          <w:b w:val="0"/>
          <w:i w:val="0"/>
          <w:sz w:val="21"/>
        </w:rPr>
        <w:t>Subgrupo com menor gap: homens com superior completo (escolaridade nivela parte da desvantagem de capital humano, mas gap persiste).</w:t>
      </w:r>
    </w:p>
    <w:p>
      <w:pPr>
        <w:spacing w:after="40"/>
        <w:ind w:left="454"/>
      </w:pPr>
      <w:r>
        <w:rPr>
          <w:rFonts w:ascii="Calibri" w:hAnsi="Calibri"/>
          <w:b w:val="0"/>
          <w:i w:val="0"/>
          <w:sz w:val="21"/>
        </w:rPr>
        <w:t>Se perguntarem: 'Por que mostrar subgrupos?' — Confirma Crenshaw (1989): políticas de renda que tratam 'negro' como categoria homogênea subestimam severamente o impacto sobre mulheres negras, que são o subgrupo mais afetado pela discriminação composta.</w:t>
      </w:r>
    </w:p>
    <w:p/>
    <w:p>
      <w:pPr>
        <w:spacing w:before="80" w:after="40"/>
      </w:pPr>
      <w:r>
        <w:rPr>
          <w:rFonts w:ascii="Calibri" w:hAnsi="Calibri"/>
          <w:b/>
          <w:i w:val="0"/>
          <w:color w:val="1F3864"/>
          <w:sz w:val="22"/>
        </w:rPr>
        <w:t>▌ Tabela 3 — Equação de Mincer Progressiva (tab3_mincer_progressivo.csv)</w:t>
      </w:r>
    </w:p>
    <w:p>
      <w:pPr>
        <w:spacing w:after="40"/>
        <w:ind w:left="454"/>
      </w:pPr>
      <w:r>
        <w:rPr>
          <w:rFonts w:ascii="Calibri" w:hAnsi="Calibri"/>
          <w:b w:val="0"/>
          <w:i w:val="0"/>
          <w:sz w:val="21"/>
        </w:rPr>
        <w:t>Conteúdo: 5 especificações OLS progressivas (M1–M5) com coeficiente de 'negro' em cada modelo.</w:t>
      </w:r>
    </w:p>
    <w:p>
      <w:pPr>
        <w:spacing w:after="40"/>
        <w:ind w:left="454"/>
      </w:pPr>
      <w:r>
        <w:rPr>
          <w:rFonts w:ascii="Calibri" w:hAnsi="Calibri"/>
          <w:b w:val="0"/>
          <w:i w:val="0"/>
          <w:sz w:val="21"/>
        </w:rPr>
        <w:t>M1 (apenas negro): gap = −23,1% | M2 (+edu+experiência): −22,3% | M3 (+UF): −7,9% | M4 (+setor+horas): −7,0% | M5 (completo): −6,2%</w:t>
      </w:r>
    </w:p>
    <w:p>
      <w:pPr>
        <w:spacing w:after="40"/>
        <w:ind w:left="454"/>
      </w:pPr>
      <w:r>
        <w:rPr>
          <w:rFonts w:ascii="Calibri" w:hAnsi="Calibri"/>
          <w:b w:val="0"/>
          <w:i w:val="0"/>
          <w:sz w:val="21"/>
        </w:rPr>
        <w:t>Padrão: o salto entre M2 e M3 (−22,3% → −7,9%) mostra que os estados explicam grande parte do gap bruto — confirmando a dimensão territorial da desigualdade racial.</w:t>
      </w:r>
    </w:p>
    <w:p>
      <w:pPr>
        <w:spacing w:after="40"/>
        <w:ind w:left="454"/>
      </w:pPr>
      <w:r>
        <w:rPr>
          <w:rFonts w:ascii="Calibri" w:hAnsi="Calibri"/>
          <w:b w:val="0"/>
          <w:i w:val="0"/>
          <w:sz w:val="21"/>
        </w:rPr>
        <w:t>Se perguntarem sobre Mincer (1974): 'A especificação padrão para estimar retornos à educação inclui log(renda) ~ educação + experiência + experiência². A versão progressiva aqui mostra explicitamente quanto cada bloco de variáveis explica do gap — é a formalização OLS do que o HLM faz de forma hierárquica.'</w:t>
      </w:r>
    </w:p>
    <w:p/>
    <w:p>
      <w:pPr>
        <w:spacing w:before="80" w:after="40"/>
      </w:pPr>
      <w:r>
        <w:rPr>
          <w:rFonts w:ascii="Calibri" w:hAnsi="Calibri"/>
          <w:b/>
          <w:i w:val="0"/>
          <w:color w:val="1F3864"/>
          <w:sz w:val="22"/>
        </w:rPr>
        <w:t>▌ Tabela 4 — Termos de Interação Racial no GLMM (tab4_interacoes.csv)</w:t>
      </w:r>
    </w:p>
    <w:p>
      <w:pPr>
        <w:spacing w:after="40"/>
        <w:ind w:left="454"/>
      </w:pPr>
      <w:r>
        <w:rPr>
          <w:rFonts w:ascii="Calibri" w:hAnsi="Calibri"/>
          <w:b w:val="0"/>
          <w:i w:val="0"/>
          <w:sz w:val="21"/>
        </w:rPr>
        <w:t>Conteúdo: coeficientes de interação estimados no GLMM: negro×sexo_fem, negro×experiência, negro×educ_alto, negro×educ_med.</w:t>
      </w:r>
    </w:p>
    <w:p>
      <w:pPr>
        <w:spacing w:after="40"/>
        <w:ind w:left="454"/>
      </w:pPr>
      <w:r>
        <w:rPr>
          <w:rFonts w:ascii="Calibri" w:hAnsi="Calibri"/>
          <w:b w:val="0"/>
          <w:i w:val="0"/>
          <w:sz w:val="21"/>
        </w:rPr>
        <w:t>negro×sexo_fem: β=+0.0416 (***) — mulheres negras têm desvantagem ADICIONAL além da soma dos efeitos de raça e gênero separados (interseccionalidade confirmada).</w:t>
      </w:r>
    </w:p>
    <w:p>
      <w:pPr>
        <w:spacing w:after="40"/>
        <w:ind w:left="454"/>
      </w:pPr>
      <w:r>
        <w:rPr>
          <w:rFonts w:ascii="Calibri" w:hAnsi="Calibri"/>
          <w:b w:val="0"/>
          <w:i w:val="0"/>
          <w:sz w:val="21"/>
        </w:rPr>
        <w:t>negro×experiência: β=−0.0019 (***) — cada ano de experiência AMPLIA o gap racial. Sinal negativo: a experiência retorna menos para negros do que para brancos.</w:t>
      </w:r>
    </w:p>
    <w:p>
      <w:pPr>
        <w:spacing w:after="40"/>
        <w:ind w:left="454"/>
      </w:pPr>
      <w:r>
        <w:rPr>
          <w:rFonts w:ascii="Calibri" w:hAnsi="Calibri"/>
          <w:b w:val="0"/>
          <w:i w:val="0"/>
          <w:sz w:val="21"/>
        </w:rPr>
        <w:t>negro×educ_alto e negro×educ_med: não significativos (ns) — mais escolaridade não elimina a desvantagem racial. Capital humano é necessário mas não suficiente.</w:t>
      </w:r>
    </w:p>
    <w:p>
      <w:pPr>
        <w:spacing w:after="40"/>
        <w:ind w:left="454"/>
      </w:pPr>
      <w:r>
        <w:rPr>
          <w:rFonts w:ascii="Calibri" w:hAnsi="Calibri"/>
          <w:b w:val="0"/>
          <w:i w:val="0"/>
          <w:sz w:val="21"/>
        </w:rPr>
        <w:t>Se perguntarem sobre β negativo em negro×experiência: 'Significa que 1 ano adicional de experiência reduz a probabilidade de ocupação qualificada de negros 0.0019 pontos a mais do que para brancos. O mecanismo provável é o teto de vidro: com o tempo, brancos são promovidos e negros estacionam — o que se acumula ao longo do ciclo de vida (Fig 4).'</w:t>
      </w:r>
    </w:p>
    <w:p/>
    <w:p>
      <w:pPr>
        <w:spacing w:before="120" w:after="120"/>
      </w:pPr>
      <w:r>
        <w:rPr>
          <w:color w:val="BBBBBB"/>
          <w:sz w:val="16"/>
        </w:rPr>
        <w:t>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rFonts w:ascii="Calibri" w:hAnsi="Calibri"/>
          <w:color w:val="1F3864"/>
        </w:rPr>
        <w:t>Figura 3 — Razão de Representação por Grupo Ocupacional (CBO)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1567059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mp_razao_grupo_cbo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15670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606060"/>
          <w:sz w:val="18"/>
        </w:rPr>
        <w:t>Razão negros/brancos por grupo CBO. Linha tracejada = paridade (1,0).</w:t>
      </w:r>
    </w:p>
    <w:p>
      <w:pPr>
        <w:spacing w:before="80" w:after="120"/>
        <w:jc w:val="left"/>
      </w:pPr>
      <w:r>
        <w:rPr>
          <w:rFonts w:ascii="Calibri" w:hAnsi="Calibri"/>
          <w:b/>
          <w:i w:val="0"/>
          <w:color w:val="1F3864"/>
          <w:sz w:val="22"/>
        </w:rPr>
        <w:t>Como ler: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Eixo Y: grupos ocupacionais CBO (do mais elementar ao mais qualificado).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Eixo X: razão entre a proporção de negros e a proporção de brancos no grupo. Valor 1,0 = paridade. Valor &lt; 1 = sub-representação de negros. Valor &gt; 1 = sobre-representação.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Linha tracejada vertical em 1,0 = ponto de equilíbrio.</w:t>
      </w:r>
    </w:p>
    <w:p>
      <w:pPr>
        <w:spacing w:before="80" w:after="120"/>
        <w:jc w:val="left"/>
      </w:pPr>
      <w:r>
        <w:rPr>
          <w:rFonts w:ascii="Calibri" w:hAnsi="Calibri"/>
          <w:b/>
          <w:i w:val="0"/>
          <w:color w:val="1F3864"/>
          <w:sz w:val="22"/>
        </w:rPr>
        <w:t>O que o padrão mostra: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Grupos de prestígio (Dirigentes, Profissionais) ficam à esquerda da linha: negros são sub-representados. Grupos elementares ficam à direita: sobre-representados.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Dirigentes: razão ≈ 0,42 — para cada 100 brancos na função, há apenas 42 negros.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Elementares: razão ≈ 2,12 — negros são mais do que o dobro do esperado pela paridade.</w:t>
      </w:r>
    </w:p>
    <w:p>
      <w:pPr>
        <w:spacing w:before="80" w:after="40"/>
      </w:pPr>
      <w:r>
        <w:rPr>
          <w:rFonts w:ascii="Calibri" w:hAnsi="Calibri"/>
          <w:b/>
          <w:i w:val="0"/>
          <w:color w:val="B71C1C"/>
          <w:sz w:val="22"/>
        </w:rPr>
        <w:t>▌ O que dizer se perguntarem:</w:t>
      </w:r>
    </w:p>
    <w:p>
      <w:pPr>
        <w:spacing w:after="40"/>
        <w:ind w:left="454"/>
      </w:pPr>
      <w:r>
        <w:rPr>
          <w:rFonts w:ascii="Calibri" w:hAnsi="Calibri"/>
          <w:b w:val="0"/>
          <w:i w:val="0"/>
          <w:sz w:val="21"/>
        </w:rPr>
        <w:t>'Este gráfico é o primeiro diagnóstico visual da segregação ocupacional. A razão de 0,42 nos Dirigentes não é explicada por diferença de escolaridade — quando controlamos por educação no GLMM (lme4), o OR permanece em 0,691. Isso confirma que parte substancial da sub-representação é discriminação de acesso, não apenas diferença de capital humano.'</w:t>
      </w:r>
    </w:p>
    <w:p/>
    <w:p>
      <w:pPr>
        <w:pStyle w:val="Heading2"/>
      </w:pPr>
      <w:r>
        <w:rPr>
          <w:rFonts w:ascii="Calibri" w:hAnsi="Calibri"/>
          <w:color w:val="1F3864"/>
        </w:rPr>
        <w:t>Figura 5 — Índice de Representação no Topo da Distribuição de Renda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1792054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mp_representacao_topo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17920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606060"/>
          <w:sz w:val="18"/>
        </w:rPr>
        <w:t>IR (Índice de Representação) por percentil de renda. IR=1 = paridade racial.</w:t>
      </w:r>
    </w:p>
    <w:p>
      <w:pPr>
        <w:spacing w:before="80" w:after="120"/>
        <w:jc w:val="left"/>
      </w:pPr>
      <w:r>
        <w:rPr>
          <w:rFonts w:ascii="Calibri" w:hAnsi="Calibri"/>
          <w:b/>
          <w:i w:val="0"/>
          <w:color w:val="1F3864"/>
          <w:sz w:val="22"/>
        </w:rPr>
        <w:t>Como ler: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Eixo X: percentis de renda (do mais baixo ao topo).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Eixo Y: IR = (% negros no percentil) / (% negros na população total). IR=1 = representação proporcional. IR&lt;1 = sub-representação no topo.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Linhas separadas por capital vs interior, ou por região — verifique a legenda do gráfico gerado.</w:t>
      </w:r>
    </w:p>
    <w:p>
      <w:pPr>
        <w:spacing w:before="80" w:after="120"/>
        <w:jc w:val="left"/>
      </w:pPr>
      <w:r>
        <w:rPr>
          <w:rFonts w:ascii="Calibri" w:hAnsi="Calibri"/>
          <w:b/>
          <w:i w:val="0"/>
          <w:color w:val="1F3864"/>
          <w:sz w:val="22"/>
        </w:rPr>
        <w:t>Achado principal: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No top 5% das capitais, IR ≈ 0,47: negros ocupam apenas 47% do que seria esperado pela sua participação na população.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O IR cai conforme sobe o percentil — essa queda é a formalização visual do glass ceiling.</w:t>
      </w:r>
    </w:p>
    <w:p>
      <w:pPr>
        <w:spacing w:before="80" w:after="40"/>
      </w:pPr>
      <w:r>
        <w:rPr>
          <w:rFonts w:ascii="Calibri" w:hAnsi="Calibri"/>
          <w:b/>
          <w:i w:val="0"/>
          <w:color w:val="B71C1C"/>
          <w:sz w:val="22"/>
        </w:rPr>
        <w:t>▌ O que dizer se perguntarem:</w:t>
      </w:r>
    </w:p>
    <w:p>
      <w:pPr>
        <w:spacing w:after="40"/>
        <w:ind w:left="454"/>
      </w:pPr>
      <w:r>
        <w:rPr>
          <w:rFonts w:ascii="Calibri" w:hAnsi="Calibri"/>
          <w:b w:val="0"/>
          <w:i w:val="0"/>
          <w:sz w:val="21"/>
        </w:rPr>
        <w:t>'O IR quantifica em pontos de percentil o que o gráfico de razão CBO mostra categoricamente. A queda do IR no topo confirma que o glass ceiling não é apenas uma metáfora — é uma barreira mensurável que se intensifica exatamente onde os prêmios salariais são maiores. Isso é consistente com os resultados da regressão quantílica.'</w:t>
      </w:r>
    </w:p>
    <w:p/>
    <w:p>
      <w:pPr>
        <w:pStyle w:val="Heading2"/>
      </w:pPr>
      <w:r>
        <w:rPr>
          <w:rFonts w:ascii="Calibri" w:hAnsi="Calibri"/>
          <w:color w:val="1F3864"/>
        </w:rPr>
        <w:t>Figura 6 — Decomposição HLM: Do Gap Bruto ao Resíduo de Discriminação</w:t>
      </w:r>
    </w:p>
    <w:p>
      <w:pPr>
        <w:spacing w:before="80" w:after="120"/>
        <w:jc w:val="left"/>
      </w:pPr>
      <w:r>
        <w:rPr>
          <w:rFonts w:ascii="Calibri" w:hAnsi="Calibri"/>
          <w:b/>
          <w:i w:val="0"/>
          <w:color w:val="1F3864"/>
          <w:sz w:val="22"/>
        </w:rPr>
        <w:t>Como ler: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Barras horizontais: cada barra representa o gap racial estimado em um modelo diferente (M1 a M4). O comprimento da barra é o tamanho do gap.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A sequência de cima para baixo mostra como o gap 'encolhe' à medida que variáveis de contexto e ocupação são adicionadas.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M1 (gap bruto) = 19,3%: sem nenhum controle.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M2 (+ UPA): renda média da UPA absorve ~9 p.p. — o lugar onde se mora explica metade do gap.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M3 (+ UF): redução marginal adicional pelas diferenças entre estados.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M4 (+ CBO + formalidade + horas): o gap cai para 6,2% — este é o resíduo que não tem explicação por características observáveis. É a discriminação de remuneração pura.</w:t>
      </w:r>
    </w:p>
    <w:p>
      <w:pPr>
        <w:spacing w:before="80" w:after="120"/>
        <w:jc w:val="left"/>
      </w:pPr>
      <w:r>
        <w:rPr>
          <w:rFonts w:ascii="Calibri" w:hAnsi="Calibri"/>
          <w:b/>
          <w:i w:val="0"/>
          <w:color w:val="1F3864"/>
          <w:sz w:val="22"/>
        </w:rPr>
        <w:t>O que o padrão mostra: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A maior redução ocorre entre M1 e M2 (adição da UPA): confirma Wilson (1987) — o local de moradia é o principal mediador do gap.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O gap residual de 6,2% em M4 não tem explicação por nenhuma variável observável: é o lower bound da discriminação de remuneração.</w:t>
      </w:r>
    </w:p>
    <w:p>
      <w:pPr>
        <w:spacing w:before="80" w:after="40"/>
      </w:pPr>
      <w:r>
        <w:rPr>
          <w:rFonts w:ascii="Calibri" w:hAnsi="Calibri"/>
          <w:b/>
          <w:i w:val="0"/>
          <w:color w:val="1F3864"/>
          <w:sz w:val="22"/>
        </w:rPr>
        <w:t>▌ O que dizer se perguntarem:</w:t>
      </w:r>
    </w:p>
    <w:p>
      <w:pPr>
        <w:spacing w:after="40"/>
        <w:ind w:left="454"/>
      </w:pPr>
      <w:r>
        <w:rPr>
          <w:rFonts w:ascii="Calibri" w:hAnsi="Calibri"/>
          <w:b w:val="0"/>
          <w:i w:val="0"/>
          <w:sz w:val="21"/>
        </w:rPr>
        <w:t>'A sequência dos modelos não é arbitrária — cada passo adiciona um nível da hierarquia social. Primeiro o contexto de moradia (UPA), depois o contexto institucional (UF), depois a posição no mercado de trabalho (CBO + formalidade). O gap de 6,2% que sobra é robusto a todos os controles observáveis disponíveis na PNAD.'</w:t>
      </w:r>
    </w:p>
    <w:p/>
    <w:p>
      <w:pPr>
        <w:pStyle w:val="Heading2"/>
      </w:pPr>
      <w:r>
        <w:rPr>
          <w:rFonts w:ascii="Calibri" w:hAnsi="Calibri"/>
          <w:color w:val="1F3864"/>
        </w:rPr>
        <w:t>Figura 7 — Decomposição de Oaxaca-Blinder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1764848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axaca_decomposicao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17648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606060"/>
          <w:sz w:val="18"/>
        </w:rPr>
        <w:t>Decomposição two-fold: gap total em Dotações (84%) e Retornos (16%).</w:t>
      </w:r>
    </w:p>
    <w:p>
      <w:pPr>
        <w:spacing w:before="80" w:after="120"/>
        <w:jc w:val="left"/>
      </w:pPr>
      <w:r>
        <w:rPr>
          <w:rFonts w:ascii="Calibri" w:hAnsi="Calibri"/>
          <w:b/>
          <w:i w:val="0"/>
          <w:color w:val="1F3864"/>
          <w:sz w:val="22"/>
        </w:rPr>
        <w:t>Como ler: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O gráfico divide o gap total (≈53,0% em log-renda) em duas partes:</w:t>
      </w:r>
    </w:p>
    <w:p>
      <w:pPr>
        <w:pStyle w:val="ListBullet"/>
        <w:spacing w:after="60"/>
        <w:ind w:left="737"/>
      </w:pPr>
      <w:r>
        <w:rPr>
          <w:rFonts w:ascii="Calibri" w:hAnsi="Calibri"/>
          <w:b w:val="0"/>
          <w:i w:val="0"/>
          <w:sz w:val="22"/>
        </w:rPr>
        <w:t>Barra/segmento DOTAÇÕES (84%): diferença explicada por negros terem, em média, menos anos de escolaridade, menos acesso a emprego formal, ocupações menos qualificadas e mais horas em subemprego.</w:t>
      </w:r>
    </w:p>
    <w:p>
      <w:pPr>
        <w:pStyle w:val="ListBullet"/>
        <w:spacing w:after="60"/>
        <w:ind w:left="737"/>
      </w:pPr>
      <w:r>
        <w:rPr>
          <w:rFonts w:ascii="Calibri" w:hAnsi="Calibri"/>
          <w:b w:val="0"/>
          <w:i w:val="0"/>
          <w:sz w:val="22"/>
        </w:rPr>
        <w:t>Barra/segmento RETORNOS (16%): diferença que persiste mesmo quando negros e brancos têm as MESMAS características — o mercado remunera diferentemente.</w:t>
      </w:r>
    </w:p>
    <w:p>
      <w:pPr>
        <w:spacing w:before="80" w:after="120"/>
        <w:jc w:val="left"/>
      </w:pPr>
      <w:r>
        <w:rPr>
          <w:rFonts w:ascii="Calibri" w:hAnsi="Calibri"/>
          <w:b/>
          <w:i w:val="0"/>
          <w:color w:val="1F3864"/>
          <w:sz w:val="22"/>
        </w:rPr>
        <w:t>O que o padrão mostra: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84% do gap é de dotações: a discriminação opera principalmente no ACESSO a características valorizadas, não no salário dentro da função.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Isso inverte a intuição comum: combater apenas o gap salarial direto (16%) deixa 84% do problema intacto.</w:t>
      </w:r>
    </w:p>
    <w:p>
      <w:pPr>
        <w:spacing w:before="80" w:after="40"/>
      </w:pPr>
      <w:r>
        <w:rPr>
          <w:rFonts w:ascii="Calibri" w:hAnsi="Calibri"/>
          <w:b/>
          <w:i w:val="0"/>
          <w:color w:val="1565C0"/>
          <w:sz w:val="22"/>
        </w:rPr>
        <w:t>▌ O que dizer se perguntarem:</w:t>
      </w:r>
    </w:p>
    <w:p>
      <w:pPr>
        <w:spacing w:after="40"/>
        <w:ind w:left="454"/>
      </w:pPr>
      <w:r>
        <w:rPr>
          <w:rFonts w:ascii="Calibri" w:hAnsi="Calibri"/>
          <w:b w:val="0"/>
          <w:i w:val="0"/>
          <w:sz w:val="21"/>
        </w:rPr>
        <w:t>'O Oaxaca une os três vértices do triângulo de evidências. Os 84% de dotações são explicados pelo logit (acesso a ocupações) e pela SNA (exclusão das redes). Os 16% de retornos são explicados pelo HLM M4 (6,2% de discriminação pura de remuneração). Os métodos são consistentes entre si.'</w:t>
      </w:r>
    </w:p>
    <w:p>
      <w:pPr>
        <w:spacing w:after="40"/>
        <w:ind w:left="454"/>
      </w:pPr>
      <w:r>
        <w:rPr>
          <w:rFonts w:ascii="Calibri" w:hAnsi="Calibri"/>
          <w:b w:val="0"/>
          <w:i w:val="0"/>
          <w:sz w:val="21"/>
        </w:rPr>
        <w:t>Se perguntarem sobre three-fold: 'A decomposição three-fold adiciona um componente de interação entre dotações e retornos que não tem interpretação causal clara em contexto de discriminação racial. Por isso a literatura de economics of discrimination prefere two-fold (Fortin, Lemieux &amp; Firpo, 2011).'</w:t>
      </w:r>
    </w:p>
    <w:p/>
    <w:p>
      <w:pPr>
        <w:pStyle w:val="Heading2"/>
      </w:pPr>
      <w:r>
        <w:rPr>
          <w:rFonts w:ascii="Calibri" w:hAnsi="Calibri"/>
          <w:color w:val="1F3864"/>
        </w:rPr>
        <w:t>Figura 8 — GLMM (lme4): Odds Ratios para Acesso a Ocupações Qualificadas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29400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lmm_odds_ratios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9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606060"/>
          <w:sz w:val="18"/>
        </w:rPr>
        <w:t>Odds Ratios do GLMM para negro vs branco. M1=sem contexto, M2=com efeitos aleatórios UPA. Linha = OR=1 (sem diferença racial).</w:t>
      </w:r>
    </w:p>
    <w:p>
      <w:pPr>
        <w:spacing w:before="80" w:after="120"/>
        <w:jc w:val="left"/>
      </w:pPr>
      <w:r>
        <w:rPr>
          <w:rFonts w:ascii="Calibri" w:hAnsi="Calibri"/>
          <w:b/>
          <w:i w:val="0"/>
          <w:color w:val="1F3864"/>
          <w:sz w:val="22"/>
        </w:rPr>
        <w:t>Como ler: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Eixo X: Odds Ratio (OR). OR=1 = sem diferença racial. OR&lt;1 = negros têm MENOR chance.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Cada ponto = estimativa de OR com IC 95%. GLMM implementado com lme4::glmer (nAGQ=0, otimizador bobyqa) para acomodar a estrutura hierárquica dos dados.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M1 (sem efeito aleatório de contexto): OR=0,674 — negros têm 32,6% menos chance. ICC M1=22,2% (variação entre UPAs elevada). N=7.694.198 (PEA completa).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M2 (com efeito aleatório de UPA): OR=0,691 — após controlar o contexto local, negros têm 30,9% menos chance. ICC M2=10,8%.</w:t>
      </w:r>
    </w:p>
    <w:p>
      <w:pPr>
        <w:spacing w:before="80" w:after="120"/>
        <w:jc w:val="left"/>
      </w:pPr>
      <w:r>
        <w:rPr>
          <w:rFonts w:ascii="Calibri" w:hAnsi="Calibri"/>
          <w:b/>
          <w:i w:val="0"/>
          <w:color w:val="1F3864"/>
          <w:sz w:val="22"/>
        </w:rPr>
        <w:t>O AME (Average Marginal Effect):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AME M1 = −5,16 p.p.: sem controle de contexto, negros têm 5,16 p.p. a menos de probabilidade de ocupação qualificada.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AME M2 = −4,84 p.p.: com efeito aleatório de UPA, o efeito líquido de ser negro é −4,84 p.p. — discriminação pura de acesso após controlar moradia e contexto.</w:t>
      </w:r>
    </w:p>
    <w:p>
      <w:pPr>
        <w:spacing w:before="80" w:after="40"/>
      </w:pPr>
      <w:r>
        <w:rPr>
          <w:rFonts w:ascii="Calibri" w:hAnsi="Calibri"/>
          <w:b/>
          <w:i w:val="0"/>
          <w:color w:val="FF8F00"/>
          <w:sz w:val="22"/>
        </w:rPr>
        <w:t>▌ O que dizer se perguntarem sobre OR vs AME e sobre o GLMM:</w:t>
      </w:r>
    </w:p>
    <w:p>
      <w:pPr>
        <w:spacing w:after="40"/>
        <w:ind w:left="454"/>
      </w:pPr>
      <w:r>
        <w:rPr>
          <w:rFonts w:ascii="Calibri" w:hAnsi="Calibri"/>
          <w:b w:val="0"/>
          <w:i w:val="0"/>
          <w:sz w:val="21"/>
        </w:rPr>
        <w:t>'O OR mede razão de chances — útil para comparação entre modelos. O AME traduz isso em diferença de probabilidade — mais intuitivo para comunicar ao gestor público.'</w:t>
      </w:r>
    </w:p>
    <w:p>
      <w:pPr>
        <w:spacing w:after="40"/>
        <w:ind w:left="454"/>
      </w:pPr>
      <w:r>
        <w:rPr>
          <w:rFonts w:ascii="Calibri" w:hAnsi="Calibri"/>
          <w:b w:val="0"/>
          <w:i w:val="0"/>
          <w:sz w:val="21"/>
        </w:rPr>
        <w:t>'O GLMM (Generalized Linear Mixed Model) é a extensão natural do HLM para variáveis binárias. Ao usar lme4::glmer com efeitos aleatórios por UPA, capturo a mesma estrutura hierárquica do HLM aplicada ao modelo de acesso a ocupações. O ICC=22,2% em M1 confirma que há variância substancial entre UPAs — ignorar essa hierarquia produziria erros padrão subestimados e OR's viesados.'</w:t>
      </w:r>
    </w:p>
    <w:p/>
    <w:p>
      <w:pPr>
        <w:pStyle w:val="Heading2"/>
      </w:pPr>
      <w:r>
        <w:rPr>
          <w:rFonts w:ascii="Calibri" w:hAnsi="Calibri"/>
          <w:color w:val="1F3864"/>
        </w:rPr>
        <w:t>Figura 9 — Regressão Quantílica: Trajetória do Gap ao Longo da Distribuição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2686765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uantreg_trajetori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6867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606060"/>
          <w:sz w:val="18"/>
        </w:rPr>
        <w:t>Gap racial (% de diferença de log-renda) por percentil. Linha M3 = sem CBO/formalidade. Linha M4 = com CBO/formalidade.</w:t>
      </w:r>
    </w:p>
    <w:p>
      <w:pPr>
        <w:spacing w:before="80" w:after="120"/>
        <w:jc w:val="left"/>
      </w:pPr>
      <w:r>
        <w:rPr>
          <w:rFonts w:ascii="Calibri" w:hAnsi="Calibri"/>
          <w:b/>
          <w:i w:val="0"/>
          <w:color w:val="1F3864"/>
          <w:sz w:val="22"/>
        </w:rPr>
        <w:t>Como ler: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Eixo X: percentil da distribuição de renda (q10 = mais pobres, q95 = mais ricos).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Eixo Y: coeficiente do dummy 'negro' em log-renda — quanto menor, maior o gap.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Duas linhas: M3 (sem ocupação/formalidade) e M4 (com ocupação/formalidade).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Faixa cinza ao redor de cada linha = intervalo de confiança 95%.</w:t>
      </w:r>
    </w:p>
    <w:p>
      <w:pPr>
        <w:spacing w:before="80" w:after="120"/>
        <w:jc w:val="left"/>
      </w:pPr>
      <w:r>
        <w:rPr>
          <w:rFonts w:ascii="Calibri" w:hAnsi="Calibri"/>
          <w:b/>
          <w:i w:val="0"/>
          <w:color w:val="1F3864"/>
          <w:sz w:val="22"/>
        </w:rPr>
        <w:t>O que o padrão mostra: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Inclinação descendente de ambas as linhas (coeficiente fica mais negativo conforme sobe o quantil) = o gap aumenta no topo da distribuição = glass ceiling racial.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Diferença entre M3 e M4 cresce no topo: no q95, a mediação ocupacional (CBO + formalidade) explica mais do gap do que no q10. Negros no topo são excluídos das ocupações mais rentáveis.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Valores concretos: q10 ≈ −3,2%; q50 ≈ −4,1%; q90 ≈ −7,1%; q95 ≈ −7,9% (M4).</w:t>
      </w:r>
    </w:p>
    <w:p>
      <w:pPr>
        <w:spacing w:before="80" w:after="40"/>
      </w:pPr>
      <w:r>
        <w:rPr>
          <w:rFonts w:ascii="Calibri" w:hAnsi="Calibri"/>
          <w:b/>
          <w:i w:val="0"/>
          <w:color w:val="2E7D32"/>
          <w:sz w:val="22"/>
        </w:rPr>
        <w:t>▌ O que dizer se perguntarem:</w:t>
      </w:r>
    </w:p>
    <w:p>
      <w:pPr>
        <w:spacing w:after="40"/>
        <w:ind w:left="454"/>
      </w:pPr>
      <w:r>
        <w:rPr>
          <w:rFonts w:ascii="Calibri" w:hAnsi="Calibri"/>
          <w:b w:val="0"/>
          <w:i w:val="0"/>
          <w:sz w:val="21"/>
        </w:rPr>
        <w:t>'Um OLS capturaria apenas a média — aproximadamente o ponto de q50. Mas o glass ceiling está no q90–q95, onde o gap é sistematicamente maior. Sem regressão quantílica, esse padrão seria invisível. A regressão quantílica é o único método que formaliza a hipótese do glass ceiling como teste estatístico.'</w:t>
      </w:r>
    </w:p>
    <w:p/>
    <w:p>
      <w:pPr>
        <w:pStyle w:val="Heading2"/>
      </w:pPr>
      <w:r>
        <w:rPr>
          <w:rFonts w:ascii="Calibri" w:hAnsi="Calibri"/>
          <w:color w:val="1F3864"/>
        </w:rPr>
        <w:t>Figura 9b — RIF-OB: Sticky Floor Discriminatório vs. Glass Ceiling por Dotações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3120203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f_ob_retornos_quantis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1202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606060"/>
          <w:sz w:val="18"/>
        </w:rPr>
        <w:t>RIF-OB incondicional por quantil (Firpo, Fortin &amp; Lemieux, 2018). Retornos (discriminação) vs Dotações por decil de renda.</w:t>
      </w:r>
    </w:p>
    <w:p>
      <w:pPr>
        <w:spacing w:before="80" w:after="120"/>
        <w:jc w:val="left"/>
      </w:pPr>
      <w:r>
        <w:rPr>
          <w:rFonts w:ascii="Calibri" w:hAnsi="Calibri"/>
          <w:b/>
          <w:i w:val="0"/>
          <w:color w:val="1F3864"/>
          <w:sz w:val="22"/>
        </w:rPr>
        <w:t>Como ler: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Eixo X: decil/quantil da distribuição incondicional de renda (q10=base, q90=topo).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Dois componentes empilhados por quantil: Dotações (diferença de características) e Retornos (discriminação pura — o que persiste mesmo com características iguais).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RIF = Recentered Influence Function — permite decompor o gap em qualquer quantil incondicionalmente, sem condicionar ao quantil dentro de cada grupo racial.</w:t>
      </w:r>
    </w:p>
    <w:p>
      <w:pPr>
        <w:spacing w:before="80" w:after="120"/>
        <w:jc w:val="left"/>
      </w:pPr>
      <w:r>
        <w:rPr>
          <w:rFonts w:ascii="Calibri" w:hAnsi="Calibri"/>
          <w:b/>
          <w:i w:val="0"/>
          <w:color w:val="1F3864"/>
          <w:sz w:val="22"/>
        </w:rPr>
        <w:t>O padrão sticky floor vs. glass ceiling: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q10 — base: Dotações=61,3%, Retornos=33,1%. Discriminação de preço é 3× mais intensa na BASE — efeito sticky floor (chão pegajoso).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q50 — mediana: Dotações=57,4%, Retornos=21,5%. Discriminação decai progressivamente.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q90 — topo: Dotações=75,8%, Retornos=11,2%. No topo, o gap é quase inteiramente por dotações — negros são EXCLUÍDOS das posições rentáveis (glass ceiling).</w:t>
      </w:r>
    </w:p>
    <w:p>
      <w:pPr>
        <w:spacing w:before="80" w:after="40"/>
      </w:pPr>
      <w:r>
        <w:rPr>
          <w:rFonts w:ascii="Calibri" w:hAnsi="Calibri"/>
          <w:b/>
          <w:i w:val="0"/>
          <w:color w:val="2E7D32"/>
          <w:sz w:val="22"/>
        </w:rPr>
        <w:t>▌ O que dizer se perguntarem:</w:t>
      </w:r>
    </w:p>
    <w:p>
      <w:pPr>
        <w:spacing w:after="40"/>
        <w:ind w:left="454"/>
      </w:pPr>
      <w:r>
        <w:rPr>
          <w:rFonts w:ascii="Calibri" w:hAnsi="Calibri"/>
          <w:b w:val="0"/>
          <w:i w:val="0"/>
          <w:sz w:val="21"/>
        </w:rPr>
        <w:t>'A QR formaliza o glass ceiling condicional — o gap cresce no topo dentro de cada grupo. O RIF-OB faz a decomposição incondicional — permite perguntar: de onde vem esse gap maior no topo? A resposta é: no topo o mecanismo dominante é exclusão (dotações = 75,8%), não discriminação salarial direta. Na base, a discriminação de preço ainda responde por 33,1% do gap — o sticky floor discriminatório. São dois fenômenos distintos que coexistem.'</w:t>
      </w:r>
    </w:p>
    <w:p/>
    <w:p>
      <w:pPr>
        <w:pStyle w:val="Heading2"/>
      </w:pPr>
      <w:r>
        <w:rPr>
          <w:rFonts w:ascii="Calibri" w:hAnsi="Calibri"/>
          <w:color w:val="1F3864"/>
        </w:rPr>
        <w:t>Figura 9c — Interseccionalidade: Oaxaca-Blinder por 4 Grupos Raça × Gênero</w:t>
      </w:r>
    </w:p>
    <w:p>
      <w:pPr>
        <w:spacing w:before="80" w:after="120"/>
        <w:jc w:val="left"/>
      </w:pPr>
      <w:r>
        <w:rPr>
          <w:rFonts w:ascii="Calibri" w:hAnsi="Calibri"/>
          <w:b/>
          <w:i w:val="0"/>
          <w:color w:val="1F3864"/>
          <w:sz w:val="22"/>
        </w:rPr>
        <w:t>Como ler: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Referência: Homem Branco. Comparação: Mulher Branca, Homem Negro, Mulher Negra.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Para cada grupo, o gap total é decomposto em Dotações (características) e Retornos (discriminação direta).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HLM M4: coeficiente da interação negro×sexo_fem = β=+0,069 — indica atenuação do gap racial para mulheres (raça e gênero interagem, não se somam linearmente).</w:t>
      </w:r>
    </w:p>
    <w:p>
      <w:pPr>
        <w:spacing w:before="80" w:after="120"/>
        <w:jc w:val="left"/>
      </w:pPr>
      <w:r>
        <w:rPr>
          <w:rFonts w:ascii="Calibri" w:hAnsi="Calibri"/>
          <w:b/>
          <w:i w:val="0"/>
          <w:color w:val="1F3864"/>
          <w:sz w:val="22"/>
        </w:rPr>
        <w:t>Resultados por grupo (referência: Homem Branco):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Mulher Branca: gap=46,6% — dotações negativas (−8,9%) / retornos 109% (retornos amplificam o gap: discriminação de gênero pura explica mais de 100%). Sem penalidade de raça.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Homem Negro: gap=40,3% — 71% dotações / 29% retornos. Discriminação racial direta explica ~29% do gap do homem negro.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Mulher Negra: gap=96,4% — maior gap de todos os grupos. Penalidade adicional por interseccionalidade: +9,5 p.p. além da soma de raça + gênero separados.</w:t>
      </w:r>
    </w:p>
    <w:p>
      <w:pPr>
        <w:spacing w:before="80" w:after="40"/>
      </w:pPr>
      <w:r>
        <w:rPr>
          <w:rFonts w:ascii="Calibri" w:hAnsi="Calibri"/>
          <w:b/>
          <w:i w:val="0"/>
          <w:color w:val="FF8F00"/>
          <w:sz w:val="22"/>
        </w:rPr>
        <w:t>▌ O que dizer se perguntarem sobre interseccionalidade:</w:t>
      </w:r>
    </w:p>
    <w:p>
      <w:pPr>
        <w:spacing w:after="40"/>
        <w:ind w:left="454"/>
      </w:pPr>
      <w:r>
        <w:rPr>
          <w:rFonts w:ascii="Calibri" w:hAnsi="Calibri"/>
          <w:b w:val="0"/>
          <w:i w:val="0"/>
          <w:sz w:val="21"/>
        </w:rPr>
        <w:t>'A Mulher Negra não sofre apenas raça + gênero de forma aditiva — existe uma penalidade adicional de +9,5 p.p. que emerge especificamente da combinação dos dois eixos de opressão. Isso é a interseccionalidade no sentido de Crenshaw (1989): os eixos interagem, não se somam. O HLM confirma com β_neg×fem=+0,069 (***) — a discriminação racial é estatisticamente menor para mulheres negras do que se esperaria da soma linear.'</w:t>
      </w:r>
    </w:p>
    <w:p>
      <w:pPr>
        <w:spacing w:after="40"/>
        <w:ind w:left="454"/>
      </w:pPr>
      <w:r>
        <w:rPr>
          <w:rFonts w:ascii="Calibri" w:hAnsi="Calibri"/>
          <w:b w:val="0"/>
          <w:i w:val="0"/>
          <w:sz w:val="21"/>
        </w:rPr>
        <w:t>'Gap de 96,4% para mulher negra vs 40,3% para homem negro: a mulher negra experimenta uma dupla desvantagem que quase dobra o gap. Políticas de gênero e raça precisam ser desenhadas conjuntamente para esse grupo.'</w:t>
      </w:r>
    </w:p>
    <w:p/>
    <w:p>
      <w:pPr>
        <w:pStyle w:val="Heading2"/>
      </w:pPr>
      <w:r>
        <w:rPr>
          <w:rFonts w:ascii="Calibri" w:hAnsi="Calibri"/>
          <w:color w:val="1F3864"/>
        </w:rPr>
        <w:t>Figura 10 — SHAP Values: Importância das Variáveis no XGBoost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3736625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hap_importance_xgb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7366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606060"/>
          <w:sz w:val="18"/>
        </w:rPr>
        <w:t>Importância média dos SHAP values por variável. R²=0,6162.</w:t>
      </w:r>
    </w:p>
    <w:p>
      <w:pPr>
        <w:spacing w:before="80" w:after="120"/>
        <w:jc w:val="left"/>
      </w:pPr>
      <w:r>
        <w:rPr>
          <w:rFonts w:ascii="Calibri" w:hAnsi="Calibri"/>
          <w:b/>
          <w:i w:val="0"/>
          <w:color w:val="1F3864"/>
          <w:sz w:val="22"/>
        </w:rPr>
        <w:t>Como ler: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Eixo X: importância média absoluta dos SHAP values — quanto cada variável 'move' a predição de renda em média, independente de direção.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Barras maiores = variáveis mais determinantes para a renda prevista pelo modelo.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Variáveis em vermelho/negativo = associadas a menores rendas. Variáveis em azul/positivo = associadas a maiores rendas.</w:t>
      </w:r>
    </w:p>
    <w:p>
      <w:pPr>
        <w:spacing w:before="80" w:after="120"/>
        <w:jc w:val="left"/>
      </w:pPr>
      <w:r>
        <w:rPr>
          <w:rFonts w:ascii="Calibri" w:hAnsi="Calibri"/>
          <w:b/>
          <w:i w:val="0"/>
          <w:color w:val="1F3864"/>
          <w:sz w:val="22"/>
        </w:rPr>
        <w:t>Ranking esperado e o que significa: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#1 Renda média da UPA (|SHAP|≈0,272): onde você mora supera o quanto você estudou como determinante de renda — confirma Wilson (1987) e justifica o HLM.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#2 Horas trabalhadas (|SHAP|≈0,166): nova variável extraída dos ZIPs brutos. Volume de trabalho é o segundo maior determinante.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#3–#4 CBO e emprego formal: variáveis também extraídas dos ZIPs — sua contribuição metodológica principal. Sem elas, o modelo subestimaria o papel da ocupação.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#11 Raça/negro (|SHAP|≈0,029): após todos os controles, a raça ainda move a predição em −2,5%. Não é o maior fator — mas é o fator que não deveria existir em um mercado de trabalho não discriminatório.</w:t>
      </w:r>
    </w:p>
    <w:p>
      <w:pPr>
        <w:spacing w:before="80" w:after="40"/>
      </w:pPr>
      <w:r>
        <w:rPr>
          <w:rFonts w:ascii="Calibri" w:hAnsi="Calibri"/>
          <w:b/>
          <w:i w:val="0"/>
          <w:color w:val="1565C0"/>
          <w:sz w:val="22"/>
        </w:rPr>
        <w:t>▌ O que dizer se perguntarem sobre interpretabilidade do XGBoost:</w:t>
      </w:r>
    </w:p>
    <w:p>
      <w:pPr>
        <w:spacing w:after="40"/>
        <w:ind w:left="454"/>
      </w:pPr>
      <w:r>
        <w:rPr>
          <w:rFonts w:ascii="Calibri" w:hAnsi="Calibri"/>
          <w:b w:val="0"/>
          <w:i w:val="0"/>
          <w:sz w:val="21"/>
        </w:rPr>
        <w:t>'O SHAP resolve o problema black-box do XGBoost. Ele decompõe a predição de cada observação individualmente, garantindo aditividade e consistência (propriedades de Shapley). Um simples gráfico de feature importance do XGBoost não teria essas garantias — o SHAP é o gold standard atual para interpretabilidade de modelos de ML.'</w:t>
      </w:r>
    </w:p>
    <w:p/>
    <w:p>
      <w:pPr>
        <w:pStyle w:val="Heading2"/>
      </w:pPr>
      <w:r>
        <w:rPr>
          <w:rFonts w:ascii="Calibri" w:hAnsi="Calibri"/>
          <w:color w:val="1F3864"/>
        </w:rPr>
        <w:t>O Papel do Machine Learning no Trabalho (o que dizer na defesa)</w:t>
      </w:r>
    </w:p>
    <w:p>
      <w:pPr>
        <w:spacing w:before="80" w:after="120"/>
        <w:jc w:val="left"/>
      </w:pPr>
      <w:r>
        <w:rPr>
          <w:rFonts w:ascii="Calibri" w:hAnsi="Calibri"/>
          <w:b/>
          <w:i w:val="0"/>
          <w:color w:val="1F3864"/>
          <w:sz w:val="22"/>
        </w:rPr>
        <w:t>O que o ML prediz e por que está no trabalho: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Prediz a RENDA (log_renda) a partir de 28 variáveis (individuais, ocupação/CBO e contexto de UPA/UF). Desempenho: XGBoost R²=0,62; Random Forest R²=0,57.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NÃO é o motor causal (isso é HLM/GLMM/Oaxaca/Heckman/Oster). Cumpre TRÊS funções: (1) triangulação/robustez — método não-paramétrico, sem supor linearidade, confirma o sinal econométrico; (2) interpretabilidade via SHAP — quantifica a contribuição de cada variável e suas interações; (3) mecanismo tangível — waterfalls de casos individuais.</w:t>
      </w:r>
    </w:p>
    <w:p>
      <w:pPr>
        <w:spacing w:before="80" w:after="120"/>
        <w:jc w:val="left"/>
      </w:pPr>
      <w:r>
        <w:rPr>
          <w:rFonts w:ascii="Calibri" w:hAnsi="Calibri"/>
          <w:b/>
          <w:i w:val="0"/>
          <w:color w:val="1F3864"/>
          <w:sz w:val="22"/>
        </w:rPr>
        <w:t>Achado central do SHAP (forte para a defesa):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O preditor nº 1 é a RENDA MÉDIA DA UPA (bairro) — acima da escolaridade e de qualquer traço individual. A variável 'negro' tem importância DIRETA modesta (abaixo do top-12).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Isso CONFIRMA a tese (não contradiz): a raça tem efeito direto pequeno porque opera POR MEIO dos mediadores (onde mora, ocupação, formalidade), que são moldados pela barreira racial — a tradução computacional do Oaxaca-Blinder (a maior parte do gap é 'dotações', mas dotações são produto de segregação e exclusão de acesso).</w:t>
      </w:r>
    </w:p>
    <w:p>
      <w:pPr>
        <w:spacing w:before="80" w:after="120"/>
        <w:jc w:val="left"/>
      </w:pPr>
      <w:r>
        <w:rPr>
          <w:rFonts w:ascii="Calibri" w:hAnsi="Calibri"/>
          <w:b/>
          <w:i w:val="0"/>
          <w:color w:val="1F3864"/>
          <w:sz w:val="22"/>
        </w:rPr>
        <w:t>Como conecta com o resto do trabalho: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HLM: o domínio do contexto no SHAP espelha a mediação contextual do HLM (~52% via UPA). Oaxaca: importância direta pequena da raça ↔ gap majoritariamente de dotações. GLMM: o ML modela RENDA, o GLMM modela ACESSO (faces complementares). SNA: a parcela residual da raça + betweenness=0 explicam por que o diploma negro rende menos. PO: a importância SHAP ajuda a calibrar as prioridades das políticas.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Explicar vs. prever: a heterogeneidade geográfica (random slope) é inferencialmente real, mas adicionar UF ao ML não muda o R² (testado: ΔR²≈0) — o contexto já está nas features. Use essa distinção se questionarem.</w:t>
      </w:r>
    </w:p>
    <w:p>
      <w:pPr>
        <w:spacing w:before="80" w:after="40"/>
      </w:pPr>
      <w:r>
        <w:rPr>
          <w:rFonts w:ascii="Calibri" w:hAnsi="Calibri"/>
          <w:b/>
          <w:i w:val="0"/>
          <w:color w:val="FF8F00"/>
          <w:sz w:val="22"/>
        </w:rPr>
        <w:t>▌ Se perguntarem 'por que ML se já tem econometria?':</w:t>
      </w:r>
    </w:p>
    <w:p>
      <w:pPr>
        <w:spacing w:after="40"/>
        <w:ind w:left="454"/>
      </w:pPr>
      <w:r>
        <w:rPr>
          <w:rFonts w:ascii="Calibri" w:hAnsi="Calibri"/>
          <w:b w:val="0"/>
          <w:i w:val="0"/>
          <w:sz w:val="21"/>
        </w:rPr>
        <w:t>'O ML não substitui a econometria — triangula. Se um modelo flexível, livre de supor linearidade e capaz de captar qualquer interação, chega ao MESMO diagnóstico (o contexto domina, a raça opera via mediadores), o achado deixa de ser artefato de especificação. E o SHAP mostra COMO a desigualdade atua: o bairro prediz mais que o diploma — desigualdade estrutural e territorial.'</w:t>
      </w:r>
    </w:p>
    <w:p/>
    <w:p>
      <w:r>
        <w:br w:type="page"/>
      </w:r>
    </w:p>
    <w:p>
      <w:pPr>
        <w:pStyle w:val="Heading2"/>
      </w:pPr>
      <w:r>
        <w:rPr>
          <w:rFonts w:ascii="Calibri" w:hAnsi="Calibri"/>
          <w:color w:val="1F3864"/>
        </w:rPr>
        <w:t>Figura 11 — Rede Social Ocupacional: Betweenness por Raça e Escolaridade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3769412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na_rede_demografica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7694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606060"/>
          <w:sz w:val="18"/>
        </w:rPr>
        <w:t>Rede de co-ocupação. Nós = grupos de raça × educação. Tamanho do nó = betweenness centrality.</w:t>
      </w:r>
    </w:p>
    <w:p>
      <w:pPr>
        <w:spacing w:before="80" w:after="120"/>
        <w:jc w:val="left"/>
      </w:pPr>
      <w:r>
        <w:rPr>
          <w:rFonts w:ascii="Calibri" w:hAnsi="Calibri"/>
          <w:b/>
          <w:i w:val="0"/>
          <w:color w:val="1F3864"/>
          <w:sz w:val="22"/>
        </w:rPr>
        <w:t>Como ler: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Nós: cada nó representa um grupo (ex: 'negro + superior completo', 'branco + médio').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Arestas: conexão = co-ocorrência na mesma ocupação/setor.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Tamanho do nó: proporcional à betweenness centrality — quão central o grupo é como ponte entre diferentes clusters da rede.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Cor/posição: grupos brancos tendem a ocupar o centro da rede; grupos negros ficam na periferia independente do nível educacional.</w:t>
      </w:r>
    </w:p>
    <w:p>
      <w:pPr>
        <w:spacing w:before="80" w:after="120"/>
        <w:jc w:val="left"/>
      </w:pPr>
      <w:r>
        <w:rPr>
          <w:rFonts w:ascii="Calibri" w:hAnsi="Calibri"/>
          <w:b/>
          <w:i w:val="0"/>
          <w:color w:val="1F3864"/>
          <w:sz w:val="22"/>
        </w:rPr>
        <w:t>Achado principal: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Brancos com pós-graduação têm alta betweenness: são brokers que conectam grupos diferentes — acesso a vagas, informação e promoções (Burt, 2004).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Negros com pós-graduação têm betweenness ≈ 0: mesmo com as mesmas credenciais, não ocupam posições de ponte na rede. As credenciais 'valem menos' porque não convertem em acesso às redes de conversão.</w:t>
      </w:r>
    </w:p>
    <w:p>
      <w:pPr>
        <w:spacing w:before="80" w:after="40"/>
      </w:pPr>
      <w:r>
        <w:rPr>
          <w:rFonts w:ascii="Calibri" w:hAnsi="Calibri"/>
          <w:b/>
          <w:i w:val="0"/>
          <w:color w:val="1F3864"/>
          <w:sz w:val="22"/>
        </w:rPr>
        <w:t>▌ O que dizer se perguntarem:</w:t>
      </w:r>
    </w:p>
    <w:p>
      <w:pPr>
        <w:spacing w:after="40"/>
        <w:ind w:left="454"/>
      </w:pPr>
      <w:r>
        <w:rPr>
          <w:rFonts w:ascii="Calibri" w:hAnsi="Calibri"/>
          <w:b w:val="0"/>
          <w:i w:val="0"/>
          <w:sz w:val="21"/>
        </w:rPr>
        <w:t>'A SNA adiciona uma dimensão que o HLM e o logit não capturam: o capital social estrutural. Mesmo que um negro consiga entrar em uma ocupação qualificada, sua betweenness=0 significa que ele não tem acesso às redes informais que geram promoção, mentoria e informação antecipada sobre vagas. Isso explica parte do gap residual de 6,2% do HLM M4.'</w:t>
      </w:r>
    </w:p>
    <w:p/>
    <w:p>
      <w:pPr>
        <w:pStyle w:val="Heading2"/>
      </w:pPr>
      <w:r>
        <w:rPr>
          <w:rFonts w:ascii="Calibri" w:hAnsi="Calibri"/>
          <w:color w:val="1F3864"/>
        </w:rPr>
        <w:t>Figura 12 — Gini por Setor (H1): Estado como Indutor de Desigualdade?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2121282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stado_h1_gini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1212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606060"/>
          <w:sz w:val="18"/>
        </w:rPr>
        <w:t>Gini por setor (público vs privado) e decomposição de Theil T.</w:t>
      </w:r>
    </w:p>
    <w:p>
      <w:pPr>
        <w:spacing w:before="80" w:after="120"/>
        <w:jc w:val="left"/>
      </w:pPr>
      <w:r>
        <w:rPr>
          <w:rFonts w:ascii="Calibri" w:hAnsi="Calibri"/>
          <w:b/>
          <w:i w:val="0"/>
          <w:color w:val="1F3864"/>
          <w:sz w:val="22"/>
        </w:rPr>
        <w:t>Como ler: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Gráfico de barras: Gini total (0,4879), público (0,4662) e privado (0,4715).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Gini menor no público = distribuição de renda mais igualitária dentro do setor público.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Decomposição de Theil T: 7,8% da desigualdade total é ENTRE os dois setores. Isso significa que a diferença de renda médio entre público e privado gera 7,8% da desigualdade agregada.</w:t>
      </w:r>
    </w:p>
    <w:p>
      <w:pPr>
        <w:spacing w:before="80" w:after="120"/>
        <w:jc w:val="left"/>
      </w:pPr>
      <w:r>
        <w:rPr>
          <w:rFonts w:ascii="Calibri" w:hAnsi="Calibri"/>
          <w:b/>
          <w:i w:val="0"/>
          <w:color w:val="1F3864"/>
          <w:sz w:val="22"/>
        </w:rPr>
        <w:t>Interpretação da hipótese H1: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O estado REDUZ a desigualdade interna (Gini público &lt; privado), mas o prêmio salarial do servidor (+99,6% vs privado) cria uma divisão ENTRE setores que contribui 7,8% para a desigualdade total.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Conclusão de H1: o estado é simultaneamente redutor de desigualdade interna e gerador de desigualdade interssetorial. A resposta é 'ambos' — depende da perspectiva.</w:t>
      </w:r>
    </w:p>
    <w:p/>
    <w:p>
      <w:pPr>
        <w:pStyle w:val="Heading2"/>
      </w:pPr>
      <w:r>
        <w:rPr>
          <w:rFonts w:ascii="Calibri" w:hAnsi="Calibri"/>
          <w:color w:val="1F3864"/>
        </w:rPr>
        <w:t>Figura 13 — Gaps Racial e de Gênero por Setor (H2/H3)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2123888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stado_h2h3_gaps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1238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606060"/>
          <w:sz w:val="18"/>
        </w:rPr>
        <w:t>Gaps salariais controlados por raça e gênero no setor público vs privado.</w:t>
      </w:r>
    </w:p>
    <w:p>
      <w:pPr>
        <w:spacing w:before="80" w:after="120"/>
        <w:jc w:val="left"/>
      </w:pPr>
      <w:r>
        <w:rPr>
          <w:rFonts w:ascii="Calibri" w:hAnsi="Calibri"/>
          <w:b/>
          <w:i w:val="0"/>
          <w:color w:val="1F3864"/>
          <w:sz w:val="22"/>
        </w:rPr>
        <w:t>Como ler: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Barras agrupadas: cada par compara o gap no setor privado vs público, para raça (H2) e gênero (H3).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Valores são coeficientes de regressão controlada (β do dummy negro ou sexo_fem), não diferenças brutas.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Gap racial bruto: privado −44,1% / público −33,3%. Controlado: privado −29,2% / público −25,2%.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Gap de gênero: privado −16,9% / público −18,8% (após controles). O setor público tem gap de GÊNERO maior que o privado — o paradoxo H3.</w:t>
      </w:r>
    </w:p>
    <w:p>
      <w:pPr>
        <w:spacing w:before="80" w:after="120"/>
        <w:jc w:val="left"/>
      </w:pPr>
      <w:r>
        <w:rPr>
          <w:rFonts w:ascii="Calibri" w:hAnsi="Calibri"/>
          <w:b/>
          <w:i w:val="0"/>
          <w:color w:val="1F3864"/>
          <w:sz w:val="22"/>
        </w:rPr>
        <w:t>Interpretação do paradoxo H3: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O concurso público iguala a entrada (não há discriminação no acesso ao cargo), mas a progressão de carreira e os cargos de confiança (DAS, cargos militares seniores, judiciário de topo) são preenchidos por nomeação e promoção, onde o viés de gênero persiste.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Resultado: dentro do setor público, mulheres ficam presas nos cargos de entrada enquanto homens avançam — gap maior que no setor privado onde não há esse 'teto de vidro institucionalizado'.</w:t>
      </w:r>
    </w:p>
    <w:p/>
    <w:p>
      <w:pPr>
        <w:pStyle w:val="Heading2"/>
      </w:pPr>
      <w:r>
        <w:rPr>
          <w:rFonts w:ascii="Calibri" w:hAnsi="Calibri"/>
          <w:color w:val="1F3864"/>
        </w:rPr>
        <w:t>Figura 14 — Renda Real e Emprego 2016–2025 (H4)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2122380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stado_h4_tendencia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1223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606060"/>
          <w:sz w:val="18"/>
        </w:rPr>
        <w:t>Renda real mediana (base IPCA 2016=100) e taxa de emprego 2016–2025.</w:t>
      </w:r>
    </w:p>
    <w:p>
      <w:pPr>
        <w:spacing w:before="80" w:after="120"/>
        <w:jc w:val="left"/>
      </w:pPr>
      <w:r>
        <w:rPr>
          <w:rFonts w:ascii="Calibri" w:hAnsi="Calibri"/>
          <w:b/>
          <w:i w:val="0"/>
          <w:color w:val="1F3864"/>
          <w:sz w:val="22"/>
        </w:rPr>
        <w:t>Como ler: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Eixo Y esquerdo (linha): renda real mediana em R$ de 2016.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Eixo Y direito (barra ou linha pontilhada): taxa de emprego (% da PEA).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Dois eixos no mesmo gráfico permitem ver a co-evolução das duas séries.</w:t>
      </w:r>
    </w:p>
    <w:p>
      <w:pPr>
        <w:spacing w:before="80" w:after="120"/>
        <w:jc w:val="left"/>
      </w:pPr>
      <w:r>
        <w:rPr>
          <w:rFonts w:ascii="Calibri" w:hAnsi="Calibri"/>
          <w:b/>
          <w:i w:val="0"/>
          <w:color w:val="1F3864"/>
          <w:sz w:val="22"/>
        </w:rPr>
        <w:t>O que o padrão mostra: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Emprego sobe consistentemente de 87–88% (2017–2020) para 94,4% em 2025 — máxima histórica.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Renda real cai de R$1.200 (2016) para R$1.106 (2022 — mínima), recupera para R$1.345 (2024) e recua novamente para R$1.283 em 2025.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Divergência entre emprego e renda real: confirma H4 — o crescimento do emprego no governo atual não se traduziu em prosperidade equivalente em termos reais.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A renda nominal sobe (R$1.200→R$2.000), mas deflacionada pelo IPCA (base 2016=100) o ganho real é modesto e volátil.</w:t>
      </w:r>
    </w:p>
    <w:p/>
    <w:p>
      <w:pPr>
        <w:pStyle w:val="Heading2"/>
      </w:pPr>
      <w:r>
        <w:rPr>
          <w:rFonts w:ascii="Calibri" w:hAnsi="Calibri"/>
          <w:color w:val="1F3864"/>
        </w:rPr>
        <w:t>Figura 15 — Simulação de Inclusão Produtiva (H4)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2117581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stado_h4_inclusao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1175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606060"/>
          <w:sz w:val="18"/>
        </w:rPr>
        <w:t>Ganho potencial de renda se negros tivessem a mesma distribuição CBO que brancos.</w:t>
      </w:r>
    </w:p>
    <w:p>
      <w:pPr>
        <w:spacing w:before="80" w:after="120"/>
        <w:jc w:val="left"/>
      </w:pPr>
      <w:r>
        <w:rPr>
          <w:rFonts w:ascii="Calibri" w:hAnsi="Calibri"/>
          <w:b/>
          <w:i w:val="0"/>
          <w:color w:val="1F3864"/>
          <w:sz w:val="22"/>
        </w:rPr>
        <w:t>Como ler: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Duas barras: renda média negra ATUAL vs renda CONTRAFACTUAL (se negros tivessem a mesma distribuição de CBO que brancos).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A diferença entre as barras = +127,3% = ganho potencial de renda se a segregação ocupacional fosse eliminada.</w:t>
      </w:r>
    </w:p>
    <w:p>
      <w:pPr>
        <w:spacing w:before="80" w:after="120"/>
        <w:jc w:val="left"/>
      </w:pPr>
      <w:r>
        <w:rPr>
          <w:rFonts w:ascii="Calibri" w:hAnsi="Calibri"/>
          <w:b/>
          <w:i w:val="0"/>
          <w:color w:val="1F3864"/>
          <w:sz w:val="22"/>
        </w:rPr>
        <w:t>Premissas da simulação: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Mantém os salários de cada grupo CBO constantes — só redistribui negros pelos grupos como se tivessem o perfil CBO dos brancos.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Proxy conservador: não considera mudança de produtividade, apenas redistribuição.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O proxy de PIB (+74,3 p.p.) assume que negros representam 58% da força de trabalho e que o ganho de renda se traduz proporcionalmente em demanda agregada.</w:t>
      </w:r>
    </w:p>
    <w:p/>
    <w:p>
      <w:pPr>
        <w:pStyle w:val="Heading2"/>
      </w:pPr>
      <w:r>
        <w:rPr>
          <w:rFonts w:ascii="Calibri" w:hAnsi="Calibri"/>
          <w:color w:val="1F3864"/>
        </w:rPr>
        <w:t>Figura 16 — Gap de Qualificação 2016–2025 (H5: Armadilha da Renda Média)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2120041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stado_h5_armadilha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1200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606060"/>
          <w:sz w:val="18"/>
        </w:rPr>
        <w:t>% de trabalhadores com alta qualificação por raça ao longo do tempo.</w:t>
      </w:r>
    </w:p>
    <w:p>
      <w:pPr>
        <w:spacing w:before="80" w:after="120"/>
        <w:jc w:val="left"/>
      </w:pPr>
      <w:r>
        <w:rPr>
          <w:rFonts w:ascii="Calibri" w:hAnsi="Calibri"/>
          <w:b/>
          <w:i w:val="0"/>
          <w:color w:val="1F3864"/>
          <w:sz w:val="22"/>
        </w:rPr>
        <w:t>Como ler: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Eixo X: anos (2016–2025).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Eixo Y: % de trabalhadores com alta qualificação (CBO grupos 1 e 2, ou superior completo com função compatível).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Três linhas: total, brancos e negros.</w:t>
      </w:r>
    </w:p>
    <w:p>
      <w:pPr>
        <w:spacing w:before="80" w:after="120"/>
        <w:jc w:val="left"/>
      </w:pPr>
      <w:r>
        <w:rPr>
          <w:rFonts w:ascii="Calibri" w:hAnsi="Calibri"/>
          <w:b/>
          <w:i w:val="0"/>
          <w:color w:val="1F3864"/>
          <w:sz w:val="22"/>
        </w:rPr>
        <w:t>O que o padrão mostra: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Brancos: 19,7% (2016) → 22,4% (2025) — crescimento de +2,7 p.p. em 10 anos.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Negros: 9,6% (2016) → 11,0% (2025) — crescimento de +1,4 p.p. em 10 anos.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As três linhas sobem em paralelo: o gap absoluto permanece praticamente constante (≈10 p.p.). Não há convergência.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Isso é a armadilha da renda média: o Brasil eleva a qualificação geral, mas a desigualdade racial na qualificação não diminui — e sem quebrar essa barreira, o país não consegue sair da armadilha de renda média (Hsieh et al., 2019).</w:t>
      </w:r>
    </w:p>
    <w:p/>
    <w:p>
      <w:pPr>
        <w:pStyle w:val="Heading2"/>
      </w:pPr>
      <w:r>
        <w:rPr>
          <w:rFonts w:ascii="Calibri" w:hAnsi="Calibri"/>
          <w:color w:val="1F3864"/>
        </w:rPr>
        <w:t>Figura 17 — Comparação de Modelos: Log-Likelihood e AIC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2151338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odelos_loglik_aic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1513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606060"/>
          <w:sz w:val="18"/>
        </w:rPr>
        <w:t>LL e AIC para 10 modelos. Quanto menor o AIC, melhor o ajuste penalizado por complexidade.</w:t>
      </w:r>
    </w:p>
    <w:p>
      <w:pPr>
        <w:spacing w:before="80" w:after="120"/>
        <w:jc w:val="left"/>
      </w:pPr>
      <w:r>
        <w:rPr>
          <w:rFonts w:ascii="Calibri" w:hAnsi="Calibri"/>
          <w:b/>
          <w:i w:val="0"/>
          <w:color w:val="1F3864"/>
          <w:sz w:val="22"/>
        </w:rPr>
        <w:t>Como ler: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Log-Likelihood (LL): quanto mais próximo de zero (menos negativo), melhor o ajuste. Mais parâmetros sempre melhoram o LL — por isso o AIC penaliza.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AIC = −2×LL + 2×k, onde k = número de parâmetros. Modelos mais simples com ajuste equivalente são preferidos.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Eixo X: os 10 modelos em ordem de complexidade crescente (OLS Nulo → OLS Individual → OLS+FE → HLM Nulo → ... → HLM Ocupação).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Colunas/barras com dois painéis: LL (painel superior) e AIC (painel inferior).</w:t>
      </w:r>
    </w:p>
    <w:p>
      <w:pPr>
        <w:spacing w:before="80" w:after="120"/>
        <w:jc w:val="left"/>
      </w:pPr>
      <w:r>
        <w:rPr>
          <w:rFonts w:ascii="Calibri" w:hAnsi="Calibri"/>
          <w:b/>
          <w:i w:val="0"/>
          <w:color w:val="1F3864"/>
          <w:sz w:val="22"/>
        </w:rPr>
        <w:t>Achado principal: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OLS+FE(UF) tem AIC = 3.684.833 — PIOR que OLS Individual (3.660.787). Adicionar dummies de UF não ajuda porque os estados são unidades muito grandes para capturar a variação real.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HLM Contextual tem AIC = 3.588.684 — o melhor ajuste penalizado entre os modelos intermediários. Demonstra que a estrutura hierárquica compensa o custo dos parâmetros adicionais.</w:t>
      </w:r>
    </w:p>
    <w:p/>
    <w:p>
      <w:pPr>
        <w:pStyle w:val="Heading2"/>
      </w:pPr>
      <w:r>
        <w:rPr>
          <w:rFonts w:ascii="Calibri" w:hAnsi="Calibri"/>
          <w:color w:val="1F3864"/>
        </w:rPr>
        <w:t>Figura 18 — LRT Waterfall e Trajetória do ICC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1938059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odelos_lrt_icc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19380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606060"/>
          <w:sz w:val="18"/>
        </w:rPr>
        <w:t>LRT (Likelihood Ratio Test) entre modelos encadeados e trajetória do ICC por modelo.</w:t>
      </w:r>
    </w:p>
    <w:p>
      <w:pPr>
        <w:spacing w:before="80" w:after="120"/>
        <w:jc w:val="left"/>
      </w:pPr>
      <w:r>
        <w:rPr>
          <w:rFonts w:ascii="Calibri" w:hAnsi="Calibri"/>
          <w:b/>
          <w:i w:val="0"/>
          <w:color w:val="1F3864"/>
          <w:sz w:val="22"/>
        </w:rPr>
        <w:t>Como ler: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Painel esquerdo (waterfall de LRT): cada barra mostra o χ² do teste de razão de verossimilhança ao adicionar um nível ao modelo. Barras positivas = o modelo mais complexo é estatisticamente superior.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LRT HLM Nulo vs OLS Nulo: χ²=191.625 (Δk=1) — vastamente significativo. Isso prova que existe estrutura hierárquica nos dados: as rendas dentro de uma mesma UPA são mais parecidas entre si do que entre UPAs diferentes.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Painel direito (ICC): Intra-Class Correlation por modelo — % da variância total que se deve às diferenças entre UPAs. ICC=9,83% em M0.</w:t>
      </w:r>
    </w:p>
    <w:p>
      <w:pPr>
        <w:spacing w:before="80" w:after="120"/>
        <w:jc w:val="left"/>
      </w:pPr>
      <w:r>
        <w:rPr>
          <w:rFonts w:ascii="Calibri" w:hAnsi="Calibri"/>
          <w:b/>
          <w:i w:val="0"/>
          <w:color w:val="1F3864"/>
          <w:sz w:val="22"/>
        </w:rPr>
        <w:t>Por que o ICC &gt; 5% importa: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Se o ICC fosse &lt; 5%, o OLS seria suficiente (Raudenbush &amp; Bryk, 2002). Com 9,83%, ignorar a hierarquia produz erros padrão subestimados — e inferência estatística inválida.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O LRT χ²=191.625 com Δk=1 prova que o componente de variância aleatória da UPA não é zero: hierarquia não é apenas conveniência, é estrutura real dos dados.</w:t>
      </w:r>
    </w:p>
    <w:p>
      <w:pPr>
        <w:spacing w:before="80" w:after="40"/>
      </w:pPr>
      <w:r>
        <w:rPr>
          <w:rFonts w:ascii="Calibri" w:hAnsi="Calibri"/>
          <w:b/>
          <w:i w:val="0"/>
          <w:color w:val="2E7D32"/>
          <w:sz w:val="22"/>
        </w:rPr>
        <w:t>▌ O que dizer se perguntarem sobre a escolha do HLM:</w:t>
      </w:r>
    </w:p>
    <w:p>
      <w:pPr>
        <w:spacing w:after="40"/>
        <w:ind w:left="454"/>
      </w:pPr>
      <w:r>
        <w:rPr>
          <w:rFonts w:ascii="Calibri" w:hAnsi="Calibri"/>
          <w:b w:val="0"/>
          <w:i w:val="0"/>
          <w:sz w:val="21"/>
        </w:rPr>
        <w:t>'Não escolhi HLM por ser mais sofisticado — escolhi porque os dados me obrigaram. O ICC=9,83% e o LRT χ²=191.625 mostram que a estrutura hierárquica é real e significativa. Ignorar isso com OLS produziria inferência inválida — erros padrão subestimados e p-valores inflados. A escolha foi ditada pelos dados, não pela preferência metodológica.'</w:t>
      </w:r>
    </w:p>
    <w:p/>
    <w:p>
      <w:pPr>
        <w:pStyle w:val="Heading2"/>
      </w:pPr>
      <w:r>
        <w:rPr>
          <w:rFonts w:ascii="Calibri" w:hAnsi="Calibri"/>
          <w:color w:val="1F3864"/>
        </w:rPr>
        <w:t>Análises de Sensibilidade — Konfound, E-values e Oster δ*</w:t>
      </w:r>
    </w:p>
    <w:p>
      <w:pPr>
        <w:spacing w:before="80" w:after="120"/>
        <w:jc w:val="left"/>
      </w:pPr>
      <w:r>
        <w:rPr>
          <w:rFonts w:ascii="Calibri" w:hAnsi="Calibri"/>
          <w:b/>
          <w:i w:val="0"/>
          <w:color w:val="1F3864"/>
          <w:sz w:val="22"/>
        </w:rPr>
        <w:t>Como ler: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Konfound (pkonfound): quantos casos precisariam ser trocados de trat./controle, ou qual % dos casos precisaria estar mal alocado, para reverter a conclusão. Quanto maior, mais robusto.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E-value (VanderWeele &amp; Ding, 2017): qual a magnitude mínima de uma variável omitida (como razão de risco) para anular o efeito observado. E-value ≥ 2 indica boa resistência.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Oster δ*: qual proporção da variação total dos controles observados seria necessária nos não-observados para anular o efeito. δ* negativo confirma robustez (variáveis omitidas teriam que atuar na direção contrária).</w:t>
      </w:r>
    </w:p>
    <w:p>
      <w:pPr>
        <w:spacing w:before="80" w:after="120"/>
        <w:jc w:val="left"/>
      </w:pPr>
      <w:r>
        <w:rPr>
          <w:rFonts w:ascii="Calibri" w:hAnsi="Calibri"/>
          <w:b/>
          <w:i w:val="0"/>
          <w:color w:val="1F3864"/>
          <w:sz w:val="22"/>
        </w:rPr>
        <w:t>Resultados: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Konfound HLM: M1=99,5%; M2=M3=98,8%; M4=98,5% — quase 100% dos casos precisariam ser mal alocados para reverter a conclusão de discriminação.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OLS subestima: gap OLS=43,8%–48,5% vs HLM=50,8%–53,0% (Δ=5,4–9,7 p.p.) — o viés de subestimação do OLS fica em torno de 9,7 p.p. em M1 e 5,4 p.p. em M4.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E-values GLMM lme4 (PEA completa): M1=2,331; M2=2,254 — variável omitida precisaria ter associação ≥2,3× com raça E com acesso a ocupações para eliminar o OR.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Oster δ*: M1=−0,48; M2=−0,43; M4=−0,39 — todos negativos, confirmando que variáveis omitidas teriam que atenuar (não amplificar) para anular o gap.</w:t>
      </w:r>
    </w:p>
    <w:p>
      <w:pPr>
        <w:spacing w:before="80" w:after="40"/>
      </w:pPr>
      <w:r>
        <w:rPr>
          <w:rFonts w:ascii="Calibri" w:hAnsi="Calibri"/>
          <w:b/>
          <w:i w:val="0"/>
          <w:color w:val="2E7D32"/>
          <w:sz w:val="22"/>
        </w:rPr>
        <w:t>▌ O que dizer se perguntarem sobre endogeneidade ou variáveis omitidas:</w:t>
      </w:r>
    </w:p>
    <w:p>
      <w:pPr>
        <w:spacing w:after="40"/>
        <w:ind w:left="454"/>
      </w:pPr>
      <w:r>
        <w:rPr>
          <w:rFonts w:ascii="Calibri" w:hAnsi="Calibri"/>
          <w:b w:val="0"/>
          <w:i w:val="0"/>
          <w:sz w:val="21"/>
        </w:rPr>
        <w:t>'Testei três frameworks de sensibilidade independentes. O pkonfound mostra que seria necessário reclassificar ~99% das observações para reverter a conclusão — impossível dado o N=7,7 milhões. O E-value ≥2,0 exige que uma variável omitida tenha associação dobrada com raça E com renda simultaneamente — sem candidato plausível. E o Oster δ* negativo significa que a seleção nas variáveis omitidas teria que ser na direção oposta à seleção observada. Os três convergem: o resultado é robusto.'</w:t>
      </w:r>
    </w:p>
    <w:p/>
    <w:p>
      <w:pPr>
        <w:pStyle w:val="Heading2"/>
      </w:pPr>
      <w:r>
        <w:rPr>
          <w:rFonts w:ascii="Calibri" w:hAnsi="Calibri"/>
          <w:color w:val="1F3864"/>
        </w:rPr>
        <w:t>Análises Complementares — Heckman, Tendência Temporal e Event Study COVID</w:t>
      </w:r>
    </w:p>
    <w:p>
      <w:pPr>
        <w:spacing w:before="80" w:after="120"/>
        <w:jc w:val="left"/>
      </w:pPr>
      <w:r>
        <w:rPr>
          <w:rFonts w:ascii="Calibri" w:hAnsi="Calibri"/>
          <w:b/>
          <w:i w:val="0"/>
          <w:color w:val="1F3864"/>
          <w:sz w:val="22"/>
        </w:rPr>
        <w:t>Correção de Seleção Amostral (Heckman):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Problema: analisamos apenas quem tem renda (PEA ocupada). A seleção para participar do mercado de trabalho pode ser endógena — se negros participam menos, o gap observado é subestimado.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Modelo de seleção (Probit 1ª etapa): educação, idade, número de filhos, presença de cônjuge → gera lambda de Mills (λ).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Resultado: λ=−1,985 (***) — seleção amostral significativa e negativa. Gap OLS=−9,71% → Gap Heckman=−7,41% (Δ=+2,3 p.p.): o gap bruto estava SUBESTIMADO; negros mais excluídos do mercado atenuavam o gap aparente.</w:t>
      </w:r>
    </w:p>
    <w:p>
      <w:pPr>
        <w:spacing w:before="80" w:after="120"/>
        <w:jc w:val="left"/>
      </w:pPr>
      <w:r>
        <w:rPr>
          <w:rFonts w:ascii="Calibri" w:hAnsi="Calibri"/>
          <w:b/>
          <w:i w:val="0"/>
          <w:color w:val="1F3864"/>
          <w:sz w:val="22"/>
        </w:rPr>
        <w:t>Tendência Temporal e Teste de Chow: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Gap anual estimado: a discriminação racial mantém-se estável ao longo do período (tendência linear δ=0,0008/ano, não significativa).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Teste de Chow (2020): F(2,6)=7,012; p=0,027 — quebra estrutural significativa em 2020 (pandemia). O gap racial NÃO teve convergência pré-COVID.</w:t>
      </w:r>
    </w:p>
    <w:p>
      <w:pPr>
        <w:spacing w:before="80" w:after="120"/>
        <w:jc w:val="left"/>
      </w:pPr>
      <w:r>
        <w:rPr>
          <w:rFonts w:ascii="Calibri" w:hAnsi="Calibri"/>
          <w:b/>
          <w:i w:val="0"/>
          <w:color w:val="1F3864"/>
          <w:sz w:val="22"/>
        </w:rPr>
        <w:t>Event Study COVID (DiD):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Tratamento: pós-2020 (COVID). Estimativa: τ=+0,015; SE=0,007; p=0,025.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Interpretação: τ=+0,015 indica **convergência aparente** de curto prazo — o gap reduziu-se 1,5 p.p. após 2020. Provável seleção de saída: negros de menor renda saíram do mercado formal, elevando a renda relativa dos que ficaram.</w:t>
      </w:r>
    </w:p>
    <w:p>
      <w:pPr>
        <w:spacing w:before="80" w:after="40"/>
      </w:pPr>
      <w:r>
        <w:rPr>
          <w:rFonts w:ascii="Calibri" w:hAnsi="Calibri"/>
          <w:b/>
          <w:i w:val="0"/>
          <w:color w:val="1F3864"/>
          <w:sz w:val="22"/>
        </w:rPr>
        <w:t>▌ O que dizer se perguntarem sobre essas análises:</w:t>
      </w:r>
    </w:p>
    <w:p>
      <w:pPr>
        <w:spacing w:after="40"/>
        <w:ind w:left="454"/>
      </w:pPr>
      <w:r>
        <w:rPr>
          <w:rFonts w:ascii="Calibri" w:hAnsi="Calibri"/>
          <w:b w:val="0"/>
          <w:i w:val="0"/>
          <w:sz w:val="21"/>
        </w:rPr>
        <w:t>'O Heckman resolve a crítica de que estamos vendo apenas os 'bem-sucedidos'. O resultado (λ negativo e gap que cresce com a correção) indica que a exclusão racial do mercado de trabalho é real e que os excluídos estariam em situação ainda pior.'</w:t>
      </w:r>
    </w:p>
    <w:p>
      <w:pPr>
        <w:spacing w:after="40"/>
        <w:ind w:left="454"/>
      </w:pPr>
      <w:r>
        <w:rPr>
          <w:rFonts w:ascii="Calibri" w:hAnsi="Calibri"/>
          <w:b w:val="0"/>
          <w:i w:val="0"/>
          <w:sz w:val="21"/>
        </w:rPr>
        <w:t>'O Chow mostra quebra estrutural em 2020. O DiD mostra convergência aparente de curto prazo (τ=+0.015): negros sofreram menos no diferencial salarial, mas provavelmente por seleção de saída — não por melhora real. O gap de longo prazo permanece estável.'</w:t>
      </w:r>
    </w:p>
    <w:p/>
    <w:p>
      <w:pPr>
        <w:pStyle w:val="Heading2"/>
      </w:pPr>
      <w:r>
        <w:rPr>
          <w:rFonts w:ascii="Calibri" w:hAnsi="Calibri"/>
          <w:color w:val="1F3864"/>
        </w:rPr>
        <w:t>Pesquisa Operacional — Priorização de Políticas (TOPSIS, AHP, LP)</w:t>
      </w:r>
    </w:p>
    <w:p>
      <w:pPr>
        <w:spacing w:before="80" w:after="120"/>
        <w:jc w:val="left"/>
      </w:pPr>
      <w:r>
        <w:rPr>
          <w:rFonts w:ascii="Calibri" w:hAnsi="Calibri"/>
          <w:b/>
          <w:i w:val="0"/>
          <w:color w:val="1F3864"/>
          <w:sz w:val="22"/>
        </w:rPr>
        <w:t>O que é e por que está na dissertação: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PO (Pesquisa Operacional) transforma o diagnóstico empírico em recomendações de política priorizadas objetivamente. Sem PO, a dissertação terminaria com 'há discriminação' — com PO, termina com 'e aqui está a política mais custo-eficaz para combatê-la, formalmente justificada'.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Métodos: TOPSIS (ranking multicritério), AHP (pesos dos critérios, CR=0,004 ← consistente), LP (Programação Linear com restrição orçamentária), Pareto frontier (eficiência custo × impacto).</w:t>
      </w:r>
    </w:p>
    <w:p>
      <w:pPr>
        <w:spacing w:before="80" w:after="120"/>
        <w:jc w:val="left"/>
      </w:pPr>
      <w:r>
        <w:rPr>
          <w:rFonts w:ascii="Calibri" w:hAnsi="Calibri"/>
          <w:b/>
          <w:i w:val="0"/>
          <w:color w:val="1F3864"/>
          <w:sz w:val="22"/>
        </w:rPr>
        <w:t>TOPSIS — Ranking de Políticas (critérios: impacto no gap, custo, viabilidade, prazo):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#1 Cotas em CBO 1–4 (P1): CC=0,834 — política mais próxima da 'solução ideal'. Ataca diretamente o mecanismo de exclusão de acesso a ocupações qualificadas que explica 84% do gap via dotações.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#2 Equidade Educacional (P2): CC=0,588 — segunda mais eficiente. Reduz o componente de dotações educacionais.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#3 Mentoria e Redes (P3): CC=0,396 — responde diretamente ao achado da SNA (betweenness=0 para negros = sem capital social estrutural).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#4 Transparência Salarial (P4): CC=0,342 — ataca os retornos diferenciais (16%).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PL-1 (Cotas CBO): projeta redução de 25,1% do gap bruto em simulações de LP.</w:t>
      </w:r>
    </w:p>
    <w:p>
      <w:pPr>
        <w:spacing w:before="80" w:after="120"/>
        <w:jc w:val="left"/>
      </w:pPr>
      <w:r>
        <w:rPr>
          <w:rFonts w:ascii="Calibri" w:hAnsi="Calibri"/>
          <w:b/>
          <w:i w:val="0"/>
          <w:color w:val="1F3864"/>
          <w:sz w:val="22"/>
        </w:rPr>
        <w:t>AHP — Consistência dos Pesos: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CR=0,004 (&lt; 0,10 = aceitável). A matriz de comparação por pares de critérios é consistente — os pesos refletem preferências racionais e transitivas.</w:t>
      </w:r>
    </w:p>
    <w:p>
      <w:pPr>
        <w:spacing w:before="80" w:after="40"/>
      </w:pPr>
      <w:r>
        <w:rPr>
          <w:rFonts w:ascii="Calibri" w:hAnsi="Calibri"/>
          <w:b/>
          <w:i w:val="0"/>
          <w:color w:val="FF8F00"/>
          <w:sz w:val="22"/>
        </w:rPr>
        <w:t>▌ O que dizer se perguntarem sobre PO:</w:t>
      </w:r>
    </w:p>
    <w:p>
      <w:pPr>
        <w:spacing w:after="40"/>
        <w:ind w:left="454"/>
      </w:pPr>
      <w:r>
        <w:rPr>
          <w:rFonts w:ascii="Calibri" w:hAnsi="Calibri"/>
          <w:b w:val="0"/>
          <w:i w:val="0"/>
          <w:sz w:val="21"/>
        </w:rPr>
        <w:t>'A PO não é um método avaliativo adicional — é a tradução dos resultados empíricos em ação. A decomposição OB mostra que 84% do gap é de dotações → isso informa os pesos do TOPSIS. A SNA mostra que betweenness=0 → isso entra no critério de viabilidade da política P3. Os métodos são encadeados: diagnóstico → priorização → simulação.'</w:t>
      </w:r>
    </w:p>
    <w:p>
      <w:pPr>
        <w:spacing w:after="40"/>
        <w:ind w:left="454"/>
      </w:pPr>
      <w:r>
        <w:rPr>
          <w:rFonts w:ascii="Calibri" w:hAnsi="Calibri"/>
          <w:b w:val="0"/>
          <w:i w:val="0"/>
          <w:sz w:val="21"/>
        </w:rPr>
        <w:t>'O TOPSIS é um método multi-critério MCDM clássico (Hwang &amp; Yoon, 1981). Ele ranqueia alternativas pela distância relativa à solução ideal e à pior solução. CR&lt;0,10 no AHP é o padrão de consistência de Saaty (1980) — garantia de que os pesos derivados da comparação por pares são internamente consistentes.'</w:t>
      </w:r>
    </w:p>
    <w:p/>
    <w:p>
      <w:pPr>
        <w:pStyle w:val="Heading2"/>
      </w:pPr>
      <w:r>
        <w:rPr>
          <w:rFonts w:ascii="Calibri" w:hAnsi="Calibri"/>
          <w:color w:val="1F3864"/>
        </w:rPr>
        <w:t>Pesquisa Operacional Regionalizada — Focalização Territorial (BLUP por UF)</w:t>
      </w:r>
    </w:p>
    <w:p>
      <w:pPr>
        <w:spacing w:before="80" w:after="120"/>
        <w:jc w:val="left"/>
      </w:pPr>
      <w:r>
        <w:rPr>
          <w:rFonts w:ascii="Calibri" w:hAnsi="Calibri"/>
          <w:b/>
          <w:i w:val="0"/>
          <w:color w:val="1F3864"/>
          <w:sz w:val="22"/>
        </w:rPr>
        <w:t>O que é e por que está na dissertação: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Extensão da PO que usa o achado do random slope (M3): a penalidade racial NÃO é homogênea entre estados (LRT p&lt;0,001). Em vez de tratar o gap como um número nacional, usa-se o BLUP do MixedLM como gap específico de cada uma das 27 UFs, e um programa linear aloca o orçamento priorizando os estados de maior penalidade.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Resultado central: focalizar o orçamento nas UFs mais críticas reduz o gap agregado 68,2% acima da alocação uniforme com orçamento intermediário (B=9 UFs) — e até 125,5% quando o orçamento é escasso (B=3). O ganho vem só da focalização (a efetividade da política é mantida constante entre estados).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Prioridades: DF, AM, TO, PA, AC (maior penalidade × maior população negra afetada). Amplitude: DF −20,9% → MG −1,4%. As maiores penalidades concentram-se no Distrito Federal e no Norte — estados mais ricos têm penalidade maior.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Decisão metodológica: a base oficial é o BLUP do modelo misto, NÃO a aproximação rápida por OLS estadual + shrinkage empirical Bayes. Os dois divergem (Spearman ρ=0,42), pois o BLUP mantém os coeficientes de controle agrupados nacionalmente enquanto o OLS estadual os libera — não são intercambiáveis.</w:t>
      </w:r>
    </w:p>
    <w:p>
      <w:pPr>
        <w:spacing w:before="80" w:after="40"/>
      </w:pPr>
      <w:r>
        <w:rPr>
          <w:rFonts w:ascii="Calibri" w:hAnsi="Calibri"/>
          <w:b/>
          <w:i w:val="0"/>
          <w:color w:val="FF8F00"/>
          <w:sz w:val="22"/>
        </w:rPr>
        <w:t>▌ O que dizer se perguntarem sobre a PO regionalizada:</w:t>
      </w:r>
    </w:p>
    <w:p>
      <w:pPr>
        <w:spacing w:after="40"/>
        <w:ind w:left="454"/>
      </w:pPr>
      <w:r>
        <w:rPr>
          <w:rFonts w:ascii="Calibri" w:hAnsi="Calibri"/>
          <w:b w:val="0"/>
          <w:i w:val="0"/>
          <w:sz w:val="21"/>
        </w:rPr>
        <w:t>'O random slope provou heterogeneidade geográfica; a PO regional traduz isso em prescrição: como o gap varia de ~−1% a ~−21% entre UFs, espalhar o orçamento por igual é subótimo. Concentrar nas UFs de maior penalidade entrega até dois terços a mais de redução com o mesmo recurso — argumento direto a favor de um desenho federativo diferenciado de política.'</w:t>
      </w:r>
    </w:p>
    <w:p>
      <w:pPr>
        <w:spacing w:after="40"/>
        <w:ind w:left="454"/>
      </w:pPr>
      <w:r>
        <w:rPr>
          <w:rFonts w:ascii="Calibri" w:hAnsi="Calibri"/>
          <w:b w:val="0"/>
          <w:i w:val="0"/>
          <w:sz w:val="21"/>
        </w:rPr>
        <w:t>'Usei os BLUPs (estimadores empíricos de Bayes do modelo misto), não OLS por estado. Mostrei formalmente que eles divergem (Spearman ≈0,42) porque o OLS estadual libera todos os coeficientes de controle, enquanto o modelo misto os mantém nacionais — o BLUP é a estimativa principiada e coerente com o random slope já reportado.'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320000" cy="4185476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pa_po_regional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41854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606060"/>
          <w:sz w:val="18"/>
        </w:rPr>
        <w:t>Mapa de calor — penalidade racial salarial por estado (mais escuro = maior desvantagem; ★ = estados prioritários para focalizar o orçamento).</w:t>
      </w:r>
    </w:p>
    <w:p>
      <w:pPr>
        <w:spacing w:before="120" w:after="120"/>
        <w:jc w:val="left"/>
      </w:pPr>
      <w:r>
        <w:rPr>
          <w:rFonts w:ascii="Calibri" w:hAnsi="Calibri"/>
          <w:b/>
          <w:i w:val="0"/>
          <w:color w:val="1F3864"/>
          <w:sz w:val="22"/>
        </w:rPr>
        <w:t>Random slope também no GLMM (acesso) — versão real (lme4), não proxy: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O random slope de negro foi estimado de verdade (lme4::glmer, população completa) nos três desfechos de acesso/teto. O LRT rejeita τ²=0 em todos (p&lt;0,001): a barreira de ACESSO varia entre estados, como o salário — os dois mecanismos da discriminação são geográficos.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Contraste a destacar: o gap salarial é MAIOR nos estados ricos (ρ=−0,37), mas a barreira de acesso a cargos qualificados é MENOR neles (ρ=0,64) — acesso mais fácil onde há mais empregos qualificados, porém gap salarial maior uma vez dentro.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Setor: o concurso público NÃO dissolve a barreira de acesso (OR público=0,705 ≈ privado=0,695) nem a homogeneíza entre UFs — refina 'o Estado ajuda, mas não resolve'.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Contraste SALÁRIO × ACESSO (HLM por setor): no salário o público ATENUA o gap racial (7,8% vs 11,2% privado) e o homogeneíza entre UFs; no acesso, não. Frase de defesa: 'o concurso equaliza o pagamento de quem entra, não a entrada'.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Nível de gênero (HLM): o gap de gênero também varia entre estados (LRT p&lt;0,001), com dispersão MAIOR que o racial (DP 0,064 vs 0,050); ρ negativo (−0,46) — onde a penalidade racial é maior, a de gênero tende a ser menor.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Gênero no GLMM (acesso): mulheres têm MAIS acesso a ocupações qualificadas (OR=2,01&gt;1, profissões feminizadas), mas MUITO MENOS ao topo da renda (OR top10=0,522). Frase: 'o teto de vidro de gênero é de REMUNERAÇÃO, não de categoria' — e varia mais entre estados que o racial no topo (~10×).</w:t>
      </w:r>
    </w:p>
    <w:p/>
    <w:p>
      <w:r>
        <w:br w:type="page"/>
      </w:r>
    </w:p>
    <w:p>
      <w:pPr>
        <w:pStyle w:val="Heading1"/>
      </w:pPr>
      <w:r>
        <w:rPr>
          <w:rFonts w:ascii="Calibri" w:hAnsi="Calibri"/>
          <w:color w:val="1F3864"/>
        </w:rPr>
        <w:t>PARTE 3 — EQUAÇÕES PARA MEMORIZAR NA DEFESA</w:t>
      </w:r>
    </w:p>
    <w:p>
      <w:pPr>
        <w:spacing w:before="0" w:after="200"/>
        <w:jc w:val="left"/>
      </w:pPr>
      <w:r>
        <w:rPr>
          <w:rFonts w:ascii="Calibri" w:hAnsi="Calibri"/>
          <w:b w:val="0"/>
          <w:i w:val="0"/>
          <w:sz w:val="22"/>
        </w:rPr>
        <w:t>Não é necessário decorar todas as equações — mas saber nomear e descrever cada componente dos 3 principais modelos demonstra domínio metodológico.</w:t>
      </w:r>
    </w:p>
    <w:p>
      <w:pPr>
        <w:pStyle w:val="Heading2"/>
      </w:pPr>
      <w:r>
        <w:rPr>
          <w:rFonts w:ascii="Calibri" w:hAnsi="Calibri"/>
          <w:color w:val="1F3864"/>
        </w:rPr>
        <w:t>3.1  Modelo HLM M4 (equação de dois níveis simplificada)</w:t>
      </w:r>
    </w:p>
    <w:p>
      <w:pPr>
        <w:spacing w:before="120" w:after="120"/>
        <w:jc w:val="left"/>
      </w:pPr>
      <w:r>
        <w:rPr>
          <w:rFonts w:ascii="Calibri" w:hAnsi="Calibri"/>
          <w:b/>
          <w:i w:val="0"/>
          <w:sz w:val="22"/>
        </w:rPr>
        <w:t>Nível 1 (indivíduo i na UPA j):</w:t>
      </w:r>
    </w:p>
    <w:p>
      <w:pPr>
        <w:spacing w:before="0" w:after="120"/>
        <w:jc w:val="left"/>
      </w:pPr>
      <w:r>
        <w:rPr>
          <w:rFonts w:ascii="Calibri" w:hAnsi="Calibri"/>
          <w:b w:val="0"/>
          <w:i/>
          <w:color w:val="222222"/>
          <w:sz w:val="21"/>
        </w:rPr>
        <w:t>log(renda_ij) = β₀j + β₁(negro_i) + β₂(sexo_fem_i) + β₃(horas_c_i) + β₄(emprego_formal_i) + β₅(edu_anos_i) + β₆(idade_c_i) + β₇(ocp_grupo_cbo_i) + ε_ij</w:t>
      </w:r>
    </w:p>
    <w:p>
      <w:pPr>
        <w:spacing w:before="120" w:after="120"/>
        <w:jc w:val="left"/>
      </w:pPr>
      <w:r>
        <w:rPr>
          <w:rFonts w:ascii="Calibri" w:hAnsi="Calibri"/>
          <w:b/>
          <w:i w:val="0"/>
          <w:sz w:val="22"/>
        </w:rPr>
        <w:t>Nível 2 (UPA j dentro de UF k):</w:t>
      </w:r>
    </w:p>
    <w:p>
      <w:pPr>
        <w:spacing w:before="0" w:after="120"/>
        <w:jc w:val="left"/>
      </w:pPr>
      <w:r>
        <w:rPr>
          <w:rFonts w:ascii="Calibri" w:hAnsi="Calibri"/>
          <w:b w:val="0"/>
          <w:i/>
          <w:color w:val="222222"/>
          <w:sz w:val="21"/>
        </w:rPr>
        <w:t>β₀j = γ₀₀ + γ₀₁(renda_media_upa_j) + γ₀₂(edu_media_upa_j) + u₀j</w:t>
      </w:r>
    </w:p>
    <w:p>
      <w:pPr>
        <w:spacing w:before="0" w:after="120"/>
        <w:jc w:val="left"/>
      </w:pPr>
      <w:r>
        <w:rPr>
          <w:rFonts w:ascii="Calibri" w:hAnsi="Calibri"/>
          <w:b w:val="0"/>
          <w:i/>
          <w:color w:val="666666"/>
          <w:sz w:val="21"/>
        </w:rPr>
        <w:t>Onde u₀j ~ N(0, τ₀₀) é o efeito aleatório da UPA — fonte do ICC.</w:t>
      </w:r>
    </w:p>
    <w:p>
      <w:pPr>
        <w:spacing w:before="120" w:after="120"/>
        <w:jc w:val="left"/>
      </w:pPr>
      <w:r>
        <w:rPr>
          <w:rFonts w:ascii="Calibri" w:hAnsi="Calibri"/>
          <w:b w:val="0"/>
          <w:i w:val="0"/>
          <w:sz w:val="22"/>
        </w:rPr>
        <w:t>O interesse é em β₁: o gap racial líquido após todos os controles. Em M4, β₁ ≈ −0,0644 (−6,2%). O sinal negativo confirma que negros ganham menos, tudo o mais constante.</w:t>
      </w:r>
    </w:p>
    <w:p>
      <w:pPr>
        <w:pStyle w:val="Heading2"/>
      </w:pPr>
      <w:r>
        <w:rPr>
          <w:rFonts w:ascii="Calibri" w:hAnsi="Calibri"/>
          <w:color w:val="1F3864"/>
        </w:rPr>
        <w:t>3.2  Decomposição de Oaxaca-Blinder (two-fold)</w:t>
      </w:r>
    </w:p>
    <w:p>
      <w:pPr>
        <w:spacing w:before="0" w:after="120"/>
        <w:jc w:val="left"/>
      </w:pPr>
      <w:r>
        <w:rPr>
          <w:rFonts w:ascii="Calibri" w:hAnsi="Calibri"/>
          <w:b/>
          <w:i/>
          <w:color w:val="1565C0"/>
          <w:sz w:val="24"/>
        </w:rPr>
        <w:t>Ȳ_B − Ȳ_N  =  (X̄_B − X̄_N)·β_B  +  X̄_N·(β_B − β_N)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Ȳ_B e Ȳ_N: renda média de brancos e negros (em log).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X̄_B − X̄_N: diferença nas características médias (dotações).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β_B: vetor de retornos estimado para brancos (grupo de referência).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β_B − β_N: diferença nos retornos às mesmas características (discriminação de remuneração).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84% do gap vem do primeiro termo (dotações); 16% do segundo (retornos).</w:t>
      </w:r>
    </w:p>
    <w:p>
      <w:pPr>
        <w:pStyle w:val="Heading2"/>
      </w:pPr>
      <w:r>
        <w:rPr>
          <w:rFonts w:ascii="Calibri" w:hAnsi="Calibri"/>
          <w:color w:val="1F3864"/>
        </w:rPr>
        <w:t>3.3  GLMM — Modelo Linear Generalizado Misto (lme4::glmer)</w:t>
      </w:r>
    </w:p>
    <w:p>
      <w:pPr>
        <w:spacing w:before="0" w:after="120"/>
        <w:jc w:val="left"/>
      </w:pPr>
      <w:r>
        <w:rPr>
          <w:rFonts w:ascii="Calibri" w:hAnsi="Calibri"/>
          <w:b/>
          <w:i/>
          <w:color w:val="FF8F00"/>
          <w:sz w:val="24"/>
        </w:rPr>
        <w:t>P(ocp_qualif_ij = 1) = Λ(β₀j + β₁·negro_i + X_i·γ + u₀j)</w:t>
      </w:r>
    </w:p>
    <w:p>
      <w:pPr>
        <w:spacing w:before="0" w:after="120"/>
        <w:jc w:val="left"/>
      </w:pPr>
      <w:r>
        <w:rPr>
          <w:rFonts w:ascii="Calibri" w:hAnsi="Calibri"/>
          <w:b w:val="0"/>
          <w:i/>
          <w:color w:val="444444"/>
          <w:sz w:val="22"/>
        </w:rPr>
        <w:t>β₀j = γ₀₀ + u₀j,  u₀j ~ N(0, σ²ᵤ)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Λ(·): função logística — transforma o preditor linear em probabilidade [0,1].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β₁ (negro): log-odds de negro vs branco. OR M1=0,674 (sem contexto); OR M2=0,691 (com efeito aleatório de UPA). N=7.694.198 (PEA completa).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u₀j: efeito aleatório de UPA j — capta a heterogeneidade entre bairros. ICC M1=22,2% | ICC M2=10,8%.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Implementação: lme4::glmer (Python equivalente via statsmodels/pymer4), nAGQ=0 (aproximação de Laplace) para viabilidade computacional, otimizador bobyqa.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AME M1=−5,16 p.p. | AME M2=−4,84 p.p.: interpretados como diferença de probabilidade de ocupação qualificada atribuída à raça, todas as demais características iguais.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Termos de interação (Tabela 4): negro×sexo_fem β=+0.0416 (***); negro×experiência β=−0.0019 (***); negro×educ_alto/med ns.</w:t>
      </w:r>
    </w:p>
    <w:p>
      <w:pPr>
        <w:spacing w:before="120" w:after="120"/>
      </w:pPr>
      <w:r>
        <w:rPr>
          <w:color w:val="BBBBBB"/>
          <w:sz w:val="16"/>
        </w:rPr>
        <w:t>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spacing w:before="200" w:after="120"/>
        <w:jc w:val="center"/>
      </w:pPr>
      <w:r>
        <w:rPr>
          <w:rFonts w:ascii="Calibri" w:hAnsi="Calibri"/>
          <w:b/>
          <w:i/>
          <w:color w:val="1F3864"/>
          <w:sz w:val="26"/>
        </w:rPr>
        <w:t>Boa defesa, Ricardo.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