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(LR=2.403), y_top20 (LR=322) e y_top10 (LR=502), todos p&lt;0,001: a barreira de ACESSO também varia geograficamente, completando a simetria com a penalidade salarial (HLM). A heterogeneidade é maior no acesso a ocupações qualificadas (τ²=0,0112, DP=0,106 log-odds) e o gradiente de teto de vidro se mantém no efeito fixo (OR cai de 0,705 para 0,660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(ρ=0,64)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privado=0,695) e igualmente heterogênea entre UFs (τ²=0,0114 vs 0,0107):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7,8% no público vs 11,2% no privado — e a HOMOGENEÍZA entre estados (τ²=0,00140 vs 0,00218).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(LR=15.775, p&lt;0,001), com dispersão MAIOR que a racial (DP gênero=0,064 vs raça=0,050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(OR=2,01&gt;1, por profissões credenciadas feminizadas), mas MUITO MENOS acesso ao topo da renda (OR top20=0,567; top10=0,522). O teto de vidro de gênero é de REMUNERAÇÃO, não de categoria ocupacional — e sua heterogeneidade entre UFs supera a racial no topo (τ²=0,0324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7200"/>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187200"/>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