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Racismo estrutural no mercado de trabalho brasileiro: uma abordagem multinível</w:t>
      </w:r>
      <w:r>
        <w:rPr>
          <w:rFonts w:ascii="Arial" w:hAnsi="Arial"/>
          <w:b/>
          <w:bCs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e de decomposição salarial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Ricardo Gomes Calheiros</w:t>
      </w:r>
      <w:r>
        <w:rPr>
          <w:rFonts w:ascii="Arial" w:hAnsi="Arial"/>
          <w:sz w:val="22"/>
          <w:vertAlign w:val="superscript"/>
        </w:rPr>
        <w:t xml:space="preserve">1*</w:t>
      </w:r>
      <w:r>
        <w:rPr>
          <w:rFonts w:ascii="Arial" w:hAnsi="Arial"/>
          <w:sz w:val="22"/>
        </w:rPr>
        <w:t xml:space="preserve">; Edilson José Rodrigues</w:t>
      </w:r>
      <w:r>
        <w:rPr>
          <w:rFonts w:ascii="Arial" w:hAnsi="Arial"/>
          <w:sz w:val="22"/>
          <w:vertAlign w:val="superscript"/>
        </w:rPr>
        <w:t xml:space="preserve">2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sz w:val="22"/>
          <w:vertAlign w:val="superscript"/>
        </w:rPr>
        <w:t xml:space="preserve">1*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Especialista em Finanças, Controladoria e Auditoria.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E-mail autor correspondente: rickinrj@gmail.com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sz w:val="22"/>
          <w:vertAlign w:val="superscript"/>
        </w:rPr>
        <w:t xml:space="preserve">2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Doutor em Engenharia Elétrica. MBA USP/Esalq.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E-mail: orientador@usp.br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Racismo estrutural no mercado de trabalho brasileiro: uma abordagem multinível</w:t>
      </w:r>
      <w:r>
        <w:rPr>
          <w:rFonts w:ascii="Arial" w:hAnsi="Arial"/>
          <w:b/>
          <w:bCs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e de decomposição salarial</w:t>
      </w:r>
    </w:p>
    <w:p>
      <w:pPr>
        <w:pStyle w:val="BodyText"/>
        <w:spacing w:line="240" w:lineRule="auto" w:before="240" w:after="120"/>
        <w:ind w:firstLine="0"/>
        <w:jc w:val="left"/>
      </w:pPr>
      <w:r>
        <w:rPr>
          <w:rFonts w:ascii="Arial" w:hAnsi="Arial"/>
          <w:b/>
          <w:bCs/>
          <w:sz w:val="22"/>
        </w:rPr>
        <w:t xml:space="preserve">Resumo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Este trabalho investigou o diferencial racial de rendimentos e as barreiras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acesso ocupacional no Brasil com a série completa da Pesquisa Nacional por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Amostra de Domicílios Contínua, de 2016 a 2025, sobre 7.694.198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observações da população ocupada com rendimento positivo em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40.969 setores de amostragem. Quatro métodos foram aplicados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forma articulada: modelo linear hierárquico de dois níveis, com indivíduos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aninhados em bairros e efeitos fixos de estado; decomposição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Oaxaca–Blinder; regressão quantílica com decomposição por função de influência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recentrada; e modelo logístico multinível de acesso, estimado por máxima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verossimilhança. Um modelo de aprendizado de máquina interpretável serviu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contraprova à forma funcional. O gap agregado foi de 19,1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quais 47,0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 diferencial que sobreviveu ao controle de capital humano, contexto e estado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foi de 10,2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ocupação. A decomposição atribuiu 28,4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diferenciais. O modelo de acesso estimou razão de chances de 0,699 para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cargo qualificado e 0,654 para o décimo superior da renda, indicando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barreira que se agrava no topo. A desvantagem da mulher negra excedeu em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4,6 pontos percentuais a soma das penalidades de raça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 de gênero isoladas. Concluiu-se que a discriminação operou sobretudo no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acesso à ocupação, e não apenas no salário, de modo que políticas centradas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apenas em escolaridade se mostraram insuficientes.</w:t>
      </w:r>
    </w:p>
    <w:p>
      <w:pPr>
        <w:pStyle w:val="BodyText"/>
        <w:spacing w:line="240" w:lineRule="auto" w:before="240" w:after="120"/>
        <w:ind w:firstLine="0"/>
        <w:jc w:val="left"/>
      </w:pPr>
      <w:r>
        <w:rPr>
          <w:rFonts w:ascii="Arial" w:hAnsi="Arial"/>
          <w:b/>
          <w:bCs/>
          <w:sz w:val="22"/>
        </w:rPr>
        <w:t xml:space="preserve">Palavras-chave</w:t>
      </w:r>
      <w:r>
        <w:rPr>
          <w:rFonts w:ascii="Arial" w:hAnsi="Arial"/>
          <w:sz w:val="22"/>
        </w:rPr>
        <w:t xml:space="preserve">: diferencial racial de rendimentos;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segregação residencial; teto de vidro; decomposição de Oaxaca–Blinder;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interseccionalidade.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Structural racism in the Brazilian labour market: a multilevel and</w:t>
      </w:r>
      <w:r>
        <w:rPr>
          <w:rFonts w:ascii="Arial" w:hAnsi="Arial"/>
          <w:b/>
          <w:bCs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wage-decomposition approach</w:t>
      </w:r>
    </w:p>
    <w:p>
      <w:pPr>
        <w:pStyle w:val="BodyText"/>
        <w:spacing w:line="240" w:lineRule="auto" w:before="240" w:after="120"/>
        <w:ind w:firstLine="0"/>
        <w:jc w:val="left"/>
      </w:pPr>
      <w:r>
        <w:rPr>
          <w:rFonts w:ascii="Arial" w:hAnsi="Arial"/>
          <w:b/>
          <w:bCs/>
          <w:sz w:val="22"/>
        </w:rPr>
        <w:t xml:space="preserve">Abstract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This study examined the racial earnings differential and occupational access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barriers in Brazil using the complete series of the Brazilian Continuous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National Household Sample Survey, from 2016 to 2025, covering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7.694.198 observations of employed workers with positive earnings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 40.969 sampling units. Four methods were jointly applied: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two-level hierarchical linear model, with individuals nested in neighbourhoods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and state fixed effects; an Oaxaca–Blinder decomposition; quantile regression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with recentred influence function decomposition; and a multilevel logistic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model of occupational access, estimated by maximum likelihood. An interpretable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machine learning model served as a functional-form check. The aggregate gap was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19,1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neighbourhood of residence; the differential surviving controls for human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capital, context and state was 10,2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persisted within the same occupation. The decomposition attributed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28,4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estimated odds ratios of 0,699 for qualified occupations and 0,654 for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the top income decile, indicating a barrier that tightens towards the top. The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disadvantage faced by Black women exceeded the sum of the separate race and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gender penalties by 4,6 percentage points. It was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concluded that discrimination operated mainly in access to occupations, not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only in wages, so that policies centred solely on schooling proved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insufficient.</w:t>
      </w:r>
    </w:p>
    <w:p>
      <w:pPr>
        <w:pStyle w:val="BodyText"/>
        <w:spacing w:line="240" w:lineRule="auto" w:before="240" w:after="120"/>
        <w:ind w:firstLine="0"/>
        <w:jc w:val="left"/>
      </w:pPr>
      <w:r>
        <w:rPr>
          <w:rFonts w:ascii="Arial" w:hAnsi="Arial"/>
          <w:b/>
          <w:bCs/>
          <w:sz w:val="22"/>
        </w:rPr>
        <w:t xml:space="preserve">Keywords</w:t>
      </w:r>
      <w:r>
        <w:rPr>
          <w:rFonts w:ascii="Arial" w:hAnsi="Arial"/>
          <w:sz w:val="22"/>
        </w:rPr>
        <w:t xml:space="preserve">: racial earnings gap; residential segregation; glass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ceiling; Oaxaca–Blinder decomposition; intersectionality.</w:t>
      </w:r>
    </w:p>
    <w:bookmarkStart w:id="22" w:name="introdução"/>
    <w:p>
      <w:pPr>
        <w:pStyle w:val="Heading1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Introdução</w:t>
      </w:r>
    </w:p>
    <w:p>
      <w:pPr>
        <w:pStyle w:val="FirstParagraph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O Brasil é um dos países com maior desigualdade racial de renda no mundo, e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razão entre o rendimento médio de trabalhadores brancos e negros permanece acima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 1</w:t>
      </w:r>
      <w:r>
        <w:rPr>
          <w:rFonts w:ascii="Arial" w:hAnsi="Arial"/>
          <w:sz w:val="22"/>
        </w:rPr>
        <w:t xml:space="preserve">:</w:t>
      </w:r>
      <w:r>
        <w:rPr>
          <w:rFonts w:ascii="Arial" w:hAnsi="Arial"/>
          <w:sz w:val="22"/>
        </w:rPr>
        <w:t xml:space="preserve">1,5 em toda a série histórica disponível, mesmo quando se controlam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escolaridade, experiência e setor de atividade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(IBGE, 2023)</w:t>
      </w:r>
      <w:r>
        <w:rPr>
          <w:rFonts w:ascii="Arial" w:hAnsi="Arial"/>
          <w:sz w:val="22"/>
        </w:rPr>
        <w:t xml:space="preserve">.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explicação usual atribui esse hiato a diferenças de qualificação; se ela fosse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suficiente, a expansão do acesso ao ensino teria dissolvido o diferencial ao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longo das últimas décadas, o que não ocorreu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(Hasenbalg, 1979)</w:t>
      </w:r>
      <w:r>
        <w:rPr>
          <w:rFonts w:ascii="Arial" w:hAnsi="Arial"/>
          <w:sz w:val="22"/>
        </w:rPr>
        <w:t xml:space="preserve">. O quadro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recente reforça o ponto: a Pesquisa de Orçamentos Familiares [POF] registrou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queda de cerca de 30% no Índice de Perda de Qualidade de Vida entre 2008 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2018, sem fechar o hiato racial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(IBGE, 2019)</w:t>
      </w:r>
      <w:r>
        <w:rPr>
          <w:rFonts w:ascii="Arial" w:hAnsi="Arial"/>
          <w:sz w:val="22"/>
        </w:rPr>
        <w:t xml:space="preserve">, enquanto o índice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Gini do rendimento domiciliar per capita voltou a subir em 2025, puxado pelo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topo da distribuição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(IBGE, 2025)</w:t>
      </w:r>
      <w:r>
        <w:rPr>
          <w:rFonts w:ascii="Arial" w:hAnsi="Arial"/>
          <w:sz w:val="22"/>
        </w:rPr>
        <w:t xml:space="preserve">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A teoria econômica oferece duas explicações concorrentes para um diferencial que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sobrevive ao controle da produtividade observável, e elas implicam políticas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distintas.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Becker (1957)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propôs a discriminação por preferência, em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que o empregador incorre em desutilidade ao contratar o grupo minoritário e, por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isso, só o faz a salário menor; nesse modelo, a concorrência tende a erodir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prática.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Arrow (1973)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formalizou a discriminação estatística, em que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 raça é usada como sinal da produtividade média do grupo sob informação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imperfeita; aqui o equilíbrio se autoconfirma, porque o menor retorno esperado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desestimula o investimento em qualificação. A tradição brasileira acrescenta uma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terceira leitura, na qual o racismo é processo estrutural reproduzido pelas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instituições independentemente da intenção dos agentes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(Almeida, 2019)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—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leitura que justifica tratar a segregação residencial e a segregação ocupacional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como mecanismos, e não como controles estatísticos.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A literatura empírica identifica três canais de reprodução dessa desigualdade: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discriminação direta em processos de seleção e promoção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(Pager, 2007)</w:t>
      </w:r>
      <w:r>
        <w:rPr>
          <w:rFonts w:ascii="Arial" w:hAnsi="Arial"/>
          <w:sz w:val="22"/>
        </w:rPr>
        <w:t xml:space="preserve">; 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efeitos de vizinhança, pelos quais a concentração de pobreza em bairros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segregados reduz as redes de contato com o mercado formal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(Marques, 2010; Sampson; Raudenbush; Earls, 1997; Wilson, 1987)</w:t>
      </w:r>
      <w:r>
        <w:rPr>
          <w:rFonts w:ascii="Arial" w:hAnsi="Arial"/>
          <w:sz w:val="22"/>
        </w:rPr>
        <w:t xml:space="preserve">; e a subvalorização do capital humano negro, pela qual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um mesmo nível de escolaridade rende menos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(Henriques, 2001; Soares, 2009)</w:t>
      </w:r>
      <w:r>
        <w:rPr>
          <w:rFonts w:ascii="Arial" w:hAnsi="Arial"/>
          <w:sz w:val="22"/>
        </w:rPr>
        <w:t xml:space="preserve">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Tratados isoladamente, esses mecanismos têm sido difíceis de quantificar de forma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integrada e em escala nacional, e é essa lacuna que o presente trabalho enfrenta.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Três hipóteses orientaram a investigação. A primeira supôs que parte relevante do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diferencial racial de rendimentos é mediada pelo contexto do bairro de moradia, 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não apenas por atributos individuais. A segunda supôs que a penalidade racial não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é uniforme ao longo da distribuição de renda, mas se agrava no topo, configurando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teto de vidro. A terceira supôs que a barreira opera antes do salário, no acesso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às ocupações qualificadas, de modo que trabalhadores negros com o mesmo perfil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observável enfrentam menor probabilidade de nelas ingressar.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O objetivo deste trabalho foi identificar, isolar e quantificar os mecanismos 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desigualdade racial de rendimentos e de acesso ocupacional no Brasil,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distinguindo a parcela atribuível a diferenças de características da parcela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atribuível a retornos diferenciais, e traduzindo o diagnóstico em implicações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política focadas no acesso a ocupações qualificadas.</w:t>
      </w:r>
    </w:p>
    <w:bookmarkEnd w:id="22"/>
    <w:bookmarkStart w:id="32" w:name="Xc75abeba06f5f79ea98bda2c7af6242a0f43a5f"/>
    <w:p>
      <w:pPr>
        <w:pStyle w:val="Heading1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Implementação de Algoritmo(s) de Machine Learning</w:t>
      </w:r>
    </w:p>
    <w:bookmarkStart w:id="24" w:name="base-de-dados-pnad-contínua-20162025"/>
    <w:p>
      <w:pPr>
        <w:pStyle w:val="Ttulo2"/>
        <w:spacing w:line="240" w:lineRule="auto" w:before="240" w:after="120"/>
        <w:ind w:firstLine="0"/>
        <w:jc w:val="left"/>
      </w:pPr>
      <w:r>
        <w:rPr>
          <w:rFonts w:ascii="Arial" w:hAnsi="Arial"/>
          <w:sz w:val="22"/>
        </w:rPr>
        <w:t xml:space="preserve">Base de dados: PNAD Contínua (2016–2025)</w:t>
      </w:r>
    </w:p>
    <w:p>
      <w:pPr>
        <w:pStyle w:val="FirstParagraph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A PNAD Contínua é uma pesquisa amostral de domicílios conduzida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trimestralmente pelo IBGE, com cobertura nacional e metodologia de painel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rotativo. O microdado contém informações sobre características demográficas,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escolaridade, inserção no mercado de trabalho e rendimentos para todos 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moradores dos domicílios selecionados. Para este trabalho, foram processados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todos os 40 trimestres disponíveis de 2016T1 a 2025T4, totalizando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15.941.675 observações brutas, das quais 7.694.198 possuem renda positiva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declarada e completude nas variáveis do modelo.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A classificação racial segue o critério binário adotado pelos estudos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 desigualdade racial no Brasil: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negro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= preto (código 2) +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pardo (código 4);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branco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= branco (código 1), ambos da variável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V2010 (cor ou raça autodeclarada).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De que é feita a comparação: balanceamento e suporte comum.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Antes de qualquer controle, convém olhar em que brancos e negros diferem — é o que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mostra a Tabela 1. O maior desequilíbrio não está em escolaridade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nem em horas: está em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onde se mora</w:t>
      </w:r>
      <w:r>
        <w:rPr>
          <w:rFonts w:ascii="Arial" w:hAnsi="Arial"/>
          <w:sz w:val="22"/>
        </w:rPr>
        <w:t xml:space="preserve">. A composição racial do bairro tem diferença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padronizada de −1,18 desvios — uma ordem de grandeza acima de qualquer variável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individual —, seguida do desemprego local (−0,46) e da educação média do entorno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(−0,30). É esse desequilíbrio que o nível 2 do modelo hierárquico absorve. As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dummies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 escolaridade, por sua vez, são condicionais ao registro da variável,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cuja cobertura difere entre os grupos (73,7% contra 65,3% de não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registro); por isso o indicador</w:t>
      </w:r>
      <w:r>
        <w:rPr>
          <w:rFonts w:ascii="Arial" w:hAnsi="Arial"/>
          <w:sz w:val="22"/>
        </w:rPr>
        <w:t xml:space="preserve"> </w:t>
      </w:r>
      <w:r>
        <w:rPr>
          <w:rStyle w:val="VerbatimChar"/>
          <w:rFonts w:ascii="Arial" w:hAnsi="Arial"/>
          <w:sz w:val="22"/>
        </w:rPr>
        <w:t xml:space="preserve">educ_missing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entra em todos os modelos e 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retornos educacionais são lidos com a cautela registrada nas limitações.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 suporte comum é amplo: 97,3% das UPAs abrigam trabalhadores dos dois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grupos e todas as células UF </w:t>
      </w:r>
      <m:oMath>
        <m:r>
          <m:rPr>
            <m:sty m:val="p"/>
          </m:rPr>
          <m:t>×</m:t>
        </m:r>
      </m:oMath>
      <w:r>
        <w:rPr>
          <w:rFonts w:ascii="Arial" w:hAnsi="Arial"/>
          <w:sz w:val="22"/>
        </w:rPr>
        <w:t xml:space="preserve"> escolaridade contêm brancos e negros, de modo que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comparação não depende de extrapolação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(Angrist; Pischke, 2009)</w:t>
      </w:r>
      <w:r>
        <w:rPr>
          <w:rFonts w:ascii="Arial" w:hAnsi="Arial"/>
          <w:sz w:val="22"/>
        </w:rPr>
        <w:t xml:space="preserve">.</w:t>
      </w:r>
    </w:p>
    <w:bookmarkStart w:id="23" w:name="tab:balanceamento"/>
    <w:p>
      <w:pPr>
        <w:pStyle w:val="TableCaption"/>
        <w:spacing w:line="240" w:lineRule="auto" w:before="240" w:after="40"/>
        <w:ind w:firstLine="0"/>
        <w:jc w:val="both"/>
      </w:pPr>
      <w:r>
        <w:rPr>
          <w:rFonts w:ascii="Arial" w:hAnsi="Arial"/>
          <w:sz w:val="22"/>
        </w:rPr>
        <w:t xml:space="preserve">Tabela 1. Balanceamento entre trabalhadores brancos e negros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i/>
          <w:iCs/>
          <w:sz w:val="22"/>
        </w:rPr>
        <w:t xml:space="preserve">antes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 qualquer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controle — a tabela que mostra de que é feita a comparação (Angrist &amp; Pischke, cap. 3).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Diferença padronizada:</w:t>
      </w:r>
      <w:r>
        <w:rPr>
          <w:rFonts w:ascii="Arial" w:hAnsi="Arial"/>
          <w:sz w:val="22"/>
        </w:rP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b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sSubSup>
              <m:e>
                <m:r>
                  <m:t>s</m:t>
                </m:r>
              </m:e>
              <m:sub>
                <m:r>
                  <m:t>b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s</m:t>
                </m:r>
              </m:e>
              <m:sub>
                <m:r>
                  <m:t>n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</m:e>
        </m:rad>
      </m:oMath>
      <w:r>
        <w:rPr>
          <w:rFonts w:ascii="Arial" w:hAnsi="Arial"/>
          <w:sz w:val="22"/>
        </w:rPr>
        <w:t xml:space="preserve">; valores acima de</w:t>
      </w:r>
      <w:r>
        <w:rPr>
          <w:rFonts w:ascii="Arial" w:hAnsi="Arial"/>
          <w:sz w:val="22"/>
        </w:rPr>
        <w:t xml:space="preserve"> </w:t>
      </w:r>
      <m:oMath>
        <m:r>
          <m:t>0</m:t>
        </m:r>
        <m:r>
          <m:rPr>
            <m:sty m:val="p"/>
          </m:rPr>
          <m:t>,</m:t>
        </m:r>
        <m:r>
          <m:t>10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em módulo indicam desequilíbrio relevante. População completa da PEA com renda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positiva (</w:t>
      </w:r>
      <m:oMath>
        <m:r>
          <m:t>N</m:t>
        </m:r>
        <m:r>
          <m:rPr>
            <m:sty m:val="p"/>
          </m:rPr>
          <m:t>=</m:t>
        </m:r>
        <m:r>
          <m:t>7.694</m:t>
        </m:r>
        <m:r>
          <m:t>.198</m:t>
        </m:r>
      </m:oMath>
      <w:r>
        <w:rPr>
          <w:rFonts w:ascii="Arial" w:hAnsi="Arial"/>
          <w:sz w:val="22"/>
        </w:rPr>
        <w:t xml:space="preserve">; 3.259.516 brancos e 4.434.682 negros).</w:t>
      </w:r>
    </w:p>
    <w:tbl>
      <w:tblPr>
        <w:tblStyle w:val="Table"/>
        <w:tblW w:type="auto" w:w="0"/>
        <w:tblLayout w:type="fixed"/>
        <w:tblLook w:firstRow="1" w:lastRow="0" w:firstColumn="0" w:lastColumn="0" w:noHBand="0" w:noVBand="0" w:val="0020"/>
        <w:tblCaption w:val="Tabela 1. Balanceamento entre trabalhadores brancos e negros antes de qualquer controle — a tabela que mostra de que é feita a comparação (Angrist &amp; Pischke, cap. 3). Diferença padronizada: d = (\bar x_b - \bar x_n)/\sqrt{(s_b^2+s_n^2)/2}; valores acima de 0{,}10 em módulo indicam desequilíbrio relevante. População completa da PEA com renda positiva (N = 7.694.198; 3.259.516 brancos e 4.434.682 negros).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089"/>
        <w:gridCol w:w="1359"/>
        <w:gridCol w:w="1132"/>
        <w:gridCol w:w="1359"/>
        <w:gridCol w:w="1132"/>
      </w:tblGrid>
      <w:tr>
        <w:trPr>
          <w:tblHeader w:val="on"/>
        </w:trPr>
        <w:tc>
          <w:tcPr>
            <w:tcW w:type="dxa" w:w="4089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Variável</w:t>
            </w:r>
          </w:p>
        </w:tc>
        <w:tc>
          <w:tcPr>
            <w:tcW w:type="dxa" w:w="1359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Brancos</w:t>
            </w:r>
          </w:p>
        </w:tc>
        <w:tc>
          <w:tcPr>
            <w:tcW w:type="dxa" w:w="1132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Negros</w:t>
            </w:r>
          </w:p>
        </w:tc>
        <w:tc>
          <w:tcPr>
            <w:tcW w:type="dxa" w:w="1359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Diferença</w:t>
            </w:r>
          </w:p>
        </w:tc>
        <w:tc>
          <w:tcPr>
            <w:tcW w:type="dxa" w:w="1132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m:oMath>
              <m:r>
                <m:t>d</m:t>
              </m:r>
            </m:oMath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log do rendimento</w:t>
            </w:r>
          </w:p>
        </w:tc>
        <w:tc>
          <w:tcPr>
            <w:tcW w:type="dxa" w:w="13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7,577</w:t>
            </w:r>
          </w:p>
        </w:tc>
        <w:tc>
          <w:tcPr>
            <w:tcW w:type="dxa" w:w="113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7,151</w:t>
            </w:r>
          </w:p>
        </w:tc>
        <w:tc>
          <w:tcPr>
            <w:tcW w:type="dxa" w:w="13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0,425</w:t>
            </w:r>
          </w:p>
        </w:tc>
        <w:tc>
          <w:tcPr>
            <w:tcW w:type="dxa" w:w="113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0,47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Idade (centrada)</w:t>
            </w:r>
          </w:p>
        </w:tc>
        <w:tc>
          <w:tcPr>
            <w:tcW w:type="dxa" w:w="13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−1,638</w:t>
            </w:r>
          </w:p>
        </w:tc>
        <w:tc>
          <w:tcPr>
            <w:tcW w:type="dxa" w:w="113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−3,110</w:t>
            </w:r>
          </w:p>
        </w:tc>
        <w:tc>
          <w:tcPr>
            <w:tcW w:type="dxa" w:w="13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1,472</w:t>
            </w:r>
          </w:p>
        </w:tc>
        <w:tc>
          <w:tcPr>
            <w:tcW w:type="dxa" w:w="113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0,11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Sexo feminino</w:t>
            </w:r>
          </w:p>
        </w:tc>
        <w:tc>
          <w:tcPr>
            <w:tcW w:type="dxa" w:w="13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0,437</w:t>
            </w:r>
          </w:p>
        </w:tc>
        <w:tc>
          <w:tcPr>
            <w:tcW w:type="dxa" w:w="113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0,399</w:t>
            </w:r>
          </w:p>
        </w:tc>
        <w:tc>
          <w:tcPr>
            <w:tcW w:type="dxa" w:w="13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0,038</w:t>
            </w:r>
          </w:p>
        </w:tc>
        <w:tc>
          <w:tcPr>
            <w:tcW w:type="dxa" w:w="113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0,08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Fundamental completo</w:t>
            </w:r>
          </w:p>
        </w:tc>
        <w:tc>
          <w:tcPr>
            <w:tcW w:type="dxa" w:w="13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0,003</w:t>
            </w:r>
          </w:p>
        </w:tc>
        <w:tc>
          <w:tcPr>
            <w:tcW w:type="dxa" w:w="113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0,009</w:t>
            </w:r>
          </w:p>
        </w:tc>
        <w:tc>
          <w:tcPr>
            <w:tcW w:type="dxa" w:w="13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−0,006</w:t>
            </w:r>
          </w:p>
        </w:tc>
        <w:tc>
          <w:tcPr>
            <w:tcW w:type="dxa" w:w="113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−0,07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Médio completo</w:t>
            </w:r>
          </w:p>
        </w:tc>
        <w:tc>
          <w:tcPr>
            <w:tcW w:type="dxa" w:w="13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0,046</w:t>
            </w:r>
          </w:p>
        </w:tc>
        <w:tc>
          <w:tcPr>
            <w:tcW w:type="dxa" w:w="113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0,041</w:t>
            </w:r>
          </w:p>
        </w:tc>
        <w:tc>
          <w:tcPr>
            <w:tcW w:type="dxa" w:w="13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0,006</w:t>
            </w:r>
          </w:p>
        </w:tc>
        <w:tc>
          <w:tcPr>
            <w:tcW w:type="dxa" w:w="113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0,03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Superior completo</w:t>
            </w:r>
          </w:p>
        </w:tc>
        <w:tc>
          <w:tcPr>
            <w:tcW w:type="dxa" w:w="13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0,198</w:t>
            </w:r>
          </w:p>
        </w:tc>
        <w:tc>
          <w:tcPr>
            <w:tcW w:type="dxa" w:w="113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0,278</w:t>
            </w:r>
          </w:p>
        </w:tc>
        <w:tc>
          <w:tcPr>
            <w:tcW w:type="dxa" w:w="13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−0,080</w:t>
            </w:r>
          </w:p>
        </w:tc>
        <w:tc>
          <w:tcPr>
            <w:tcW w:type="dxa" w:w="113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−0,19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Pós-graduação</w:t>
            </w:r>
          </w:p>
        </w:tc>
        <w:tc>
          <w:tcPr>
            <w:tcW w:type="dxa" w:w="13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0,006</w:t>
            </w:r>
          </w:p>
        </w:tc>
        <w:tc>
          <w:tcPr>
            <w:tcW w:type="dxa" w:w="113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0,009</w:t>
            </w:r>
          </w:p>
        </w:tc>
        <w:tc>
          <w:tcPr>
            <w:tcW w:type="dxa" w:w="13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−0,004</w:t>
            </w:r>
          </w:p>
        </w:tc>
        <w:tc>
          <w:tcPr>
            <w:tcW w:type="dxa" w:w="113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−0,04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Escolaridade não registrada</w:t>
            </w:r>
          </w:p>
        </w:tc>
        <w:tc>
          <w:tcPr>
            <w:tcW w:type="dxa" w:w="13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0,737</w:t>
            </w:r>
          </w:p>
        </w:tc>
        <w:tc>
          <w:tcPr>
            <w:tcW w:type="dxa" w:w="113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0,653</w:t>
            </w:r>
          </w:p>
        </w:tc>
        <w:tc>
          <w:tcPr>
            <w:tcW w:type="dxa" w:w="13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0,084</w:t>
            </w:r>
          </w:p>
        </w:tc>
        <w:tc>
          <w:tcPr>
            <w:tcW w:type="dxa" w:w="113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0,18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log(horas trabalhadas)</w:t>
            </w:r>
          </w:p>
        </w:tc>
        <w:tc>
          <w:tcPr>
            <w:tcW w:type="dxa" w:w="13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3,644</w:t>
            </w:r>
          </w:p>
        </w:tc>
        <w:tc>
          <w:tcPr>
            <w:tcW w:type="dxa" w:w="113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3,598</w:t>
            </w:r>
          </w:p>
        </w:tc>
        <w:tc>
          <w:tcPr>
            <w:tcW w:type="dxa" w:w="13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0,045</w:t>
            </w:r>
          </w:p>
        </w:tc>
        <w:tc>
          <w:tcPr>
            <w:tcW w:type="dxa" w:w="113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0,11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Reside em área urbana</w:t>
            </w:r>
          </w:p>
        </w:tc>
        <w:tc>
          <w:tcPr>
            <w:tcW w:type="dxa" w:w="13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0,813</w:t>
            </w:r>
          </w:p>
        </w:tc>
        <w:tc>
          <w:tcPr>
            <w:tcW w:type="dxa" w:w="113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0,773</w:t>
            </w:r>
          </w:p>
        </w:tc>
        <w:tc>
          <w:tcPr>
            <w:tcW w:type="dxa" w:w="13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0,039</w:t>
            </w:r>
          </w:p>
        </w:tc>
        <w:tc>
          <w:tcPr>
            <w:tcW w:type="dxa" w:w="113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0,10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Emprego formal</w:t>
            </w:r>
          </w:p>
        </w:tc>
        <w:tc>
          <w:tcPr>
            <w:tcW w:type="dxa" w:w="13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0,493</w:t>
            </w:r>
          </w:p>
        </w:tc>
        <w:tc>
          <w:tcPr>
            <w:tcW w:type="dxa" w:w="113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0,439</w:t>
            </w:r>
          </w:p>
        </w:tc>
        <w:tc>
          <w:tcPr>
            <w:tcW w:type="dxa" w:w="13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0,054</w:t>
            </w:r>
          </w:p>
        </w:tc>
        <w:tc>
          <w:tcPr>
            <w:tcW w:type="dxa" w:w="113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0,11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Conta própria</w:t>
            </w:r>
          </w:p>
        </w:tc>
        <w:tc>
          <w:tcPr>
            <w:tcW w:type="dxa" w:w="13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0,277</w:t>
            </w:r>
          </w:p>
        </w:tc>
        <w:tc>
          <w:tcPr>
            <w:tcW w:type="dxa" w:w="113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0,282</w:t>
            </w:r>
          </w:p>
        </w:tc>
        <w:tc>
          <w:tcPr>
            <w:tcW w:type="dxa" w:w="13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−0,006</w:t>
            </w:r>
          </w:p>
        </w:tc>
        <w:tc>
          <w:tcPr>
            <w:tcW w:type="dxa" w:w="113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−0,01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Trabalho doméstico</w:t>
            </w:r>
          </w:p>
        </w:tc>
        <w:tc>
          <w:tcPr>
            <w:tcW w:type="dxa" w:w="13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0,049</w:t>
            </w:r>
          </w:p>
        </w:tc>
        <w:tc>
          <w:tcPr>
            <w:tcW w:type="dxa" w:w="113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0,079</w:t>
            </w:r>
          </w:p>
        </w:tc>
        <w:tc>
          <w:tcPr>
            <w:tcW w:type="dxa" w:w="13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−0,030</w:t>
            </w:r>
          </w:p>
        </w:tc>
        <w:tc>
          <w:tcPr>
            <w:tcW w:type="dxa" w:w="113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−0,12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CBO: dirigente</w:t>
            </w:r>
          </w:p>
        </w:tc>
        <w:tc>
          <w:tcPr>
            <w:tcW w:type="dxa" w:w="13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0,055</w:t>
            </w:r>
          </w:p>
        </w:tc>
        <w:tc>
          <w:tcPr>
            <w:tcW w:type="dxa" w:w="113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0,023</w:t>
            </w:r>
          </w:p>
        </w:tc>
        <w:tc>
          <w:tcPr>
            <w:tcW w:type="dxa" w:w="13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0,032</w:t>
            </w:r>
          </w:p>
        </w:tc>
        <w:tc>
          <w:tcPr>
            <w:tcW w:type="dxa" w:w="113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0,16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CBO: profissional</w:t>
            </w:r>
          </w:p>
        </w:tc>
        <w:tc>
          <w:tcPr>
            <w:tcW w:type="dxa" w:w="13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0,149</w:t>
            </w:r>
          </w:p>
        </w:tc>
        <w:tc>
          <w:tcPr>
            <w:tcW w:type="dxa" w:w="113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0,079</w:t>
            </w:r>
          </w:p>
        </w:tc>
        <w:tc>
          <w:tcPr>
            <w:tcW w:type="dxa" w:w="13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0,071</w:t>
            </w:r>
          </w:p>
        </w:tc>
        <w:tc>
          <w:tcPr>
            <w:tcW w:type="dxa" w:w="113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0,22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CBO: técnico</w:t>
            </w:r>
          </w:p>
        </w:tc>
        <w:tc>
          <w:tcPr>
            <w:tcW w:type="dxa" w:w="13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0,090</w:t>
            </w:r>
          </w:p>
        </w:tc>
        <w:tc>
          <w:tcPr>
            <w:tcW w:type="dxa" w:w="113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0,066</w:t>
            </w:r>
          </w:p>
        </w:tc>
        <w:tc>
          <w:tcPr>
            <w:tcW w:type="dxa" w:w="13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0,023</w:t>
            </w:r>
          </w:p>
        </w:tc>
        <w:tc>
          <w:tcPr>
            <w:tcW w:type="dxa" w:w="113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0,09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% negro na UPA (</w:t>
            </w:r>
            <m:oMath>
              <m:r>
                <m:t>z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)</w:t>
            </w:r>
          </w:p>
        </w:tc>
        <w:tc>
          <w:tcPr>
            <w:tcW w:type="dxa" w:w="13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−0,705</w:t>
            </w:r>
          </w:p>
        </w:tc>
        <w:tc>
          <w:tcPr>
            <w:tcW w:type="dxa" w:w="113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0,335</w:t>
            </w:r>
          </w:p>
        </w:tc>
        <w:tc>
          <w:tcPr>
            <w:tcW w:type="dxa" w:w="13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−1,040</w:t>
            </w:r>
          </w:p>
        </w:tc>
        <w:tc>
          <w:tcPr>
            <w:tcW w:type="dxa" w:w="113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−1,18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Desemprego na UPA (</w:t>
            </w:r>
            <m:oMath>
              <m:r>
                <m:t>z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)</w:t>
            </w:r>
          </w:p>
        </w:tc>
        <w:tc>
          <w:tcPr>
            <w:tcW w:type="dxa" w:w="13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−0,327</w:t>
            </w:r>
          </w:p>
        </w:tc>
        <w:tc>
          <w:tcPr>
            <w:tcW w:type="dxa" w:w="113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0,093</w:t>
            </w:r>
          </w:p>
        </w:tc>
        <w:tc>
          <w:tcPr>
            <w:tcW w:type="dxa" w:w="13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−0,420</w:t>
            </w:r>
          </w:p>
        </w:tc>
        <w:tc>
          <w:tcPr>
            <w:tcW w:type="dxa" w:w="113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−0,46</w:t>
            </w:r>
          </w:p>
        </w:tc>
      </w:tr>
      <w:tr>
        <w:tc>
          <w:tcPr>
            <w:tcW w:type="dxa" w:w="4089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Educ. média na UPA (</w:t>
            </w:r>
            <m:oMath>
              <m:r>
                <m:t>z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)</w:t>
            </w:r>
          </w:p>
        </w:tc>
        <w:tc>
          <w:tcPr>
            <w:tcW w:type="dxa" w:w="1359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−0,133</w:t>
            </w:r>
          </w:p>
        </w:tc>
        <w:tc>
          <w:tcPr>
            <w:tcW w:type="dxa" w:w="1132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0,165</w:t>
            </w:r>
          </w:p>
        </w:tc>
        <w:tc>
          <w:tcPr>
            <w:tcW w:type="dxa" w:w="1359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−0,298</w:t>
            </w:r>
          </w:p>
        </w:tc>
        <w:tc>
          <w:tcPr>
            <w:tcW w:type="dxa" w:w="1132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−0,30</w:t>
            </w:r>
          </w:p>
        </w:tc>
      </w:tr>
    </w:tbl>
    <w:bookmarkEnd w:id="23"/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i/>
          <w:iCs/>
          <w:sz w:val="22"/>
        </w:rPr>
        <w:t xml:space="preserve">Suporte comum: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97,3% das UPAs têm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trabalhadores dos dois grupos, e 100,0% das células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UF </w:t>
      </w:r>
      <m:oMath>
        <m:r>
          <m:rPr>
            <m:sty m:val="p"/>
          </m:rPr>
          <m:t>×</m:t>
        </m:r>
      </m:oMath>
      <w:r>
        <w:rPr>
          <w:rFonts w:ascii="Arial" w:hAnsi="Arial"/>
          <w:sz w:val="22"/>
        </w:rPr>
        <w:t xml:space="preserve"> escolaridade também (100,0% das observações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estão em células com os dois grupos) — a comparação não depende de extrapolar para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regiões da amostra onde só existe um dos grupos.</w:t>
      </w:r>
    </w:p>
    <w:p>
      <w:pPr>
        <w:pStyle w:val="BodyText"/>
        <w:spacing w:line="240" w:lineRule="auto" w:before="40" w:after="240"/>
        <w:ind w:firstLine="0"/>
        <w:jc w:val="both"/>
      </w:pPr>
      <w:r>
        <w:rPr>
          <w:rFonts w:ascii="Arial" w:hAnsi="Arial"/>
          <w:sz w:val="22"/>
        </w:rPr>
        <w:t xml:space="preserve">Fonte: Resultados originais da pesquisa.</w:t>
      </w:r>
    </w:p>
    <w:bookmarkEnd w:id="24"/>
    <w:bookmarkStart w:id="25" w:name="subsec:hlm"/>
    <w:p>
      <w:pPr>
        <w:pStyle w:val="Ttulo2"/>
        <w:spacing w:line="240" w:lineRule="auto" w:before="240" w:after="120"/>
        <w:ind w:firstLine="0"/>
        <w:jc w:val="left"/>
      </w:pPr>
      <w:r>
        <w:rPr>
          <w:rFonts w:ascii="Arial" w:hAnsi="Arial"/>
          <w:sz w:val="22"/>
        </w:rPr>
        <w:t xml:space="preserve">Modelo Linear Hierárquico: indivíduos em bairros (UPA), com efeitos fixos de UF</w:t>
      </w:r>
    </w:p>
    <w:p>
      <w:pPr>
        <w:pStyle w:val="FirstParagraph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A PNAD Contínua é amostrada por conglomerados: pessoas dentro de unidades primárias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amostragem (UPA, o proxy de bairro), dentro de estados. A hipótese substantiva do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trabalho (H2) é que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bairro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media parte do gap racial; o modelo, portanto, coloca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 UPA no nível 2 e trata a UF como conjunto de efeitos fixos — 27 unidades são poucas para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um terceiro nível aleatório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(Angrist; Pischke, 2009)</w:t>
      </w:r>
      <w:r>
        <w:rPr>
          <w:rFonts w:ascii="Arial" w:hAnsi="Arial"/>
          <w:sz w:val="22"/>
        </w:rPr>
        <w:t xml:space="preserve">, e os 26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dummies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absorvem todo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contexto estadual sem hipóteses distribucionais. O modelo de dois níveis é: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Nível 1 — indivíduo</w:t>
      </w:r>
      <w:r>
        <w:rPr>
          <w:rFonts w:ascii="Arial" w:hAnsi="Arial"/>
          <w:b/>
          <w:bCs/>
          <w:sz w:val="22"/>
        </w:rPr>
        <w:t xml:space="preserve"> </w:t>
      </w:r>
      <m:oMath>
        <m:r>
          <m:t>i</m:t>
        </m:r>
      </m:oMath>
      <w:r>
        <w:rPr>
          <w:rFonts w:ascii="Arial" w:hAnsi="Arial"/>
          <w:b/>
          <w:bCs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na UPA</w:t>
      </w:r>
      <w:r>
        <w:rPr>
          <w:rFonts w:ascii="Arial" w:hAnsi="Arial"/>
          <w:b/>
          <w:bCs/>
          <w:sz w:val="22"/>
        </w:rPr>
        <w:t xml:space="preserve"> </w:t>
      </w:r>
      <m:oMath>
        <m:r>
          <m:t>j</m:t>
        </m:r>
      </m:oMath>
      <w:r>
        <w:rPr>
          <w:rFonts w:ascii="Arial" w:hAnsi="Arial"/>
          <w:b/>
          <w:bCs/>
          <w:sz w:val="22"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W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 </m:t>
          </m:r>
          <m:sSub>
            <m:e>
              <m:r>
                <m:rPr>
                  <m:nor/>
                  <m:sty m:val="p"/>
                </m:rPr>
                <m:t>Negro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 </m:t>
          </m:r>
          <m:sSub>
            <m:e>
              <m:r>
                <m:rPr>
                  <m:nor/>
                  <m:sty m:val="p"/>
                </m:rPr>
                <m:t>Sexo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t> </m:t>
          </m:r>
          <m:sSub>
            <m:e>
              <m:r>
                <m:t>X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t> </m:t>
          </m:r>
          <m:sSubSup>
            <m:e>
              <m:r>
                <m:t>X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e</m:t>
              </m:r>
            </m:sub>
            <m:sup>
              <m:r>
                <m:t>​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e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nor/>
                  <m:sty m:val="p"/>
                </m:rPr>
                <m:t>Educ</m:t>
              </m:r>
            </m:e>
            <m:sub>
              <m:r>
                <m:t>e</m:t>
              </m:r>
              <m:r>
                <m:rPr>
                  <m:sty m:val="p"/>
                </m:rPr>
                <m:t>,</m:t>
              </m:r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rPr>
                  <m:sty m:val="bi"/>
                </m:rPr>
                <m:t>β</m:t>
              </m:r>
            </m:e>
            <m:sub>
              <m:r>
                <m:t>5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sSub>
            <m:e>
              <m:r>
                <m:rPr>
                  <m:sty m:val="bi"/>
                </m:rPr>
                <m:t>Z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∼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(1)</m:t>
          </m:r>
        </m:oMath>
      </m:oMathPara>
    </w:p>
    <w:p>
      <w:pPr>
        <w:pStyle w:val="FirstParagraph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em que</w:t>
      </w:r>
      <w:r>
        <w:rPr>
          <w:rFonts w:ascii="Arial" w:hAnsi="Arial"/>
          <w:sz w:val="22"/>
        </w:rPr>
        <w:t xml:space="preserve"> </w:t>
      </w:r>
      <m:oMath>
        <m:r>
          <m:rPr>
            <m:sty m:val="bi"/>
          </m:rPr>
          <m:t>Z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reúne horas, situação urbana e ano (e, no M4, vínculo e grupo CBO).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Nível 2 — bairro</w:t>
      </w:r>
      <w:r>
        <w:rPr>
          <w:rFonts w:ascii="Arial" w:hAnsi="Arial"/>
          <w:b/>
          <w:bCs/>
          <w:sz w:val="22"/>
        </w:rPr>
        <w:t xml:space="preserve"> </w:t>
      </w:r>
      <m:oMath>
        <m:r>
          <m:t>j</m:t>
        </m:r>
      </m:oMath>
      <w:r>
        <w:rPr>
          <w:rFonts w:ascii="Arial" w:hAnsi="Arial"/>
          <w:b/>
          <w:bCs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(UPA):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0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γ</m:t>
              </m:r>
            </m:e>
            <m:sub>
              <m:r>
                <m:t>00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γ</m:t>
              </m:r>
            </m:e>
            <m:sub>
              <m:r>
                <m:t>01</m:t>
              </m:r>
            </m:sub>
          </m:sSub>
          <m:r>
            <m:t> </m:t>
          </m:r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%</m:t>
                  </m:r>
                  <m:r>
                    <m:rPr>
                      <m:nor/>
                      <m:sty m:val="p"/>
                    </m:rPr>
                    <m:t>Negro</m:t>
                  </m:r>
                </m:e>
              </m:ba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γ</m:t>
              </m:r>
            </m:e>
            <m:sub>
              <m:r>
                <m:t>02</m:t>
              </m:r>
            </m:sub>
          </m:sSub>
          <m:r>
            <m:t> </m:t>
          </m:r>
          <m:sSub>
            <m:e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Desemprego</m:t>
                  </m:r>
                </m:e>
              </m:ba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γ</m:t>
              </m:r>
            </m:e>
            <m:sub>
              <m:r>
                <m:t>03</m:t>
              </m:r>
            </m:sub>
          </m:sSub>
          <m:r>
            <m:t> </m:t>
          </m:r>
          <m:sSub>
            <m:e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Educ</m:t>
                  </m:r>
                </m:e>
              </m:ba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27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nor/>
                  <m:sty m:val="p"/>
                </m:rPr>
                <m:t>UF</m:t>
              </m:r>
            </m:e>
            <m:sub>
              <m:r>
                <m:t>k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+</m:t>
          </m:r>
          <m:sSub>
            <m:e>
              <m:r>
                <m:t>u</m:t>
              </m:r>
            </m:e>
            <m:sub>
              <m:r>
                <m:t>0</m:t>
              </m:r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0</m:t>
              </m:r>
              <m:r>
                <m:t>j</m:t>
              </m:r>
            </m:sub>
          </m:sSub>
          <m:r>
            <m:rPr>
              <m:sty m:val="p"/>
            </m:rPr>
            <m:t>∼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bSup>
            <m:e>
              <m:r>
                <m:t>τ</m:t>
              </m:r>
            </m:e>
            <m:sub>
              <m:r>
                <m:rPr>
                  <m:nor/>
                  <m:sty m:val="p"/>
                </m:rPr>
                <m:t>UPA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(2)</m:t>
          </m:r>
        </m:oMath>
      </m:oMathPara>
    </w:p>
    <w:p>
      <w:pPr>
        <w:pStyle w:val="FirstParagraph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O coeficiente</w:t>
      </w:r>
      <w:r>
        <w:rPr>
          <w:rFonts w:ascii="Arial" w:hAnsi="Arial"/>
          <w:sz w:val="22"/>
        </w:rPr>
        <w:t xml:space="preserve"> </w:t>
      </w:r>
      <m:oMath>
        <m:sSub>
          <m:e>
            <m:r>
              <m:t>γ</m:t>
            </m:r>
          </m:e>
          <m:sub>
            <m:r>
              <m:t>01</m:t>
            </m:r>
          </m:sub>
        </m:sSub>
        <m:r>
          <m:rPr>
            <m:sty m:val="p"/>
          </m:rPr>
          <m:t>&lt;</m:t>
        </m:r>
        <m:r>
          <m:t>0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é a evidência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duplo disadvantage</w:t>
      </w:r>
      <w:r>
        <w:rPr>
          <w:rFonts w:ascii="Arial" w:hAnsi="Arial"/>
          <w:sz w:val="22"/>
        </w:rPr>
        <w:t xml:space="preserve">: morar em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bairros com maior concentração de negros reduz o rendimento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independentemente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da raça individual. A correlação intraclasse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ρ</m:t>
              </m:r>
            </m:e>
            <m:sub>
              <m:r>
                <m:rPr>
                  <m:nor/>
                  <m:sty m:val="p"/>
                </m:rPr>
                <m:t>UPA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τ</m:t>
                  </m:r>
                </m:e>
                <m:sub>
                  <m:r>
                    <m:rPr>
                      <m:nor/>
                      <m:sty m:val="p"/>
                    </m:rPr>
                    <m:t>UPA</m:t>
                  </m:r>
                </m:sub>
                <m:sup>
                  <m:r>
                    <m:t>2</m:t>
                  </m:r>
                </m:sup>
              </m:sSubSup>
            </m:num>
            <m:den>
              <m:sSubSup>
                <m:e>
                  <m:r>
                    <m:t>τ</m:t>
                  </m:r>
                </m:e>
                <m:sub>
                  <m:r>
                    <m:rPr>
                      <m:nor/>
                      <m:sty m:val="p"/>
                    </m:rPr>
                    <m:t>UPA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nor/>
              <m:sty m:val="p"/>
            </m:rPr>
            <m:t>(3)</m:t>
          </m:r>
        </m:oMath>
      </m:oMathPara>
    </w:p>
    <w:p>
      <w:pPr>
        <w:pStyle w:val="FirstParagraph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mede a fração da variância do log-rendimento que está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entre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bairros; valores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acima de 5% justificam o modelo multinível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(Raudenbush; Bryk, 2002)</w:t>
      </w:r>
      <w:r>
        <w:rPr>
          <w:rFonts w:ascii="Arial" w:hAnsi="Arial"/>
          <w:sz w:val="22"/>
        </w:rPr>
        <w:t xml:space="preserve">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Estratégia</w:t>
      </w:r>
      <w:r>
        <w:rPr>
          <w:rFonts w:ascii="Arial" w:hAnsi="Arial"/>
          <w:b/>
          <w:bCs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step-up</w:t>
      </w:r>
      <w:r>
        <w:rPr>
          <w:rFonts w:ascii="Arial" w:hAnsi="Arial"/>
          <w:b/>
          <w:bCs/>
          <w:sz w:val="22"/>
        </w:rPr>
        <w:t xml:space="preserve">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Seguindo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Raudenbush; Bryk (2002)</w:t>
      </w:r>
      <w:r>
        <w:rPr>
          <w:rFonts w:ascii="Arial" w:hAnsi="Arial"/>
          <w:sz w:val="22"/>
        </w:rPr>
        <w:t xml:space="preserve">, os modelos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são estimados em degraus aninhados: M0 (nulo: só o intercepto aleatório, que dá o ICC);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M1 (+ capital humano e demografia); M2 (+ contexto do bairro, nível 2); M3 (+ efeitos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fixos de UF) — o modelo principal, que produz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gap líquido</w:t>
      </w:r>
      <w:r>
        <w:rPr>
          <w:rFonts w:ascii="Arial" w:hAnsi="Arial"/>
          <w:sz w:val="22"/>
        </w:rPr>
        <w:t xml:space="preserve">; e M4 (+ vínculo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 grupo ocupacional), reportado como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limite inferior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porque ocupação e formalidade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são desfechos da própria discriminação (</w:t>
      </w:r>
      <w:r>
        <w:rPr>
          <w:rFonts w:ascii="Arial" w:hAnsi="Arial"/>
          <w:sz w:val="22"/>
        </w:rPr>
        <w:t xml:space="preserve">bad controls</w:t>
      </w:r>
      <w:r>
        <w:rPr>
          <w:rFonts w:ascii="Arial" w:hAnsi="Arial"/>
          <w:sz w:val="22"/>
        </w:rPr>
        <w:t xml:space="preserve">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Angrist; Pischke (2009)</w:t>
      </w:r>
      <w:r>
        <w:rPr>
          <w:rFonts w:ascii="Arial" w:hAnsi="Arial"/>
          <w:sz w:val="22"/>
        </w:rPr>
        <w:t xml:space="preserve">).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Cada degrau é comparado ao anterior por teste de razão de verossimilhança (LR), e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redução de</w:t>
      </w:r>
      <w:r>
        <w:rPr>
          <w:rFonts w:ascii="Arial" w:hAnsi="Arial"/>
          <w:sz w:val="22"/>
        </w:rPr>
        <w:t xml:space="preserve"> </w:t>
      </w:r>
      <m:oMath>
        <m:sSubSup>
          <m:e>
            <m:r>
              <m:t>τ</m:t>
            </m:r>
          </m:e>
          <m:sub>
            <m:r>
              <m:rPr>
                <m:nor/>
                <m:sty m:val="p"/>
              </m:rPr>
              <m:t>UPA</m:t>
            </m:r>
          </m:sub>
          <m:sup>
            <m:r>
              <m:t>2</m:t>
            </m:r>
          </m:sup>
        </m:sSubSup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em relação ao M0 mede a variância entre bairros explicada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pelos controles. Testa-se ainda uma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inclinação aleatória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</w:t>
      </w:r>
      <w:r>
        <w:rPr>
          <w:rFonts w:ascii="Arial" w:hAnsi="Arial"/>
          <w:sz w:val="22"/>
        </w:rPr>
        <w:t xml:space="preserve"> </w:t>
      </w:r>
      <w:r>
        <w:rPr>
          <w:rStyle w:val="VerbatimChar"/>
          <w:rFonts w:ascii="Arial" w:hAnsi="Arial"/>
          <w:sz w:val="22"/>
        </w:rPr>
        <w:t xml:space="preserve">negro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por UPA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(M3 +</w:t>
      </w:r>
      <w:r>
        <w:rPr>
          <w:rFonts w:ascii="Arial" w:hAnsi="Arial"/>
          <w:sz w:val="22"/>
        </w:rP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  <m:r>
              <m:t>j</m:t>
            </m:r>
          </m:sub>
        </m:sSub>
        <m:sSub>
          <m:e>
            <m:r>
              <m:rPr>
                <m:nor/>
                <m:sty m:val="p"/>
              </m:rPr>
              <m:t>Negro</m:t>
            </m:r>
          </m:e>
          <m:sub>
            <m:r>
              <m:t>i</m:t>
            </m:r>
            <m:r>
              <m:t>j</m:t>
            </m:r>
          </m:sub>
        </m:sSub>
      </m:oMath>
      <w:r>
        <w:rPr>
          <w:rFonts w:ascii="Arial" w:hAnsi="Arial"/>
          <w:sz w:val="22"/>
        </w:rPr>
        <w:t xml:space="preserve">, com covariância não estruturada) — a penalidade racial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varia entre bairros? — por LR com dois graus de liberdade. Todos os modelos são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estimados por máxima verossimilhança (ML), necessária para comparar efeitos fixos entre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degraus; com</w:t>
      </w:r>
      <w:r>
        <w:rPr>
          <w:rFonts w:ascii="Arial" w:hAnsi="Arial"/>
          <w:sz w:val="22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,</m:t>
        </m:r>
        <m:r>
          <m:t>7</m:t>
        </m:r>
      </m:oMath>
      <w:r>
        <w:rPr>
          <w:rFonts w:ascii="Arial" w:hAnsi="Arial"/>
          <w:sz w:val="22"/>
        </w:rPr>
        <w:t xml:space="preserve"> milhões, REML e ML produzem os mesmos componentes de variância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(no M0,</w:t>
      </w:r>
      <w:r>
        <w:rPr>
          <w:rFonts w:ascii="Arial" w:hAnsi="Arial"/>
          <w:sz w:val="22"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UPA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33698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por ML e 0,33699 por REML;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ICC idêntico até a quarta casa). A</w:t>
      </w:r>
    </w:p>
    <w:bookmarkEnd w:id="25"/>
    <w:bookmarkStart w:id="26" w:name="subsec:oaxaca_metodo"/>
    <w:p>
      <w:pPr>
        <w:pStyle w:val="Ttulo2"/>
        <w:spacing w:line="240" w:lineRule="auto" w:before="240" w:after="120"/>
        <w:ind w:firstLine="0"/>
        <w:jc w:val="left"/>
      </w:pPr>
      <w:r>
        <w:rPr>
          <w:rFonts w:ascii="Arial" w:hAnsi="Arial"/>
          <w:sz w:val="22"/>
        </w:rPr>
        <w:t xml:space="preserve">Decomposição de Oaxaca–Blinder</w:t>
      </w:r>
    </w:p>
    <w:p>
      <w:pPr>
        <w:pStyle w:val="FirstParagraph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Estimam-se equações de rendimento separadas para brancos e negros 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decompõe-se a diferença de médias na forma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twofold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(Blinder, 1973; Oaxaca, 1973)</w:t>
      </w:r>
      <w:r>
        <w:rPr>
          <w:rFonts w:ascii="Arial" w:hAnsi="Arial"/>
          <w:sz w:val="22"/>
        </w:rPr>
        <w:t xml:space="preserve">, tomando a estrutura de preços dos brancos como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referência não discriminatória: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ln</m:t>
        </m:r>
        <m:sSub>
          <m:e>
            <m:acc>
              <m:accPr>
                <m:chr m:val="‾"/>
              </m:accPr>
              <m:e>
                <m:r>
                  <m:t>W</m:t>
                </m:r>
              </m:e>
            </m:acc>
          </m:e>
          <m:sub>
            <m:r>
              <m:t>B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‾"/>
              </m:accPr>
              <m:e>
                <m:r>
                  <m:t>W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B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B</m:t>
            </m:r>
          </m:sub>
        </m:sSub>
        <m:r>
          <m:rPr>
            <m:sty m:val="p"/>
          </m:rPr>
          <m:t>+</m:t>
        </m:r>
        <m:sSub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B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rPr>
          <w:rFonts w:ascii="Arial" w:hAnsi="Arial"/>
          <w:sz w:val="22"/>
        </w:rPr>
        <w:t xml:space="preserve">, em que o primeiro termo é a parcela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dotações e o segundo, a de retornos. Duas especificações são reportadas: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(A) apenas capital humano e contexto de bairro, comparável à literatura; 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(B) acrescentando horas, formalidade e grupo ocupacional como dotações. Como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adverte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Oaxaca; Ransom (1999)</w:t>
      </w:r>
      <w:r>
        <w:rPr>
          <w:rFonts w:ascii="Arial" w:hAnsi="Arial"/>
          <w:sz w:val="22"/>
        </w:rPr>
        <w:t xml:space="preserve">, a especificação (B) subestima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discriminação total, porque a segregação ocupacional é ela própria seu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produto — por isso ela é lida como limite inferior, e não como a estimativa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preferida. Os erros-padrão vêm de bootstrap em blocos de UPA, e não da fórmula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analítica, que pressupõe independência entre observações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(Cameron; Gelbach; Miller, 2008)</w:t>
      </w:r>
      <w:r>
        <w:rPr>
          <w:rFonts w:ascii="Arial" w:hAnsi="Arial"/>
          <w:sz w:val="22"/>
        </w:rPr>
        <w:t xml:space="preserve">.</w:t>
      </w:r>
    </w:p>
    <w:bookmarkEnd w:id="26"/>
    <w:bookmarkStart w:id="27" w:name="regressão-quantílica-e-decomposição-rif"/>
    <w:p>
      <w:pPr>
        <w:pStyle w:val="Ttulo2"/>
        <w:spacing w:line="240" w:lineRule="auto" w:before="240" w:after="120"/>
        <w:ind w:firstLine="0"/>
        <w:jc w:val="left"/>
      </w:pPr>
      <w:r>
        <w:rPr>
          <w:rFonts w:ascii="Arial" w:hAnsi="Arial"/>
          <w:sz w:val="22"/>
        </w:rPr>
        <w:t xml:space="preserve">Regressão quantílica e decomposição RIF</w:t>
      </w:r>
    </w:p>
    <w:p>
      <w:pPr>
        <w:pStyle w:val="FirstParagraph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A regressão quantílica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(Koenker; Bassett, 1978)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estima</w:t>
      </w:r>
      <w:r>
        <w:rPr>
          <w:rFonts w:ascii="Arial" w:hAnsi="Arial"/>
          <w:sz w:val="22"/>
        </w:rP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em cinco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pontos da distribuição condicional (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;</m:t>
        </m:r>
        <m:r>
          <m:t> </m:t>
        </m:r>
        <m:r>
          <m:t>0</m:t>
        </m:r>
        <m:r>
          <m:rPr>
            <m:sty m:val="p"/>
          </m:rPr>
          <m:t>,</m:t>
        </m:r>
        <m:r>
          <m:t>25</m:t>
        </m:r>
        <m:r>
          <m:rPr>
            <m:sty m:val="p"/>
          </m:rPr>
          <m:t>;</m:t>
        </m:r>
        <m:r>
          <m:t> </m:t>
        </m:r>
        <m:r>
          <m:t>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;</m:t>
        </m:r>
        <m:r>
          <m:t> </m:t>
        </m:r>
        <m:r>
          <m:t>0</m:t>
        </m:r>
        <m:r>
          <m:rPr>
            <m:sty m:val="p"/>
          </m:rPr>
          <m:t>,</m:t>
        </m:r>
        <m:r>
          <m:t>75</m:t>
        </m:r>
        <m:r>
          <m:rPr>
            <m:sty m:val="p"/>
          </m:rPr>
          <m:t>;</m:t>
        </m:r>
        <m:r>
          <m:t> </m:t>
        </m:r>
        <m:r>
          <m:t>0</m:t>
        </m:r>
        <m:r>
          <m:rPr>
            <m:sty m:val="p"/>
          </m:rPr>
          <m:t>,</m:t>
        </m:r>
        <m:r>
          <m:t>90</m:t>
        </m:r>
        <m:r>
          <m:rPr>
            <m:sty m:val="p"/>
          </m:rPr>
          <m:t>}</m:t>
        </m:r>
      </m:oMath>
      <w:r>
        <w:rPr>
          <w:rFonts w:ascii="Arial" w:hAnsi="Arial"/>
          <w:sz w:val="22"/>
        </w:rPr>
        <w:t xml:space="preserve">), permitindo testar se a penalidade racial é constante ao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longo da distribuição. O teste de igualdade entre os quantis extremos usa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bootstrap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m-out-of-n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em blocos de UPA, com reescala</w:t>
      </w:r>
      <w:r>
        <w:rPr>
          <w:rFonts w:ascii="Arial" w:hAnsi="Arial"/>
          <w:sz w:val="22"/>
        </w:rPr>
        <w:t xml:space="preserve"> </w:t>
      </w:r>
      <m:oMath>
        <m:rad>
          <m:radPr>
            <m:degHide m:val="on"/>
          </m:radPr>
          <m:deg/>
          <m:e>
            <m:r>
              <m:t>m</m:t>
            </m:r>
            <m:r>
              <m:rPr>
                <m:sty m:val="p"/>
              </m:rPr>
              <m:t>/</m:t>
            </m:r>
            <m:r>
              <m:t>G</m:t>
            </m:r>
          </m:e>
        </m:rad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(Bickel; Sakov, 2008)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— necessária porque reamostrar todas as 40.969 UPAs a cada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réplica seria proibitivo com 7,7 milhões de observações.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Complementarmente, a decomposição RIF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(Firpo; Fortin; Lemieux, 2018)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é aplicada aos quantis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incondicionais da distribuição de renda, separando dotações e retornos em cada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ponto.</w:t>
      </w:r>
    </w:p>
    <w:bookmarkEnd w:id="27"/>
    <w:bookmarkStart w:id="28" w:name="modelo-logístico-multinível-de-acesso"/>
    <w:p>
      <w:pPr>
        <w:pStyle w:val="Ttulo2"/>
        <w:spacing w:line="240" w:lineRule="auto" w:before="240" w:after="120"/>
        <w:ind w:firstLine="0"/>
        <w:jc w:val="left"/>
      </w:pPr>
      <w:r>
        <w:rPr>
          <w:rFonts w:ascii="Arial" w:hAnsi="Arial"/>
          <w:sz w:val="22"/>
        </w:rPr>
        <w:t xml:space="preserve">Modelo logístico multinível de acesso</w:t>
      </w:r>
    </w:p>
    <w:p>
      <w:pPr>
        <w:pStyle w:val="FirstParagraph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A barreira de entrada é modelada por um GLMM logístico com intercepto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aleatório de UPA, estimado por</w:t>
      </w:r>
      <w:r>
        <w:rPr>
          <w:rFonts w:ascii="Arial" w:hAnsi="Arial"/>
          <w:sz w:val="22"/>
        </w:rPr>
        <w:t xml:space="preserve"> </w:t>
      </w:r>
      <w:r>
        <w:rPr>
          <w:rStyle w:val="VerbatimChar"/>
          <w:rFonts w:ascii="Arial" w:hAnsi="Arial"/>
          <w:sz w:val="22"/>
        </w:rPr>
        <w:t xml:space="preserve">lme4::glmer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em R, para três desfechos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binários: ocupar cargo qualificado (grupos CBO 1–4), estar no quintil superior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 estar no decil superior da renda. A estrutura multinível é a mesma do HLM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(Raudenbush; Bryk, 2002)</w:t>
      </w:r>
      <w:r>
        <w:rPr>
          <w:rFonts w:ascii="Arial" w:hAnsi="Arial"/>
          <w:sz w:val="22"/>
        </w:rPr>
        <w:t xml:space="preserve">, agora com função de ligação logit; o ICC do nível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bairro é calculado por</w:t>
      </w:r>
      <w:r>
        <w:rPr>
          <w:rFonts w:ascii="Arial" w:hAnsi="Arial"/>
          <w:sz w:val="22"/>
        </w:rPr>
        <w:t xml:space="preserve"> </w:t>
      </w:r>
      <m:oMath>
        <m:sSup>
          <m:e>
            <m:r>
              <m:t>τ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τ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π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rPr>
          <w:rFonts w:ascii="Arial" w:hAnsi="Arial"/>
          <w:sz w:val="22"/>
        </w:rPr>
        <w:t xml:space="preserve">, a formulação de variância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latente apropriada ao modelo logístico. Além da razão de chances, reporta-se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efeito marginal médio em pontos percentuais, porque a razão de chances não é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interpretável como diferença de probabilidade.</w:t>
      </w:r>
    </w:p>
    <w:bookmarkEnd w:id="28"/>
    <w:bookmarkStart w:id="29" w:name="sensibilidade-a-variáveis-omitidas"/>
    <w:p>
      <w:pPr>
        <w:pStyle w:val="Ttulo2"/>
        <w:spacing w:line="240" w:lineRule="auto" w:before="240" w:after="120"/>
        <w:ind w:firstLine="0"/>
        <w:jc w:val="left"/>
      </w:pPr>
      <w:r>
        <w:rPr>
          <w:rFonts w:ascii="Arial" w:hAnsi="Arial"/>
          <w:sz w:val="22"/>
        </w:rPr>
        <w:t xml:space="preserve">Sensibilidade a variáveis omitidas</w:t>
      </w:r>
    </w:p>
    <w:p>
      <w:pPr>
        <w:pStyle w:val="FirstParagraph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A hipótese de seleção em observáveis não é testável, mas é possível quantificar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quanto de confundimento não observado seria necessário para anular 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resultados. Reportam-se duas medidas: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E-value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(VanderWeele; Ding, 2017)</w:t>
      </w:r>
      <w:r>
        <w:rPr>
          <w:rFonts w:ascii="Arial" w:hAnsi="Arial"/>
          <w:sz w:val="22"/>
        </w:rPr>
        <w:t xml:space="preserve">, que é a associação mínima — em razão de chances —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que um confundidor precisaria ter simultaneamente com a raça e com o desfecho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para explicar o efeito observado; e o índice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Frank et al. (2013)</w:t>
      </w:r>
      <w:r>
        <w:rPr>
          <w:rFonts w:ascii="Arial" w:hAnsi="Arial"/>
          <w:sz w:val="22"/>
        </w:rPr>
        <w:t xml:space="preserve">, que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expressa a fração da estimativa que precisaria ser viés para invalidar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inferência.</w:t>
      </w:r>
    </w:p>
    <w:bookmarkEnd w:id="29"/>
    <w:bookmarkStart w:id="30" w:name="subsec:inferencia"/>
    <w:p>
      <w:pPr>
        <w:pStyle w:val="Ttulo2"/>
        <w:spacing w:line="240" w:lineRule="auto" w:before="240" w:after="120"/>
        <w:ind w:firstLine="0"/>
        <w:jc w:val="left"/>
      </w:pPr>
      <w:r>
        <w:rPr>
          <w:rFonts w:ascii="Arial" w:hAnsi="Arial"/>
          <w:sz w:val="22"/>
        </w:rPr>
        <w:t xml:space="preserve">Inferência: erros-padrão agrupados, poucos clusters e pesos</w:t>
      </w:r>
    </w:p>
    <w:p>
      <w:pPr>
        <w:pStyle w:val="FirstParagraph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A PNAD Contínua é uma amostra por conglomerados: pessoas da mesma unidade primária de amostragem (UPA, proxy de bairro) compartilham choques não observados, e os regressores de contexto variam apenas no nível da UPA. Tratar as</w:t>
      </w:r>
      <w:r>
        <w:rPr>
          <w:rFonts w:ascii="Arial" w:hAnsi="Arial"/>
          <w:sz w:val="22"/>
        </w:rPr>
        <w:t xml:space="preserve"> </w:t>
      </w:r>
      <m:oMath>
        <m:r>
          <m:t>7</m:t>
        </m:r>
        <m:r>
          <m:rPr>
            <m:sty m:val="p"/>
          </m:rPr>
          <m:t>,</m:t>
        </m:r>
        <m:r>
          <m:t>7</m:t>
        </m:r>
      </m:oMath>
      <w:r>
        <w:rPr>
          <w:rFonts w:ascii="Arial" w:hAnsi="Arial"/>
          <w:sz w:val="22"/>
        </w:rPr>
        <w:t xml:space="preserve"> milhões de observações como independentes subestima os erros-padrão pelo fator de Moulton</w:t>
      </w:r>
      <w:r>
        <w:rPr>
          <w:rFonts w:ascii="Arial" w:hAnsi="Arial"/>
          <w:sz w:val="22"/>
        </w:rP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acc>
              <m:accPr>
                <m:chr m:val="‾"/>
              </m:accPr>
              <m:e>
                <m:r>
                  <m:t>n</m:t>
                </m:r>
              </m:e>
            </m:acc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ρ</m:t>
            </m:r>
          </m:e>
        </m:rad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(Angrist; Pischke, 2009)</w:t>
      </w:r>
      <w:r>
        <w:rPr>
          <w:rFonts w:ascii="Arial" w:hAnsi="Arial"/>
          <w:sz w:val="22"/>
        </w:rPr>
        <w:t xml:space="preserve">. Por isso, todos os modelos de regressão (OLS com efeitos fixos de UF, decomposição de Oaxaca–Blinder, regressão quantílica e logit) reportam erros-padrão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agrupados por UPA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(41.517 clusters) — para a OB e a regressão quantílica, por bootstrap em blocos de UPA. O agrupamento por UF é mais conservador, mas com 27 clusters (</w:t>
      </w:r>
      <m:oMath>
        <m:r>
          <m:rPr>
            <m:sty m:val="p"/>
          </m:rPr>
          <m:t>&lt;</m:t>
        </m:r>
        <m:r>
          <m:t>42</m:t>
        </m:r>
      </m:oMath>
      <w:r>
        <w:rPr>
          <w:rFonts w:ascii="Arial" w:hAnsi="Arial"/>
          <w:sz w:val="22"/>
        </w:rPr>
        <w:t xml:space="preserve">) a inferência assintótica é pouco confiável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(Angrist; Pischke, 2009)</w:t>
      </w:r>
      <w:r>
        <w:rPr>
          <w:rFonts w:ascii="Arial" w:hAnsi="Arial"/>
          <w:sz w:val="22"/>
        </w:rPr>
        <w:t xml:space="preserve">; quando reportado, usa a distribuição</w:t>
      </w:r>
      <w:r>
        <w:rPr>
          <w:rFonts w:ascii="Arial" w:hAnsi="Arial"/>
          <w:sz w:val="22"/>
        </w:rPr>
        <w:t xml:space="preserve"> </w:t>
      </w:r>
      <m:oMath>
        <m:r>
          <m:t>t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com</w:t>
      </w:r>
      <w:r>
        <w:rPr>
          <w:rFonts w:ascii="Arial" w:hAnsi="Arial"/>
          <w:sz w:val="22"/>
        </w:rPr>
        <w:t xml:space="preserve"> </w:t>
      </w:r>
      <m:oMath>
        <m:r>
          <m:t>G</m:t>
        </m:r>
        <m:r>
          <m:rPr>
            <m:sty m:val="p"/>
          </m:rPr>
          <m:t>−</m:t>
        </m:r>
        <m:r>
          <m:t>1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graus de liberdade. No HLM, o intercepto aleatório de UPA modela explicitamente a correlação intra-bairro, de modo que o erro-padrão do modelo já a incorpora (sob a hipótese de efeitos aleatórios); como contraprova, os coeficientes do HLM são comparados aos do OLS com efeitos fixos de UF e erro-padrão agrupado por UPA, que coincidem em sinal, magnitude e significância. No OLS com efeitos fixos de UF (especificação do M3), o erro-padrão de</w:t>
      </w:r>
      <w:r>
        <w:rPr>
          <w:rFonts w:ascii="Arial" w:hAnsi="Arial"/>
          <w:sz w:val="22"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</m:sSub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passa de 0,0006 (convencional) para 0,0011 (agrupado por UPA) e 0,0035 (agrupado por UF); para o regressor de contexto</w:t>
      </w:r>
      <w:r>
        <w:rPr>
          <w:rFonts w:ascii="Arial" w:hAnsi="Arial"/>
          <w:sz w:val="22"/>
        </w:rPr>
        <w:t xml:space="preserve"> </w:t>
      </w:r>
      <m:oMath>
        <m:sSub>
          <m:e>
            <m:bar>
              <m:barPr>
                <m:pos m:val="top"/>
              </m:barPr>
              <m:e>
                <m:r>
                  <m:rPr>
                    <m:sty m:val="p"/>
                  </m:rPr>
                  <m:t>%</m:t>
                </m:r>
                <m:r>
                  <m:rPr>
                    <m:nor/>
                    <m:sty m:val="p"/>
                  </m:rPr>
                  <m:t>Negro</m:t>
                </m:r>
              </m:e>
            </m:bar>
          </m:e>
          <m:sub>
            <m:r>
              <m:rPr>
                <m:nor/>
                <m:sty m:val="p"/>
              </m:rPr>
              <m:t>UPA</m:t>
            </m:r>
          </m:sub>
        </m:sSub>
      </m:oMath>
      <w:r>
        <w:rPr>
          <w:rFonts w:ascii="Arial" w:hAnsi="Arial"/>
          <w:sz w:val="22"/>
        </w:rPr>
        <w:t xml:space="preserve">, que varia apenas no nível da UPA, a razão é de 7,3</w:t>
      </w:r>
      <m:oMath>
        <m:r>
          <m:rPr>
            <m:sty m:val="p"/>
          </m:rPr>
          <m:t>×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(UPA) e 51,9</w:t>
      </w:r>
      <m:oMath>
        <m:r>
          <m:rPr>
            <m:sty m:val="p"/>
          </m:rPr>
          <m:t>×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(UF) — a assinatura do efeito Moulton. Como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|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/</m:t>
        </m:r>
        <m:r>
          <m:rPr>
            <m:nor/>
            <m:sty m:val="p"/>
          </m:rPr>
          <m:t>SE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permanece acima de 29 mesmo no agrupamento mais conservador, nenhuma conclusão sobre o gap racial depende da escolha do erro-padrão; a correção importa para os coeficientes contextuais e para as variáveis de UF.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Pesos amostrais.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Os modelos são estimados sem o peso amostral da PNAD (V1028), isto é, descrevem a regressão na amostra, não a regressão populacional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(Angrist; Pischke, 2009)</w:t>
      </w:r>
      <w:r>
        <w:rPr>
          <w:rFonts w:ascii="Arial" w:hAnsi="Arial"/>
          <w:sz w:val="22"/>
        </w:rPr>
        <w:t xml:space="preserve">. Como robustez, o M3 foi reestimado por mínimos quadrados ponderados com V1028 e erro-padrão agrupado por UPA:</w:t>
      </w:r>
      <w:r>
        <w:rPr>
          <w:rFonts w:ascii="Arial" w:hAnsi="Arial"/>
          <w:sz w:val="22"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</m:sSub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passa de -0,1009 para -0,0967 (gap de 9,6% para 9,2%), diferença sem relevância econômica; os demais resultados são não ponderados.</w:t>
      </w:r>
    </w:p>
    <w:bookmarkEnd w:id="30"/>
    <w:bookmarkStart w:id="31" w:name="random-forest-xgboost-e-shap-values"/>
    <w:p>
      <w:pPr>
        <w:pStyle w:val="Ttulo2"/>
        <w:spacing w:line="240" w:lineRule="auto" w:before="240" w:after="120"/>
        <w:ind w:firstLine="0"/>
        <w:jc w:val="left"/>
      </w:pPr>
      <w:r>
        <w:rPr>
          <w:rFonts w:ascii="Arial" w:hAnsi="Arial"/>
          <w:sz w:val="22"/>
        </w:rPr>
        <w:t xml:space="preserve">Random Forest, XGBoost e SHAP Values</w:t>
      </w:r>
    </w:p>
    <w:p>
      <w:pPr>
        <w:pStyle w:val="FirstParagraph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Para predição do log-rendimento, foram ajustados dois modelos de ensemble: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(i) </w:t>
      </w:r>
      <w:r>
        <w:rPr>
          <w:rFonts w:ascii="Arial" w:hAnsi="Arial"/>
          <w:sz w:val="22"/>
        </w:rPr>
        <w:t xml:space="preserve">Random Forest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(Breiman, 2001)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com 200 árvores e profundidade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máxima 10; e (ii) </w:t>
      </w:r>
      <w:r>
        <w:rPr>
          <w:rFonts w:ascii="Arial" w:hAnsi="Arial"/>
          <w:sz w:val="22"/>
        </w:rPr>
        <w:t xml:space="preserve">XGBoost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(Chen; Guestrin, 2016)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com 300 iterações, taxa de aprendizado</w:t>
      </w:r>
      <w:r>
        <w:rPr>
          <w:rFonts w:ascii="Arial" w:hAnsi="Arial"/>
          <w:sz w:val="22"/>
        </w:rPr>
        <w:t xml:space="preserve"> </w:t>
      </w:r>
      <m:oMath>
        <m:r>
          <m:t>0</m:t>
        </m:r>
        <m:r>
          <m:rPr>
            <m:sty m:val="p"/>
          </m:rPr>
          <m:t>,</m:t>
        </m:r>
        <m:r>
          <m:t>05</m:t>
        </m:r>
      </m:oMath>
      <w:r>
        <w:rPr>
          <w:rFonts w:ascii="Arial" w:hAnsi="Arial"/>
          <w:sz w:val="22"/>
        </w:rPr>
        <w:t xml:space="preserve">, profundidade máxima 10 e regularização</w:t>
      </w:r>
      <w:r>
        <w:rPr>
          <w:rFonts w:ascii="Arial" w:hAnsi="Arial"/>
          <w:sz w:val="22"/>
        </w:rP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Arial" w:hAnsi="Arial"/>
          <w:sz w:val="22"/>
        </w:rPr>
        <w:t xml:space="preserve">. A profundidade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foi escolhida por validação cruzada (Tabela 4), e não por conveniência;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os dois modelos usam o mesmo conjunto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features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 a mesma partição de teste. Sobre o modelo XGBoost,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foi aplicado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TreeExplainer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da biblioteca SHAP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(Lundberg; Lee, 2017)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sobre um subsample de 50.000 observações para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calcular os valores de Shapley de cada feature.</w:t>
      </w:r>
    </w:p>
    <w:bookmarkEnd w:id="31"/>
    <w:bookmarkEnd w:id="32"/>
    <w:bookmarkStart w:id="90" w:name="resultados-e-discussão"/>
    <w:p>
      <w:pPr>
        <w:pStyle w:val="Heading1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Resultados e Discussão</w:t>
      </w:r>
    </w:p>
    <w:bookmarkStart w:id="39" w:name="subsec:hlm_resultados"/>
    <w:p>
      <w:pPr>
        <w:pStyle w:val="Ttulo2"/>
        <w:spacing w:line="240" w:lineRule="auto" w:before="240" w:after="120"/>
        <w:ind w:firstLine="0"/>
        <w:jc w:val="left"/>
      </w:pPr>
      <w:r>
        <w:rPr>
          <w:rFonts w:ascii="Arial" w:hAnsi="Arial"/>
          <w:sz w:val="22"/>
        </w:rPr>
        <w:t xml:space="preserve">Modelos Hierárquicos Lineares — Mediação Contextual do Gap</w:t>
      </w:r>
    </w:p>
    <w:p>
      <w:pPr>
        <w:pStyle w:val="FirstParagraph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Esta seção documenta como o território amplifica o gap racial: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 bairro de moradia não é apenas contexto — é parte do mecanismo de exclusão.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A Tabela 2 apresenta os cinco degraus da estratégia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step-up</w:t>
      </w:r>
      <w:r>
        <w:rPr>
          <w:rFonts w:ascii="Arial" w:hAnsi="Arial"/>
          <w:sz w:val="22"/>
        </w:rPr>
        <w:t xml:space="preserve">, do modelo nulo (M0) ao modelo com ocupação (M4), todos com intercepto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aleatório por UPA e estimados por máxima verossimilhança sobre a população completa.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Nota: acompanhe a linha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Raça (negro)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da esquerda para a direita —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cada coluna acrescenta um bloco de controles e o coeficiente se aproxima de zero; as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linhas de baixo dizem quanto da variância entre bairros cada bloco explica e se o degrau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melhora o ajuste (LR).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Quanto da renda é</w:t>
      </w:r>
      <w:r>
        <w:rPr>
          <w:rFonts w:ascii="Arial" w:hAnsi="Arial"/>
          <w:b/>
          <w:bCs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“bairro”</w:t>
      </w:r>
      <w:r>
        <w:rPr>
          <w:rFonts w:ascii="Arial" w:hAnsi="Arial"/>
          <w:b/>
          <w:bCs/>
          <w:sz w:val="22"/>
        </w:rPr>
        <w:t xml:space="preserve">: o modelo nulo.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 M0 estima</w:t>
      </w:r>
      <w:r>
        <w:rPr>
          <w:rFonts w:ascii="Arial" w:hAnsi="Arial"/>
          <w:sz w:val="22"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UPA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3370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</w:t>
      </w:r>
      <w:r>
        <w:rPr>
          <w:rFonts w:ascii="Arial" w:hAnsi="Arial"/>
          <w:sz w:val="22"/>
        </w:rP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5759</m:t>
        </m:r>
      </m:oMath>
      <w:r>
        <w:rPr>
          <w:rFonts w:ascii="Arial" w:hAnsi="Arial"/>
          <w:sz w:val="22"/>
        </w:rPr>
        <w:t xml:space="preserve">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ou seja, ICC</w:t>
      </w:r>
      <m:oMath>
        <m:sSub>
          <m:e>
            <m:r>
              <m:t>​</m:t>
            </m:r>
          </m:e>
          <m:sub>
            <m:r>
              <m:rPr>
                <m:nor/>
                <m:sty m:val="p"/>
              </m:rPr>
              <m:t>UPA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369</m:t>
        </m:r>
      </m:oMath>
      <w:r>
        <w:rPr>
          <w:rFonts w:ascii="Arial" w:hAnsi="Arial"/>
          <w:sz w:val="22"/>
        </w:rPr>
        <w:t xml:space="preserve">: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36,9% da variância do</w:t>
      </w:r>
      <w:r>
        <w:rPr>
          <w:rFonts w:ascii="Arial" w:hAnsi="Arial"/>
          <w:b/>
          <w:bCs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log-rendimento está entre bairros</w:t>
      </w:r>
      <w:r>
        <w:rPr>
          <w:rFonts w:ascii="Arial" w:hAnsi="Arial"/>
          <w:sz w:val="22"/>
        </w:rPr>
        <w:t xml:space="preserve">, muito acima do limiar de 5%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Raudenbush; Bryk (2002)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 da parcela entre estados (cerca de 10%, no modelo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alternativo com UF aleatória usado como robustez). A estrutura aninhada não é um detalhe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técnico: ignorá-la trataria como independentes pessoas que compartilham o mesmo mercado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 trabalho local.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Gap agregado</w:t>
      </w:r>
      <w:r>
        <w:rPr>
          <w:rFonts w:ascii="Arial" w:hAnsi="Arial"/>
          <w:b/>
          <w:bCs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vs.</w:t>
      </w:r>
      <w:r>
        <w:rPr>
          <w:rFonts w:ascii="Arial" w:hAnsi="Arial"/>
          <w:b/>
          <w:bCs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gap dentro do bairro (M1).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Com escolaridade, idade, sexo, horas, situação urbana e ano, mas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sem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nenhum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efeito de bairro (OLS com efeitos fixos de UF; ver a seção Inferência),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trabalhadores negros recebem 19,1% a menos que brancos comparáveis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2123</m:t>
        </m:r>
      </m:oMath>
      <w:r>
        <w:rPr>
          <w:rFonts w:ascii="Arial" w:hAnsi="Arial"/>
          <w:sz w:val="22"/>
        </w:rPr>
        <w:t xml:space="preserve">)</w:t>
      </w:r>
      <w:r>
        <w:rPr>
          <w:rStyle w:val="FootnoteReference"/>
          <w:rFonts w:ascii="Arial" w:hAnsi="Arial"/>
          <w:sz w:val="22"/>
        </w:rPr>
        <w:footnoteReference w:id="33"/>
      </w:r>
      <w:r>
        <w:rPr>
          <w:rFonts w:ascii="Arial" w:hAnsi="Arial"/>
          <w:sz w:val="22"/>
        </w:rPr>
        <w:t xml:space="preserve">. O M1 acrescenta o intercepto aleatório de UPA e passa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comparar negros e brancos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do mesmo bairro</w:t>
      </w:r>
      <w:r>
        <w:rPr>
          <w:rFonts w:ascii="Arial" w:hAnsi="Arial"/>
          <w:sz w:val="22"/>
        </w:rPr>
        <w:t xml:space="preserve">:</w:t>
      </w:r>
      <w:r>
        <w:rPr>
          <w:rFonts w:ascii="Arial" w:hAnsi="Arial"/>
          <w:sz w:val="22"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  <m:sup>
            <m:r>
              <m:t>M</m:t>
            </m:r>
            <m:r>
              <m:t>1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1124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(IC 95%: [−0,1135; −0,1113]), ou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10,6% a menos</w:t>
      </w:r>
      <w:r>
        <w:rPr>
          <w:rFonts w:ascii="Arial" w:hAnsi="Arial"/>
          <w:sz w:val="22"/>
        </w:rPr>
        <w:t xml:space="preserve">. A diferença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entre os dois —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47,0% do gap agregado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— é a parcela do gap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racial que transita pela segregação residencial: negros e brancos com o mesmo capital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humano não moram nos mesmos bairros, e os bairros pagam diferente. Esse é o teste 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Hipótese H2. Os controles individuais explicam, além disso, 55,2% 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variância entre bairros do M0: parte do que parecia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“bairro”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é composição de quem mora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nele.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O que faz de um bairro um bairro (M2).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As três covariáveis de nível 2 explicam 40,1% da variância entre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bairros que restava no M1 (</w:t>
      </w:r>
      <m:oMath>
        <m:sSup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p>
            <m:r>
              <m:t>2</m:t>
            </m:r>
          </m:sup>
        </m:sSup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 0,1509 para 0,0903; LR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=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19.536, 3 g.l.,</w:t>
      </w:r>
      <w:r>
        <w:rPr>
          <w:rFonts w:ascii="Arial" w:hAnsi="Arial"/>
          <w:sz w:val="22"/>
        </w:rPr>
        <w:t xml:space="preserve"> </w:t>
      </w:r>
      <m:oMath>
        <m:r>
          <m:t>p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001</m:t>
        </m:r>
      </m:oMath>
      <w:r>
        <w:rPr>
          <w:rFonts w:ascii="Arial" w:hAnsi="Arial"/>
          <w:sz w:val="22"/>
        </w:rPr>
        <w:t xml:space="preserve">). O coeficiente de composição racial,</w:t>
      </w:r>
      <w:r>
        <w:rPr>
          <w:rFonts w:ascii="Arial" w:hAnsi="Arial"/>
          <w:sz w:val="22"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γ</m:t>
                </m:r>
              </m:e>
            </m:acc>
          </m:e>
          <m:sub>
            <m:r>
              <m:t>01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2189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(SE 0,0017), indica que um desvio-padrão a mais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na proporção de negros da UPA reduz o log-rendimento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todos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os moradores em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0,22 pontos — da mesma ordem da penalidade individual — a evidência mais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direta do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duplo disadvantage</w:t>
      </w:r>
      <w:r>
        <w:rPr>
          <w:rFonts w:ascii="Arial" w:hAnsi="Arial"/>
          <w:sz w:val="22"/>
        </w:rPr>
        <w:t xml:space="preserve">. O coeficiente individual mal se move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</w:t>
      </w:r>
      <m:oMath>
        <m:sSubSup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  <m:sup>
            <m:r>
              <m:t>M</m:t>
            </m:r>
            <m:r>
              <m:t>2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1076</m:t>
        </m:r>
      </m:oMath>
      <w:r>
        <w:rPr>
          <w:rFonts w:ascii="Arial" w:hAnsi="Arial"/>
          <w:sz w:val="22"/>
        </w:rPr>
        <w:t xml:space="preserve">): dentro do bairro, a penalidade racial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não depende de quem são os vizinhos; o bairro opera pela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porta de entrada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(onde se consegue morar), não pelo salário de quem já está lá.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Gap líquido (M3).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Com os efeitos fixos de UF,</w:t>
      </w:r>
      <w:r>
        <w:rPr>
          <w:rFonts w:ascii="Arial" w:hAnsi="Arial"/>
          <w:sz w:val="22"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  <m:sup>
            <m:r>
              <m:t>M</m:t>
            </m:r>
            <m:r>
              <m:t>3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1077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(IC 95%: [−0,1087; −0,1066]):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gap líquido de 10,2%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é o diferencial que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capital humano, contexto de bairro e estado não explicam — limite inferior 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discriminação direta sob seleção em observáveis. O ICC cai para 0,144 e 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controles explicam 78,9% da variância entre bairros do M0.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Dentro da mesma ocupação (M4).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Acrescentar vínculo e grupo CBO leva a</w:t>
      </w:r>
      <w:r>
        <w:rPr>
          <w:rFonts w:ascii="Arial" w:hAnsi="Arial"/>
          <w:sz w:val="22"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  <m:sup>
            <m:r>
              <m:t>M</m:t>
            </m:r>
            <m:r>
              <m:t>4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0724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(7,0%). A queda adicional — 16,6% do gap agregado — não é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“explicação”</w:t>
      </w:r>
      <w:r>
        <w:rPr>
          <w:rFonts w:ascii="Arial" w:hAnsi="Arial"/>
          <w:sz w:val="22"/>
        </w:rPr>
        <w:t xml:space="preserve">, é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canal</w:t>
      </w:r>
      <w:r>
        <w:rPr>
          <w:rFonts w:ascii="Arial" w:hAnsi="Arial"/>
          <w:sz w:val="22"/>
        </w:rPr>
        <w:t xml:space="preserve">: a ocupação é ela própria resultado da barreira de acesso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(ver a seção GLMM logístico), por isso o M4 é um limite inferior descritivo.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A penalidade varia entre bairros.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 inclinação aleatória de</w:t>
      </w:r>
      <w:r>
        <w:rPr>
          <w:rFonts w:ascii="Arial" w:hAnsi="Arial"/>
          <w:sz w:val="22"/>
        </w:rPr>
        <w:t xml:space="preserve"> </w:t>
      </w:r>
      <w:r>
        <w:rPr>
          <w:rStyle w:val="VerbatimChar"/>
          <w:rFonts w:ascii="Arial" w:hAnsi="Arial"/>
          <w:sz w:val="22"/>
        </w:rPr>
        <w:t xml:space="preserve">negro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por UPA é significativa (LR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=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38.657,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2 g.l.,</w:t>
      </w:r>
      <w:r>
        <w:rPr>
          <w:rFonts w:ascii="Arial" w:hAnsi="Arial"/>
          <w:sz w:val="22"/>
        </w:rPr>
        <w:t xml:space="preserve"> </w:t>
      </w:r>
      <m:oMath>
        <m:r>
          <m:t>p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001</m:t>
        </m:r>
      </m:oMath>
      <w:r>
        <w:rPr>
          <w:rFonts w:ascii="Arial" w:hAnsi="Arial"/>
          <w:sz w:val="22"/>
        </w:rPr>
        <w:t xml:space="preserve">):</w:t>
      </w:r>
      <w:r>
        <w:rPr>
          <w:rFonts w:ascii="Arial" w:hAnsi="Arial"/>
          <w:sz w:val="22"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0293</m:t>
        </m:r>
      </m:oMath>
      <w:r>
        <w:rPr>
          <w:rFonts w:ascii="Arial" w:hAnsi="Arial"/>
          <w:sz w:val="22"/>
        </w:rPr>
        <w:t xml:space="preserve">, desvio-padrão de 0,171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log-pontos. Em bairros a um desvio-padrão da média a penalidade vai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−0,280 a 0,063 log-pontos — a discriminação salarial tem geografia, e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covariância intercepto–inclinação de −0,0245 indica que a penalidade é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maior nos bairros de renda-base mais alta. A Figura 1 contrasta os efeitos fixos de estado com os interceptos estimados para os bairros.</w:t>
      </w:r>
    </w:p>
    <w:bookmarkStart w:id="37" w:name="fig:hlm_blups"/>
    <w:p>
      <w:pPr>
        <w:pStyle w:val="CaptionedFigure"/>
      </w:pPr>
      <w:r>
        <w:rPr>
          <w:rFonts w:ascii="Arial" w:hAnsi="Arial"/>
          <w:sz w:val="22"/>
        </w:rPr>
        <w:drawing>
          <wp:inline>
            <wp:extent cx="5753100" cy="2573415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outputs/figures/hlm_efeitos_uf_blup_upa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25734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line="240" w:lineRule="auto" w:before="240" w:after="40"/>
        <w:ind w:firstLine="0"/>
        <w:jc w:val="both"/>
      </w:pPr>
      <w:r>
        <w:rPr>
          <w:rFonts w:ascii="Arial" w:hAnsi="Arial"/>
          <w:sz w:val="22"/>
        </w:rPr>
        <w:t xml:space="preserve">Figura 1. A variação entre bairros supera a variação entre estados. À esquerda, 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efeitos fixos de UF do M3 com IC 95% (referência: primeira UF); à direita,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distribuição dos interceptos aleatórios das UPAs (</w:t>
      </w:r>
      <m:oMath>
        <m:sSub>
          <m:e>
            <m:r>
              <m:t>u</m:t>
            </m:r>
          </m:e>
          <m:sub>
            <m:r>
              <m:t>0</m:t>
            </m:r>
            <m:r>
              <m:t>j</m:t>
            </m:r>
          </m:sub>
        </m:sSub>
      </m:oMath>
      <w:r>
        <w:rPr>
          <w:rFonts w:ascii="Arial" w:hAnsi="Arial"/>
          <w:sz w:val="22"/>
        </w:rPr>
        <w:t xml:space="preserve">, BLUPs do M3).</w:t>
      </w:r>
    </w:p>
    <w:bookmarkEnd w:id="37"/>
    <w:p>
      <w:pPr>
        <w:pStyle w:val="BodyText"/>
        <w:spacing w:line="240" w:lineRule="auto" w:before="40" w:after="240"/>
        <w:ind w:firstLine="0"/>
        <w:jc w:val="both"/>
      </w:pPr>
      <w:r>
        <w:rPr>
          <w:rFonts w:ascii="Arial" w:hAnsi="Arial"/>
          <w:sz w:val="22"/>
        </w:rPr>
        <w:t xml:space="preserve">Fonte: Resultados originais da pesquisa</w:t>
      </w:r>
    </w:p>
    <w:p>
      <w:pPr>
        <w:pStyle w:val="BodyText"/>
        <w:spacing w:line="240" w:lineRule="auto" w:before="40" w:after="240"/>
        <w:ind w:firstLine="0"/>
        <w:jc w:val="both"/>
      </w:pPr>
      <w:r>
        <w:rPr>
          <w:rFonts w:ascii="Arial" w:hAnsi="Arial"/>
          <w:sz w:val="22"/>
        </w:rPr>
        <w:t xml:space="preserve">Nota: como ler a Figura 1: cada ponto à esquerda é um estado;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 largura do histograma à direita é o quanto a renda-base muda de um bairro para outro,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já descontados capital humano, contexto e estado.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Viés de variável omitida e sensibilidade.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 coeficiente racial é uma associação condicional: pela fórmula do viés de variável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omitida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(Angrist; Pischke, 2009)</w:t>
      </w:r>
      <w:r>
        <w:rPr>
          <w:rFonts w:ascii="Arial" w:hAnsi="Arial"/>
          <w:sz w:val="22"/>
        </w:rPr>
        <w:t xml:space="preserve">, o coeficiente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“curto”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iguala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“longo”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mais o efeito do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omitido vezes sua relação com a raça. Qualidade da escola, habilidade não observada 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redes de contato correlacionam-se negativamente com ser negro e positivamente com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renda: omiti-las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superestima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 penalidade — o que faz do M3 um limite superior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para o efeito de tratamento diferencial condicional a essas características. Na direção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oposta, os controles que são desfechos (ocupação no M4)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subestimam</w:t>
      </w:r>
      <w:r>
        <w:rPr>
          <w:rFonts w:ascii="Arial" w:hAnsi="Arial"/>
          <w:sz w:val="22"/>
        </w:rPr>
        <w:t xml:space="preserve">. O gap líquido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deve ser lido entre esses dois limites. Para anular</w:t>
      </w:r>
      <w:r>
        <w:rPr>
          <w:rFonts w:ascii="Arial" w:hAnsi="Arial"/>
          <w:sz w:val="22"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  <m:sup>
            <m:r>
              <m:t>M</m:t>
            </m:r>
            <m:r>
              <m:t>3</m:t>
            </m:r>
          </m:sup>
        </m:sSubSup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seria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preciso um viés de 99,0% do coeficiente (Konfound,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Frank et al. (2013)</w:t>
      </w:r>
      <w:r>
        <w:rPr>
          <w:rFonts w:ascii="Arial" w:hAnsi="Arial"/>
          <w:sz w:val="22"/>
        </w:rPr>
        <w:t xml:space="preserve">), e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E-value do modelo de acesso (Tabela 10) exige um confundidor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associado à raça e ao desfecho com razão de risco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≥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— mais forte que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qualquer covariável observada.</w:t>
      </w:r>
    </w:p>
    <w:bookmarkStart w:id="38" w:name="tab:hlm_resultados"/>
    <w:p>
      <w:pPr>
        <w:pStyle w:val="TableCaption"/>
        <w:spacing w:line="240" w:lineRule="auto" w:before="240" w:after="40"/>
        <w:ind w:firstLine="0"/>
        <w:jc w:val="both"/>
      </w:pPr>
      <w:r>
        <w:rPr>
          <w:rFonts w:ascii="Arial" w:hAnsi="Arial"/>
          <w:sz w:val="22"/>
        </w:rPr>
        <w:t xml:space="preserve">Tabela 2. HLM de dois níveis (indivíduo em UPA) com efeitos fixos de UF — estratégia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i/>
          <w:iCs/>
          <w:sz w:val="22"/>
        </w:rPr>
        <w:t xml:space="preserve">step-up</w:t>
      </w:r>
      <w:r>
        <w:rPr>
          <w:rFonts w:ascii="Arial" w:hAnsi="Arial"/>
          <w:sz w:val="22"/>
        </w:rPr>
        <w:t xml:space="preserve">, PNAD Contínua 2016–2025, população completa (</w:t>
      </w:r>
      <m:oMath>
        <m:r>
          <m:t>N</m:t>
        </m:r>
        <m:r>
          <m:rPr>
            <m:sty m:val="p"/>
          </m:rPr>
          <m:t>=</m:t>
        </m:r>
        <m:r>
          <m:t>7.689</m:t>
        </m:r>
        <m:r>
          <m:t>.426</m:t>
        </m:r>
      </m:oMath>
      <w:r>
        <w:rPr>
          <w:rFonts w:ascii="Arial" w:hAnsi="Arial"/>
          <w:sz w:val="22"/>
        </w:rPr>
        <w:t xml:space="preserve">; 40.295 UPAs; 27 UFs). Coeficientes com erro-padrão do modelo entre parênteses (a correlação intra-UPA já está no efeito aleatório). Estimação por máxima verossimilhança (ML), para os testes LR entre degraus; REML coincide. Todos os coeficientes com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|</m:t>
        </m:r>
        <m:r>
          <m:t>t</m:t>
        </m:r>
        <m:r>
          <m:rPr>
            <m:sty m:val="p"/>
          </m:rPr>
          <m:t>|</m:t>
        </m:r>
        <m:r>
          <m:rPr>
            <m:sty m:val="p"/>
          </m:rPr>
          <m:t>&gt;</m:t>
        </m:r>
        <m:r>
          <m:t>10</m:t>
        </m:r>
      </m:oMath>
      <w:r>
        <w:rPr>
          <w:rFonts w:ascii="Arial" w:hAnsi="Arial"/>
          <w:sz w:val="22"/>
        </w:rPr>
        <w:t xml:space="preserve">; a inferência relevante está nos intervalos de confiança, não nos asteriscos (MHE, cap. 8).</w:t>
      </w:r>
    </w:p>
    <w:tbl>
      <w:tblPr>
        <w:tblStyle w:val="Table"/>
        <w:tblW w:type="auto" w:w="0"/>
        <w:tblLayout w:type="fixed"/>
        <w:tblLook w:firstRow="1" w:lastRow="0" w:firstColumn="0" w:lastColumn="0" w:noHBand="0" w:noVBand="0" w:val="0020"/>
        <w:tblCaption w:val="Tabela 2. HLM de dois níveis (indivíduo em UPA) com efeitos fixos de UF — estratégia step-up, PNAD Contínua 2016–2025, população completa (N = 7.689.426; 40.295 UPAs; 27 UFs). Coeficientes com erro-padrão do modelo entre parênteses (a correlação intra-UPA já está no efeito aleatório). Estimação por máxima verossimilhança (ML), para os testes LR entre degraus; REML coincide. Todos os coeficientes com |t| &gt; 10; a inferência relevante está nos intervalos de confiança, não nos asteriscos (MHE, cap. 8).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067"/>
        <w:gridCol w:w="494"/>
        <w:gridCol w:w="1550"/>
        <w:gridCol w:w="1653"/>
        <w:gridCol w:w="1653"/>
        <w:gridCol w:w="1653"/>
      </w:tblGrid>
      <w:tr>
        <w:trPr>
          <w:tblHeader w:val="on"/>
        </w:trPr>
        <w:tc>
          <w:tcPr>
            <w:tcW w:type="dxa" w:w="2067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bCs/>
                <w:sz w:val="22"/>
              </w:rPr>
              <w:t xml:space="preserve">Variável</w:t>
            </w:r>
          </w:p>
        </w:tc>
        <w:tc>
          <w:tcPr>
            <w:tcW w:type="dxa" w:w="494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bCs/>
                <w:sz w:val="22"/>
              </w:rPr>
              <w:t xml:space="preserve">M0</w:t>
            </w:r>
          </w:p>
        </w:tc>
        <w:tc>
          <w:tcPr>
            <w:tcW w:type="dxa" w:w="1550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bCs/>
                <w:sz w:val="22"/>
              </w:rPr>
              <w:t xml:space="preserve">M1</w:t>
            </w:r>
          </w:p>
        </w:tc>
        <w:tc>
          <w:tcPr>
            <w:tcW w:type="dxa" w:w="1653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bCs/>
                <w:sz w:val="22"/>
              </w:rPr>
              <w:t xml:space="preserve">M2</w:t>
            </w:r>
          </w:p>
        </w:tc>
        <w:tc>
          <w:tcPr>
            <w:tcW w:type="dxa" w:w="1653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bCs/>
                <w:sz w:val="22"/>
              </w:rPr>
              <w:t xml:space="preserve">M3</w:t>
            </w:r>
          </w:p>
        </w:tc>
        <w:tc>
          <w:tcPr>
            <w:tcW w:type="dxa" w:w="1653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bCs/>
                <w:sz w:val="22"/>
              </w:rPr>
              <w:t xml:space="preserve">M4</w:t>
            </w: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Intercepto</w:t>
            </w:r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7,3022 (0,0029)</w:t>
            </w: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4,2579 (0,0051)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4,2885 (0,0046)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4,5538 (0,0116)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4,7525 (0,0093)</w:t>
            </w: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bCs/>
                <w:sz w:val="22"/>
              </w:rPr>
              <w:t xml:space="preserve">Raça (negro)</w:t>
            </w:r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−0,1124 (0,0006)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−0,1076 (0,0006)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−0,1077 (0,0006)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−0,0724 (0,0005)</w:t>
            </w: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Sexo feminino</w:t>
            </w:r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−0,1944 (0,0005)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−0,1945 (0,0005)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−0,1945 (0,0005)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−0,2190 (0,0005)</w:t>
            </w: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Idade (centrada)</w:t>
            </w:r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0,0087 (2,1e-05)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0,0087 (2,1e-05)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0,0087 (2,1e-05)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0,0092 (1,9e-05)</w:t>
            </w: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Idade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−0,0005 (1,2e-06)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−0,0005 (1,2e-06)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−0,0005 (1,2e-06)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−0,0004 (1,1e-06)</w:t>
            </w: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both"/>
            </w:pP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both"/>
            </w:pP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Educ.: fundamental completo</w:t>
            </w:r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−0,2007 (0,0038)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−0,2002 (0,0038)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−0,1986 (0,0038)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−0,1821 (0,0034)</w:t>
            </w: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Educ.: médio completo</w:t>
            </w:r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−0,0537 (0,0027)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−0,0545 (0,0027)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−0,0547 (0,0027)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−0,0438 (0,0024)</w:t>
            </w: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Educ.: superior completo</w:t>
            </w:r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0,0521 (0,0025)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0,0521 (0,0025)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0,0523 (0,0025)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0,0537 (0,0023)</w:t>
            </w: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Educ.: pós-graduação</w:t>
            </w:r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−0,0034 (0,0036)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−0,0033 (0,0036)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−0,0030 (0,0036)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−0,0043 (0,0033)</w:t>
            </w: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Educ.: não registrada</w:t>
            </w:r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0,4228 (0,0025)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0,4233 (0,0025)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0,4237 (0,0025)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0,2194 (0,0023)</w:t>
            </w: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both"/>
            </w:pP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both"/>
            </w:pP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log(horas)</w:t>
            </w:r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0,6823 (0,0006)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0,6818 (0,0006)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0,6815 (0,0006)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0,5979 (0,0006)</w:t>
            </w: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Urbano</w:t>
            </w:r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0,4348 (0,0045)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0,3771 (0,0036)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0,3347 (0,0033)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0,2026 (0,0026)</w:t>
            </w: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both"/>
            </w:pP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both"/>
            </w:pP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% negro na UPA (</w:t>
            </w:r>
            <m:oMath>
              <m:r>
                <m:t>z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)</w:t>
            </w:r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−0,2189 (0,0017)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−0,2508 (0,0025)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−0,1812 (0,0020)</w:t>
            </w: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Desemprego na UPA (</w:t>
            </w:r>
            <m:oMath>
              <m:r>
                <m:t>z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)</w:t>
            </w:r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−0,0542 (0,0016)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−0,0338 (0,0015)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−0,0275 (0,0012)</w:t>
            </w: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Educ. média na UPA (</w:t>
            </w:r>
            <m:oMath>
              <m:r>
                <m:t>z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)</w:t>
            </w:r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0,0055 (0,0013)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−0,0052 (0,0012)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0,0054 (0,0010)</w:t>
            </w: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both"/>
            </w:pP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both"/>
            </w:pP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Emprego formal</w:t>
            </w:r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0,1776 (0,0006)</w:t>
            </w: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Conta própria</w:t>
            </w:r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−0,1725 (0,0007)</w:t>
            </w: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Trab. doméstico</w:t>
            </w:r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−0,1272 (0,0010)</w:t>
            </w: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CBO: dirigente</w:t>
            </w:r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0,7777 (0,0013)</w:t>
            </w: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CBO: profissional</w:t>
            </w:r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0,8720 (0,0010)</w:t>
            </w: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CBO: técnico</w:t>
            </w:r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0,5009 (0,0010)</w:t>
            </w: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CBO: administrativo</w:t>
            </w:r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0,2639 (0,0010)</w:t>
            </w: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CBO: serviços</w:t>
            </w:r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0,1832 (0,0008)</w:t>
            </w: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CBO: agropecuária</w:t>
            </w:r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0,0892 (0,0011)</w:t>
            </w: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CBO: operário</w:t>
            </w:r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0,1976 (0,0009)</w:t>
            </w: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CBO: operador</w:t>
            </w:r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0,2294 (0,0010)</w:t>
            </w: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CBO: FFAA</w:t>
            </w:r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0,9199 (0,0024)</w:t>
            </w: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IC 95% de</w:t>
            </w:r>
            <w:r>
              <w:rPr>
                <w:rFonts w:ascii="Arial" w:hAnsi="Arial"/>
                <w:b w:val="0"/>
                <w:sz w:val="22"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negro</m:t>
                  </m:r>
                </m:sub>
              </m:sSub>
            </m:oMath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[−0,1135; −0,1113]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[−0,1087; −0,1065]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[−0,1087; −0,1066]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[−0,0734; −0,0714]</w:t>
            </w: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Gap (%)</w:t>
            </w:r>
            <w:r>
              <w:rPr>
                <w:rFonts w:ascii="Arial" w:hAnsi="Arial"/>
                <w:b w:val="0"/>
                <w:sz w:val="22"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β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−10,6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−10,2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−10,2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−7,0</w:t>
            </w: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Efeitos fixos de UF</w:t>
            </w:r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não</w:t>
            </w: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não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não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sim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sim</w:t>
            </w: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both"/>
            </w:pP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both"/>
            </w:pP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τ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UPA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Arial" w:hAnsi="Arial"/>
                <w:b w:val="0"/>
                <w:sz w:val="22"/>
              </w:rPr>
              <w:t xml:space="preserve"> </w:t>
            </w:r>
            <w:r>
              <w:rPr>
                <w:rFonts w:ascii="Arial" w:hAnsi="Arial"/>
                <w:b w:val="0"/>
                <w:sz w:val="22"/>
              </w:rPr>
              <w:t xml:space="preserve">(nível 2)</w:t>
            </w:r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0,3370</w:t>
            </w: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0,1509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0,0903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0,0712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0,0430</w:t>
            </w: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rPr>
                <w:rFonts w:ascii="Arial" w:hAnsi="Arial"/>
                <w:b w:val="0"/>
                <w:sz w:val="22"/>
              </w:rPr>
              <w:t xml:space="preserve"> </w:t>
            </w:r>
            <w:r>
              <w:rPr>
                <w:rFonts w:ascii="Arial" w:hAnsi="Arial"/>
                <w:b w:val="0"/>
                <w:sz w:val="22"/>
              </w:rPr>
              <w:t xml:space="preserve">(nível 1)</w:t>
            </w:r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0,5759</w:t>
            </w: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0,4244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0,4244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0,4244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0,3440</w:t>
            </w: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ICC</w:t>
            </w:r>
            <m:oMath>
              <m:sSub>
                <m:e>
                  <m:r>
                    <m:t>​</m:t>
                  </m:r>
                </m:e>
                <m:sub>
                  <m:r>
                    <m:rPr>
                      <m:nor/>
                      <m:sty m:val="p"/>
                    </m:rPr>
                    <m:t>UPA</m:t>
                  </m:r>
                </m:sub>
              </m:sSub>
            </m:oMath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0,369</w:t>
            </w: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0,262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0,175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0,144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0,111</w:t>
            </w: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m:oMath>
              <m:sSup>
                <m:e>
                  <m:r>
                    <m:t>τ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Arial" w:hAnsi="Arial"/>
                <w:b w:val="0"/>
                <w:sz w:val="22"/>
              </w:rPr>
              <w:t xml:space="preserve"> </w:t>
            </w:r>
            <w:r>
              <w:rPr>
                <w:rFonts w:ascii="Arial" w:hAnsi="Arial"/>
                <w:b w:val="0"/>
                <w:sz w:val="22"/>
              </w:rPr>
              <w:t xml:space="preserve">explicada vs. M0 (%)</w:t>
            </w:r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55,2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73,2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78,9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87,2</w:t>
            </w: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LL (deviance)</w:t>
            </w:r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17.751.140</w:t>
            </w: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15.384.825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15.365.289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15.356.451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13.729.450</w:t>
            </w: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AIC</w:t>
            </w:r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17.751.146</w:t>
            </w: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15.384.871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15.365.341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15.356.555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13.729.578</w:t>
            </w: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BIC</w:t>
            </w:r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17.751.187</w:t>
            </w: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15.385.190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15.365.702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15.357.275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13.730.465</w:t>
            </w: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LR vs. degrau anterior (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Arial" w:hAnsi="Arial"/>
                <w:b w:val="0"/>
                <w:sz w:val="22"/>
              </w:rPr>
              <w:t xml:space="preserve">, g.l.)</w:t>
            </w:r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2.366.315 (20)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19.536 (3)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8.838 (26)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1.627.001 (12)</w:t>
            </w:r>
          </w:p>
        </w:tc>
      </w:tr>
      <w:tr>
        <w:tc>
          <w:tcPr>
            <w:tcW w:type="dxa" w:w="2067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left"/>
            </w:pPr>
            <m:oMath>
              <m:r>
                <m:t>p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 </w:t>
            </w:r>
            <w:r>
              <w:rPr>
                <w:rFonts w:ascii="Arial" w:hAnsi="Arial"/>
                <w:b w:val="0"/>
                <w:sz w:val="22"/>
              </w:rPr>
              <w:t xml:space="preserve">do LR</w:t>
            </w:r>
          </w:p>
        </w:tc>
        <w:tc>
          <w:tcPr>
            <w:tcW w:type="dxa" w:w="494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550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001</m:t>
              </m:r>
            </m:oMath>
          </w:p>
        </w:tc>
        <w:tc>
          <w:tcPr>
            <w:tcW w:type="dxa" w:w="1653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001</m:t>
              </m:r>
            </m:oMath>
          </w:p>
        </w:tc>
        <w:tc>
          <w:tcPr>
            <w:tcW w:type="dxa" w:w="1653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001</m:t>
              </m:r>
            </m:oMath>
          </w:p>
        </w:tc>
        <w:tc>
          <w:tcPr>
            <w:tcW w:type="dxa" w:w="1653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001</m:t>
              </m:r>
            </m:oMath>
          </w:p>
        </w:tc>
      </w:tr>
    </w:tbl>
    <w:bookmarkEnd w:id="38"/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i/>
          <w:iCs/>
          <w:sz w:val="22"/>
        </w:rPr>
        <w:t xml:space="preserve">Inclinação aleatória de</w:t>
      </w:r>
      <w:r>
        <w:rPr>
          <w:rFonts w:ascii="Arial" w:hAnsi="Arial"/>
          <w:i/>
          <w:iCs/>
          <w:sz w:val="22"/>
        </w:rPr>
        <w:t xml:space="preserve"> </w:t>
      </w:r>
      <w:r>
        <w:rPr>
          <w:rStyle w:val="VerbatimChar"/>
          <w:rFonts w:ascii="Arial" w:hAnsi="Arial"/>
          <w:i/>
          <w:iCs/>
          <w:sz w:val="22"/>
        </w:rPr>
        <w:t xml:space="preserve">negro</w:t>
      </w:r>
      <w:r>
        <w:rPr>
          <w:rFonts w:ascii="Arial" w:hAnsi="Arial"/>
          <w:i/>
          <w:iCs/>
          <w:sz w:val="22"/>
        </w:rPr>
        <w:t xml:space="preserve"> </w:t>
      </w:r>
      <w:r>
        <w:rPr>
          <w:rFonts w:ascii="Arial" w:hAnsi="Arial"/>
          <w:i/>
          <w:iCs/>
          <w:sz w:val="22"/>
        </w:rPr>
        <w:t xml:space="preserve">por UPA (M3 +</w:t>
      </w:r>
      <w:r>
        <w:rPr>
          <w:rFonts w:ascii="Arial" w:hAnsi="Arial"/>
          <w:i/>
          <w:iCs/>
          <w:sz w:val="22"/>
        </w:rP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  <m:r>
              <m:t>j</m:t>
            </m:r>
          </m:sub>
        </m:sSub>
      </m:oMath>
      <w:r>
        <w:rPr>
          <w:rFonts w:ascii="Arial" w:hAnsi="Arial"/>
          <w:i/>
          <w:iCs/>
          <w:sz w:val="22"/>
        </w:rPr>
        <w:t xml:space="preserve">):</w:t>
      </w:r>
      <w:r>
        <w:rPr>
          <w:rFonts w:ascii="Arial" w:hAnsi="Arial"/>
          <w:sz w:val="22"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0293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(DP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171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em log-pontos), cov</w:t>
      </w:r>
      <m:oMath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0245</m:t>
        </m:r>
      </m:oMath>
      <w:r>
        <w:rPr>
          <w:rFonts w:ascii="Arial" w:hAnsi="Arial"/>
          <w:sz w:val="22"/>
        </w:rPr>
        <w:t xml:space="preserve">; LR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=</m:t>
        </m:r>
        <m:r>
          <m:t>38.657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(2 g.l.),</w:t>
      </w:r>
      <w:r>
        <w:rPr>
          <w:rFonts w:ascii="Arial" w:hAnsi="Arial"/>
          <w:sz w:val="22"/>
        </w:rPr>
        <w:t xml:space="preserve"> </w:t>
      </w:r>
      <m:oMath>
        <m:r>
          <m:t>p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001</m:t>
        </m:r>
      </m:oMath>
      <w:r>
        <w:rPr>
          <w:rFonts w:ascii="Arial" w:hAnsi="Arial"/>
          <w:sz w:val="22"/>
        </w:rPr>
        <w:t xml:space="preserve">: a penalidade racial varia entre bairros;</w:t>
      </w:r>
      <w:r>
        <w:rPr>
          <w:rFonts w:ascii="Arial" w:hAnsi="Arial"/>
          <w:sz w:val="22"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</m:sSub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médio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1085</m:t>
        </m:r>
      </m:oMath>
      <w:r>
        <w:rPr>
          <w:rFonts w:ascii="Arial" w:hAnsi="Arial"/>
          <w:sz w:val="22"/>
        </w:rPr>
        <w:t xml:space="preserve">.</w:t>
      </w:r>
    </w:p>
    <w:p>
      <w:pPr>
        <w:pStyle w:val="BodyText"/>
        <w:spacing w:line="240" w:lineRule="auto" w:before="40" w:after="240"/>
        <w:ind w:firstLine="0"/>
        <w:jc w:val="both"/>
      </w:pPr>
      <w:r>
        <w:rPr>
          <w:rFonts w:ascii="Arial" w:hAnsi="Arial"/>
          <w:sz w:val="22"/>
        </w:rPr>
        <w:t xml:space="preserve">Fonte: Resultados originais da pesquisa.</w:t>
      </w:r>
    </w:p>
    <w:bookmarkEnd w:id="39"/>
    <w:bookmarkStart w:id="52" w:name="subsec:ml"/>
    <w:p>
      <w:pPr>
        <w:pStyle w:val="Ttulo2"/>
        <w:spacing w:line="240" w:lineRule="auto" w:before="240" w:after="120"/>
        <w:ind w:firstLine="0"/>
        <w:jc w:val="left"/>
      </w:pPr>
      <w:r>
        <w:rPr>
          <w:rFonts w:ascii="Arial" w:hAnsi="Arial"/>
          <w:sz w:val="22"/>
        </w:rPr>
        <w:t xml:space="preserve">Modelos de Machine Learning e SHAP Values</w:t>
      </w:r>
    </w:p>
    <w:p>
      <w:pPr>
        <w:pStyle w:val="FirstParagraph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A Tabela 3 apresenta o desempenho preditivo dos dois modelos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sobre o conjunto de teste (</w:t>
      </w:r>
      <w:r>
        <w:rPr>
          <w:rFonts w:ascii="Arial" w:hAnsi="Arial"/>
          <w:sz w:val="22"/>
        </w:rPr>
        <w:t xml:space="preserve">hold-out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20%).</w:t>
      </w:r>
    </w:p>
    <w:bookmarkStart w:id="40" w:name="tab:ml_perf"/>
    <w:p>
      <w:pPr>
        <w:pStyle w:val="TableCaption"/>
        <w:spacing w:line="240" w:lineRule="auto" w:before="240" w:after="40"/>
        <w:ind w:firstLine="0"/>
        <w:jc w:val="both"/>
      </w:pPr>
      <w:r>
        <w:rPr>
          <w:rFonts w:ascii="Arial" w:hAnsi="Arial"/>
          <w:sz w:val="22"/>
        </w:rPr>
        <w:t xml:space="preserve">Tabela 3. Desempenho preditivo — Random Forest, XGBoost e XGBoost sem renda de vizinhança (robustez ao problema do reflexo).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Hold-out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20% da população (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teste</m:t>
            </m:r>
          </m:sub>
        </m:sSub>
        <m:r>
          <m:rPr>
            <m:sty m:val="p"/>
          </m:rPr>
          <m:t>≈</m:t>
        </m:r>
        <m:r>
          <m:t>1</m:t>
        </m:r>
        <m:r>
          <m:rPr>
            <m:sty m:val="p"/>
          </m:rPr>
          <m:t>,</m:t>
        </m:r>
        <m:r>
          <m:t>54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milhão).</w:t>
      </w:r>
    </w:p>
    <w:tbl>
      <w:tblPr>
        <w:tblStyle w:val="Table"/>
        <w:tblW w:type="auto" w:w="0"/>
        <w:tblLayout w:type="fixed"/>
        <w:tblLook w:firstRow="1" w:lastRow="0" w:firstColumn="0" w:lastColumn="0" w:noHBand="0" w:noVBand="0" w:val="0020"/>
        <w:tblCaption w:val="Tabela 3. Desempenho preditivo — Random Forest, XGBoost e XGBoost sem renda de vizinhança (robustez ao problema do reflexo). Hold-out 20% da população (N_\text{teste}\approx 1{,}54 milhão).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861"/>
        <w:gridCol w:w="919"/>
        <w:gridCol w:w="919"/>
        <w:gridCol w:w="919"/>
        <w:gridCol w:w="2452"/>
      </w:tblGrid>
      <w:tr>
        <w:trPr>
          <w:tblHeader w:val="on"/>
        </w:trPr>
        <w:tc>
          <w:tcPr>
            <w:tcW w:type="dxa" w:w="3861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bCs/>
                <w:sz w:val="22"/>
              </w:rPr>
              <w:t xml:space="preserve">Modelo</w:t>
            </w:r>
          </w:p>
        </w:tc>
        <w:tc>
          <w:tcPr>
            <w:tcW w:type="dxa" w:w="919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>
            <w:tcW w:type="dxa" w:w="919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bCs/>
                <w:sz w:val="22"/>
              </w:rPr>
              <w:t xml:space="preserve">MAE</w:t>
            </w:r>
          </w:p>
        </w:tc>
        <w:tc>
          <w:tcPr>
            <w:tcW w:type="dxa" w:w="919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bCs/>
                <w:sz w:val="22"/>
              </w:rPr>
              <w:t xml:space="preserve">RMSE</w:t>
            </w:r>
          </w:p>
        </w:tc>
        <w:tc>
          <w:tcPr>
            <w:tcW w:type="dxa" w:w="2452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bCs/>
                <w:sz w:val="22"/>
              </w:rPr>
              <w:t xml:space="preserve">Gap treino–teste</w:t>
            </w:r>
          </w:p>
        </w:tc>
      </w:tr>
      <w:tr>
        <w:tc>
          <w:tcPr>
            <w:tcW w:type="dxa" w:w="3861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Random Forest</w:t>
            </w:r>
          </w:p>
        </w:tc>
        <w:tc>
          <w:tcPr>
            <w:tcW w:type="dxa" w:w="91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0,5689</w:t>
            </w:r>
          </w:p>
        </w:tc>
        <w:tc>
          <w:tcPr>
            <w:tcW w:type="dxa" w:w="91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0,4557</w:t>
            </w:r>
          </w:p>
        </w:tc>
        <w:tc>
          <w:tcPr>
            <w:tcW w:type="dxa" w:w="91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0,6070</w:t>
            </w:r>
          </w:p>
        </w:tc>
        <w:tc>
          <w:tcPr>
            <w:tcW w:type="dxa" w:w="245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0,0015</w:t>
            </w:r>
          </w:p>
        </w:tc>
      </w:tr>
      <w:tr>
        <w:tc>
          <w:tcPr>
            <w:tcW w:type="dxa" w:w="3861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bCs/>
                <w:sz w:val="22"/>
              </w:rPr>
              <w:t xml:space="preserve">XGBoost</w:t>
            </w:r>
          </w:p>
        </w:tc>
        <w:tc>
          <w:tcPr>
            <w:tcW w:type="dxa" w:w="91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bCs/>
                <w:sz w:val="22"/>
              </w:rPr>
              <w:t xml:space="preserve">0,6280</w:t>
            </w:r>
          </w:p>
        </w:tc>
        <w:tc>
          <w:tcPr>
            <w:tcW w:type="dxa" w:w="91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bCs/>
                <w:sz w:val="22"/>
              </w:rPr>
              <w:t xml:space="preserve">0,4218</w:t>
            </w:r>
          </w:p>
        </w:tc>
        <w:tc>
          <w:tcPr>
            <w:tcW w:type="dxa" w:w="91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bCs/>
                <w:sz w:val="22"/>
              </w:rPr>
              <w:t xml:space="preserve">0,5639</w:t>
            </w:r>
          </w:p>
        </w:tc>
        <w:tc>
          <w:tcPr>
            <w:tcW w:type="dxa" w:w="245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bCs/>
                <w:sz w:val="22"/>
              </w:rPr>
              <w:t xml:space="preserve">0,0090</w:t>
            </w:r>
          </w:p>
        </w:tc>
      </w:tr>
      <w:tr>
        <w:tc>
          <w:tcPr>
            <w:tcW w:type="dxa" w:w="3861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XGBoost (sem renda da UPA)</w:t>
            </w:r>
          </w:p>
        </w:tc>
        <w:tc>
          <w:tcPr>
            <w:tcW w:type="dxa" w:w="919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0,5983</w:t>
            </w:r>
          </w:p>
        </w:tc>
        <w:tc>
          <w:tcPr>
            <w:tcW w:type="dxa" w:w="919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0,4402</w:t>
            </w:r>
          </w:p>
        </w:tc>
        <w:tc>
          <w:tcPr>
            <w:tcW w:type="dxa" w:w="919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0,5860</w:t>
            </w:r>
          </w:p>
        </w:tc>
        <w:tc>
          <w:tcPr>
            <w:tcW w:type="dxa" w:w="2452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0,0092</w:t>
            </w:r>
          </w:p>
        </w:tc>
      </w:tr>
    </w:tbl>
    <w:bookmarkEnd w:id="40"/>
    <w:p>
      <w:pPr>
        <w:pStyle w:val="BodyText"/>
        <w:spacing w:line="240" w:lineRule="auto" w:before="40" w:after="240"/>
        <w:ind w:firstLine="0"/>
        <w:jc w:val="both"/>
      </w:pPr>
      <w:r>
        <w:rPr>
          <w:rFonts w:ascii="Arial" w:hAnsi="Arial"/>
          <w:sz w:val="22"/>
        </w:rPr>
        <w:t xml:space="preserve">Fonte: Resultados originais da pesquisa.</w:t>
      </w:r>
    </w:p>
    <w:p>
      <w:pPr>
        <w:pStyle w:val="BodyText"/>
        <w:spacing w:line="240" w:lineRule="auto" w:before="40" w:after="240"/>
        <w:ind w:firstLine="0"/>
        <w:jc w:val="both"/>
      </w:pPr>
      <w:r>
        <w:rPr>
          <w:rFonts w:ascii="Arial" w:hAnsi="Arial"/>
          <w:sz w:val="22"/>
        </w:rPr>
        <w:t xml:space="preserve">Nota: como ler a Tabela 3: R</w:t>
      </w:r>
      <w:r>
        <w:rPr>
          <w:rFonts w:ascii="Arial" w:hAnsi="Arial"/>
          <w:sz w:val="22"/>
          <w:vertAlign w:val="superscript"/>
        </w:rPr>
        <w:t xml:space="preserve">2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mais alto = melhor previsão;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gap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treino–teste próximo de zero indica ausência de sobreajuste.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O</w:t>
      </w:r>
      <w:r>
        <w:rPr>
          <w:rFonts w:ascii="Arial" w:hAnsi="Arial"/>
          <w:sz w:val="22"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 teste de 0,62 (XGBoost) é elevado para dados de rendimento individual,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onde a variância não observada (setor, cargo, tempo de serviço) responde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pela maior parte do resíduo.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Escolha de hiperparâmetros e validação cruzada.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 profundidade das árvores, a taxa de aprendizado e o número de iterações não foram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fixados por conveniência: seis configurações foram comparadas numa partição de validação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dentro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do conjunto de treino — o teste permanece intocado —, e a vencedora foi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submetida a validação cruzada</w:t>
      </w:r>
      <w:r>
        <w:rPr>
          <w:rFonts w:ascii="Arial" w:hAnsi="Arial"/>
          <w:sz w:val="22"/>
        </w:rPr>
        <w:t xml:space="preserve"> </w:t>
      </w:r>
      <m:oMath>
        <m:r>
          <m:t>k</m:t>
        </m:r>
      </m:oMath>
      <w:r>
        <w:rPr>
          <w:rFonts w:ascii="Arial" w:hAnsi="Arial"/>
          <w:sz w:val="22"/>
        </w:rPr>
        <w:t xml:space="preserve">-</w:t>
      </w:r>
      <w:r>
        <w:rPr>
          <w:rFonts w:ascii="Arial" w:hAnsi="Arial"/>
          <w:sz w:val="22"/>
        </w:rPr>
        <w:t xml:space="preserve">fold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rPr>
          <w:rFonts w:ascii="Arial" w:hAnsi="Arial"/>
          <w:sz w:val="22"/>
        </w:rPr>
        <w:t xml:space="preserve">) no treino completo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(Tabela 4). A configuração escolhida (profundidade 10) alcança</w:t>
      </w:r>
      <w:r>
        <w:rPr>
          <w:rFonts w:ascii="Arial" w:hAnsi="Arial"/>
          <w:sz w:val="22"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6281</m:t>
        </m:r>
        <m:r>
          <m:rPr>
            <m:sty m:val="p"/>
          </m:rPr>
          <m:t>±</m:t>
        </m:r>
        <m:r>
          <m:t>0</m:t>
        </m:r>
        <m:r>
          <m:rPr>
            <m:sty m:val="p"/>
          </m:rPr>
          <m:t>,</m:t>
        </m:r>
        <m:r>
          <m:t>0007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entre 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folds</w:t>
      </w:r>
      <w:r>
        <w:rPr>
          <w:rFonts w:ascii="Arial" w:hAnsi="Arial"/>
          <w:sz w:val="22"/>
        </w:rPr>
        <w:t xml:space="preserve">, contra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0,6143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±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0,0007 da profundidade 6 usada na versão anterior deste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trabalho, sem aumentar o sobreajuste. O desvio-padrão entre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folds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na quarta casa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decimal mostra que, com 6.155.355 observações de treino, o desempenho não depende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qual parte dos dados é usada para validar — a validação cruzada aqui serve menos para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estimar incerteza e mais para justificar a especificação.</w:t>
      </w:r>
    </w:p>
    <w:bookmarkStart w:id="41" w:name="tab:ml_cv"/>
    <w:p>
      <w:pPr>
        <w:pStyle w:val="TableCaption"/>
        <w:spacing w:line="240" w:lineRule="auto" w:before="240" w:after="40"/>
        <w:ind w:firstLine="0"/>
        <w:jc w:val="both"/>
      </w:pPr>
      <w:r>
        <w:rPr>
          <w:rFonts w:ascii="Arial" w:hAnsi="Arial"/>
          <w:sz w:val="22"/>
        </w:rPr>
        <w:t xml:space="preserve">Tabela 4. Escolha de hiperparâmetros e validação cruzada do XGBoost (Alencar, 2024;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Géron, 2021). Painel A: seis configurações comparadas numa partição de validação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i/>
          <w:iCs/>
          <w:sz w:val="22"/>
        </w:rPr>
        <w:t xml:space="preserve">dentro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do treino — o conjunto de teste permanece intocado. Painel B: validação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cruzada</w:t>
      </w:r>
      <w:r>
        <w:rPr>
          <w:rFonts w:ascii="Arial" w:hAnsi="Arial"/>
          <w:sz w:val="22"/>
        </w:rPr>
        <w:t xml:space="preserve"> </w:t>
      </w:r>
      <m:oMath>
        <m:r>
          <m:t>k</m:t>
        </m:r>
      </m:oMath>
      <w:r>
        <w:rPr>
          <w:rFonts w:ascii="Arial" w:hAnsi="Arial"/>
          <w:sz w:val="22"/>
        </w:rPr>
        <w:t xml:space="preserve">-</w:t>
      </w:r>
      <w:r>
        <w:rPr>
          <w:rFonts w:ascii="Arial" w:hAnsi="Arial"/>
          <w:i/>
          <w:iCs/>
          <w:sz w:val="22"/>
        </w:rPr>
        <w:t xml:space="preserve">fold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rPr>
          <w:rFonts w:ascii="Arial" w:hAnsi="Arial"/>
          <w:sz w:val="22"/>
        </w:rPr>
        <w:t xml:space="preserve">) no treino completo, com média 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desvio-padrão entre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i/>
          <w:iCs/>
          <w:sz w:val="22"/>
        </w:rPr>
        <w:t xml:space="preserve">folds</w:t>
      </w:r>
      <w:r>
        <w:rPr>
          <w:rFonts w:ascii="Arial" w:hAnsi="Arial"/>
          <w:sz w:val="22"/>
        </w:rPr>
        <w:t xml:space="preserve">. População completa: 6.155.355 observações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treino e 1.538.839 de teste; nenhuma amostragem.</w:t>
      </w:r>
    </w:p>
    <w:tbl>
      <w:tblPr>
        <w:tblStyle w:val="Table"/>
        <w:tblW w:type="auto" w:w="0"/>
        <w:tblLayout w:type="fixed"/>
        <w:tblLook w:firstRow="1" w:lastRow="0" w:firstColumn="0" w:lastColumn="0" w:noHBand="0" w:noVBand="0" w:val="0020"/>
        <w:tblCaption w:val="Tabela 4. Escolha de hiperparâmetros e validação cruzada do XGBoost (Alencar, 2024; Géron, 2021). Painel A: seis configurações comparadas numa partição de validação dentro do treino — o conjunto de teste permanece intocado. Painel B: validação cruzada k-fold (k=5) no treino completo, com média e desvio-padrão entre folds. População completa: 6.155.355 observações de treino e 1.538.839 de teste; nenhuma amostragem.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675"/>
        <w:gridCol w:w="2651"/>
        <w:gridCol w:w="1535"/>
        <w:gridCol w:w="837"/>
        <w:gridCol w:w="837"/>
        <w:gridCol w:w="1535"/>
      </w:tblGrid>
      <w:tr>
        <w:trPr>
          <w:tblHeader w:val="on"/>
        </w:trPr>
        <w:tc>
          <w:tcPr>
            <w:tcW w:type="dxa" w:w="1535"/>
            <w:gridSpan w:val="6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bCs/>
                <w:sz w:val="22"/>
              </w:rPr>
              <w:t xml:space="preserve">A. Busca na partição de validação</w:t>
            </w:r>
          </w:p>
        </w:tc>
      </w:tr>
      <w:tr>
        <w:tc>
          <w:tcPr>
            <w:tcW w:type="dxa" w:w="1675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Profundidade</w:t>
            </w:r>
          </w:p>
        </w:tc>
        <w:tc>
          <w:tcPr>
            <w:tcW w:type="dxa" w:w="2651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Taxa de aprendizado</w:t>
            </w:r>
          </w:p>
        </w:tc>
        <w:tc>
          <w:tcPr>
            <w:tcW w:type="dxa" w:w="1535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Árvores</w:t>
            </w:r>
          </w:p>
        </w:tc>
        <w:tc>
          <w:tcPr>
            <w:tcW w:type="dxa" w:w="837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>
            <w:tcW w:type="dxa" w:w="837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MAE</w:t>
            </w:r>
          </w:p>
        </w:tc>
        <w:tc>
          <w:tcPr>
            <w:tcW w:type="dxa" w:w="1535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Sobreajuste</w:t>
            </w:r>
          </w:p>
        </w:tc>
      </w:tr>
      <w:tr>
        <w:tc>
          <w:tcPr>
            <w:tcW w:type="dxa" w:w="1675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bCs/>
                <w:sz w:val="22"/>
              </w:rPr>
              <w:t xml:space="preserve">10</w:t>
            </w:r>
          </w:p>
        </w:tc>
        <w:tc>
          <w:tcPr>
            <w:tcW w:type="dxa" w:w="2651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0,05</w:t>
            </w:r>
          </w:p>
        </w:tc>
        <w:tc>
          <w:tcPr>
            <w:tcW w:type="dxa" w:w="153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300</w:t>
            </w:r>
          </w:p>
        </w:tc>
        <w:tc>
          <w:tcPr>
            <w:tcW w:type="dxa" w:w="837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0,6279</w:t>
            </w:r>
          </w:p>
        </w:tc>
        <w:tc>
          <w:tcPr>
            <w:tcW w:type="dxa" w:w="837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0,4213</w:t>
            </w:r>
          </w:p>
        </w:tc>
        <w:tc>
          <w:tcPr>
            <w:tcW w:type="dxa" w:w="153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0,0112</w:t>
            </w:r>
          </w:p>
        </w:tc>
      </w:tr>
      <w:tr>
        <w:tc>
          <w:tcPr>
            <w:tcW w:type="dxa" w:w="1675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8</w:t>
            </w:r>
          </w:p>
        </w:tc>
        <w:tc>
          <w:tcPr>
            <w:tcW w:type="dxa" w:w="2651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0,05</w:t>
            </w:r>
          </w:p>
        </w:tc>
        <w:tc>
          <w:tcPr>
            <w:tcW w:type="dxa" w:w="153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600</w:t>
            </w:r>
          </w:p>
        </w:tc>
        <w:tc>
          <w:tcPr>
            <w:tcW w:type="dxa" w:w="837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0,6252</w:t>
            </w:r>
          </w:p>
        </w:tc>
        <w:tc>
          <w:tcPr>
            <w:tcW w:type="dxa" w:w="837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0,4229</w:t>
            </w:r>
          </w:p>
        </w:tc>
        <w:tc>
          <w:tcPr>
            <w:tcW w:type="dxa" w:w="153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0,0067</w:t>
            </w:r>
          </w:p>
        </w:tc>
      </w:tr>
      <w:tr>
        <w:tc>
          <w:tcPr>
            <w:tcW w:type="dxa" w:w="1675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8</w:t>
            </w:r>
          </w:p>
        </w:tc>
        <w:tc>
          <w:tcPr>
            <w:tcW w:type="dxa" w:w="2651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0,05</w:t>
            </w:r>
          </w:p>
        </w:tc>
        <w:tc>
          <w:tcPr>
            <w:tcW w:type="dxa" w:w="153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300</w:t>
            </w:r>
          </w:p>
        </w:tc>
        <w:tc>
          <w:tcPr>
            <w:tcW w:type="dxa" w:w="837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0,6207</w:t>
            </w:r>
          </w:p>
        </w:tc>
        <w:tc>
          <w:tcPr>
            <w:tcW w:type="dxa" w:w="837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0,4257</w:t>
            </w:r>
          </w:p>
        </w:tc>
        <w:tc>
          <w:tcPr>
            <w:tcW w:type="dxa" w:w="153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0,0040</w:t>
            </w:r>
          </w:p>
        </w:tc>
      </w:tr>
      <w:tr>
        <w:tc>
          <w:tcPr>
            <w:tcW w:type="dxa" w:w="1675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6</w:t>
            </w:r>
          </w:p>
        </w:tc>
        <w:tc>
          <w:tcPr>
            <w:tcW w:type="dxa" w:w="2651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0,10</w:t>
            </w:r>
          </w:p>
        </w:tc>
        <w:tc>
          <w:tcPr>
            <w:tcW w:type="dxa" w:w="153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300</w:t>
            </w:r>
          </w:p>
        </w:tc>
        <w:tc>
          <w:tcPr>
            <w:tcW w:type="dxa" w:w="837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0,6179</w:t>
            </w:r>
          </w:p>
        </w:tc>
        <w:tc>
          <w:tcPr>
            <w:tcW w:type="dxa" w:w="837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0,4275</w:t>
            </w:r>
          </w:p>
        </w:tc>
        <w:tc>
          <w:tcPr>
            <w:tcW w:type="dxa" w:w="153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0,0022</w:t>
            </w:r>
          </w:p>
        </w:tc>
      </w:tr>
      <w:tr>
        <w:tc>
          <w:tcPr>
            <w:tcW w:type="dxa" w:w="1675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6</w:t>
            </w:r>
          </w:p>
        </w:tc>
        <w:tc>
          <w:tcPr>
            <w:tcW w:type="dxa" w:w="2651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0,05</w:t>
            </w:r>
          </w:p>
        </w:tc>
        <w:tc>
          <w:tcPr>
            <w:tcW w:type="dxa" w:w="153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300 (atual)</w:t>
            </w:r>
          </w:p>
        </w:tc>
        <w:tc>
          <w:tcPr>
            <w:tcW w:type="dxa" w:w="837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0,6140</w:t>
            </w:r>
          </w:p>
        </w:tc>
        <w:tc>
          <w:tcPr>
            <w:tcW w:type="dxa" w:w="837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0,4300</w:t>
            </w:r>
          </w:p>
        </w:tc>
        <w:tc>
          <w:tcPr>
            <w:tcW w:type="dxa" w:w="153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0,0013</w:t>
            </w:r>
          </w:p>
        </w:tc>
      </w:tr>
      <w:tr>
        <w:tc>
          <w:tcPr>
            <w:tcW w:type="dxa" w:w="1675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4</w:t>
            </w:r>
          </w:p>
        </w:tc>
        <w:tc>
          <w:tcPr>
            <w:tcW w:type="dxa" w:w="2651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0,05</w:t>
            </w:r>
          </w:p>
        </w:tc>
        <w:tc>
          <w:tcPr>
            <w:tcW w:type="dxa" w:w="1535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300</w:t>
            </w:r>
          </w:p>
        </w:tc>
        <w:tc>
          <w:tcPr>
            <w:tcW w:type="dxa" w:w="837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0,6030</w:t>
            </w:r>
          </w:p>
        </w:tc>
        <w:tc>
          <w:tcPr>
            <w:tcW w:type="dxa" w:w="837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0,4370</w:t>
            </w:r>
          </w:p>
        </w:tc>
        <w:tc>
          <w:tcPr>
            <w:tcW w:type="dxa" w:w="1535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0,0006</w:t>
            </w:r>
          </w:p>
        </w:tc>
      </w:tr>
    </w:tbl>
    <w:bookmarkEnd w:id="41"/>
    <w:bookmarkStart w:id="42" w:name="tab:ml_cv"/>
    <w:p>
      <w:pPr>
        <w:pStyle w:val="TableCaption"/>
        <w:spacing w:line="240" w:lineRule="auto" w:before="240" w:after="40"/>
        <w:ind w:firstLine="0"/>
        <w:jc w:val="both"/>
      </w:pPr>
      <w:r>
        <w:rPr>
          <w:rFonts w:ascii="Arial" w:hAnsi="Arial"/>
          <w:sz w:val="22"/>
        </w:rPr>
        <w:t xml:space="preserve">Tabela 4. Escolha de hiperparâmetros e validação cruzada do XGBoost (Alencar, 2024;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Géron, 2021). Painel A: seis configurações comparadas numa partição de validação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i/>
          <w:iCs/>
          <w:sz w:val="22"/>
        </w:rPr>
        <w:t xml:space="preserve">dentro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do treino — o conjunto de teste permanece intocado. Painel B: validação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cruzada</w:t>
      </w:r>
      <w:r>
        <w:rPr>
          <w:rFonts w:ascii="Arial" w:hAnsi="Arial"/>
          <w:sz w:val="22"/>
        </w:rPr>
        <w:t xml:space="preserve"> </w:t>
      </w:r>
      <m:oMath>
        <m:r>
          <m:t>k</m:t>
        </m:r>
      </m:oMath>
      <w:r>
        <w:rPr>
          <w:rFonts w:ascii="Arial" w:hAnsi="Arial"/>
          <w:sz w:val="22"/>
        </w:rPr>
        <w:t xml:space="preserve">-</w:t>
      </w:r>
      <w:r>
        <w:rPr>
          <w:rFonts w:ascii="Arial" w:hAnsi="Arial"/>
          <w:i/>
          <w:iCs/>
          <w:sz w:val="22"/>
        </w:rPr>
        <w:t xml:space="preserve">fold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rPr>
          <w:rFonts w:ascii="Arial" w:hAnsi="Arial"/>
          <w:sz w:val="22"/>
        </w:rPr>
        <w:t xml:space="preserve">) no treino completo, com média 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desvio-padrão entre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i/>
          <w:iCs/>
          <w:sz w:val="22"/>
        </w:rPr>
        <w:t xml:space="preserve">folds</w:t>
      </w:r>
      <w:r>
        <w:rPr>
          <w:rFonts w:ascii="Arial" w:hAnsi="Arial"/>
          <w:sz w:val="22"/>
        </w:rPr>
        <w:t xml:space="preserve">. População completa: 6.155.355 observações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treino e 1.538.839 de teste; nenhuma amostragem.</w:t>
      </w:r>
    </w:p>
    <w:tbl>
      <w:tblPr>
        <w:tblStyle w:val="Table"/>
        <w:tblW w:type="auto" w:w="0"/>
        <w:tblLayout w:type="fixed"/>
        <w:tblLook w:firstRow="1" w:lastRow="0" w:firstColumn="0" w:lastColumn="0" w:noHBand="0" w:noVBand="0" w:val="0020"/>
        <w:tblCaption w:val="Tabela 4. Escolha de hiperparâmetros e validação cruzada do XGBoost (Alencar, 2024; Géron, 2021). Painel A: seis configurações comparadas numa partição de validação dentro do treino — o conjunto de teste permanece intocado. Painel B: validação cruzada k-fold (k=5) no treino completo, com média e desvio-padrão entre folds. População completa: 6.155.355 observações de treino e 1.538.839 de teste; nenhuma amostragem.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268"/>
        <w:gridCol w:w="2268"/>
        <w:gridCol w:w="2268"/>
        <w:gridCol w:w="2268"/>
      </w:tblGrid>
      <w:tr>
        <w:trPr>
          <w:tblHeader w:val="on"/>
        </w:trPr>
        <w:tc>
          <w:tcPr>
            <w:tcW w:type="dxa" w:w="2268"/>
            <w:gridSpan w:val="4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bCs/>
                <w:sz w:val="22"/>
              </w:rPr>
              <w:t xml:space="preserve">B. Validação cruzada no treino (5</w:t>
            </w:r>
            <w:r>
              <w:rPr>
                <w:rFonts w:ascii="Arial" w:hAnsi="Arial"/>
                <w:b w:val="0"/>
                <w:bCs/>
                <w:sz w:val="22"/>
              </w:rPr>
              <w:t xml:space="preserve"> </w:t>
            </w:r>
            <w:r>
              <w:rPr>
                <w:rFonts w:ascii="Arial" w:hAnsi="Arial"/>
                <w:b w:val="0"/>
                <w:bCs/>
                <w:i/>
                <w:iCs/>
                <w:sz w:val="22"/>
              </w:rPr>
              <w:t xml:space="preserve">folds</w:t>
            </w:r>
            <w:r>
              <w:rPr>
                <w:rFonts w:ascii="Arial" w:hAnsi="Arial"/>
                <w:b w:val="0"/>
                <w:bCs/>
                <w:sz w:val="22"/>
              </w:rPr>
              <w:t xml:space="preserve">)</w:t>
            </w:r>
          </w:p>
        </w:tc>
      </w:tr>
      <w:tr>
        <w:tc>
          <w:tcPr>
            <w:tcW w:type="dxa" w:w="2268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Configuração</w:t>
            </w:r>
          </w:p>
        </w:tc>
        <w:tc>
          <w:tcPr>
            <w:tcW w:type="dxa" w:w="2268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Arial" w:hAnsi="Arial"/>
                <w:b w:val="0"/>
                <w:sz w:val="22"/>
              </w:rPr>
              <w:t xml:space="preserve"> </w:t>
            </w:r>
            <w:r>
              <w:rPr>
                <w:rFonts w:ascii="Arial" w:hAnsi="Arial"/>
                <w:b w:val="0"/>
                <w:sz w:val="22"/>
              </w:rPr>
              <w:t xml:space="preserve">(média</w:t>
            </w:r>
            <w:r>
              <w:rPr>
                <w:rFonts w:ascii="Arial" w:hAnsi="Arial"/>
                <w:b w:val="0"/>
                <w:sz w:val="22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 </w:t>
            </w:r>
            <w:r>
              <w:rPr>
                <w:rFonts w:ascii="Arial" w:hAnsi="Arial"/>
                <w:b w:val="0"/>
                <w:sz w:val="22"/>
              </w:rPr>
              <w:t xml:space="preserve">dp)</w:t>
            </w:r>
          </w:p>
        </w:tc>
        <w:tc>
          <w:tcPr>
            <w:tcW w:type="dxa" w:w="2268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MAE</w:t>
            </w:r>
          </w:p>
        </w:tc>
        <w:tc>
          <w:tcPr>
            <w:tcW w:type="dxa" w:w="2268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RMSE</w:t>
            </w:r>
          </w:p>
        </w:tc>
      </w:tr>
      <w:tr>
        <w:tc>
          <w:tcPr>
            <w:tcW w:type="dxa" w:w="2268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Escolhida (profundidade 10)</w:t>
            </w:r>
          </w:p>
        </w:tc>
        <w:tc>
          <w:tcPr>
            <w:tcW w:type="dxa" w:w="2268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0,6281</w:t>
            </w:r>
            <w:r>
              <w:rPr>
                <w:rFonts w:ascii="Arial" w:hAnsi="Arial"/>
                <w:b w:val="0"/>
                <w:sz w:val="22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 </w:t>
            </w:r>
            <w:r>
              <w:rPr>
                <w:rFonts w:ascii="Arial" w:hAnsi="Arial"/>
                <w:b w:val="0"/>
                <w:sz w:val="22"/>
              </w:rPr>
              <w:t xml:space="preserve">0,0007</w:t>
            </w:r>
          </w:p>
        </w:tc>
        <w:tc>
          <w:tcPr>
            <w:tcW w:type="dxa" w:w="2268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0,4213</w:t>
            </w:r>
            <w:r>
              <w:rPr>
                <w:rFonts w:ascii="Arial" w:hAnsi="Arial"/>
                <w:b w:val="0"/>
                <w:sz w:val="22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 </w:t>
            </w:r>
            <w:r>
              <w:rPr>
                <w:rFonts w:ascii="Arial" w:hAnsi="Arial"/>
                <w:b w:val="0"/>
                <w:sz w:val="22"/>
              </w:rPr>
              <w:t xml:space="preserve">0,0002</w:t>
            </w:r>
          </w:p>
        </w:tc>
        <w:tc>
          <w:tcPr>
            <w:tcW w:type="dxa" w:w="2268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0,5628</w:t>
            </w:r>
            <w:r>
              <w:rPr>
                <w:rFonts w:ascii="Arial" w:hAnsi="Arial"/>
                <w:b w:val="0"/>
                <w:sz w:val="22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 </w:t>
            </w:r>
            <w:r>
              <w:rPr>
                <w:rFonts w:ascii="Arial" w:hAnsi="Arial"/>
                <w:b w:val="0"/>
                <w:sz w:val="22"/>
              </w:rPr>
              <w:t xml:space="preserve">0,0003</w:t>
            </w:r>
          </w:p>
        </w:tc>
      </w:tr>
      <w:tr>
        <w:tc>
          <w:tcPr>
            <w:tcW w:type="dxa" w:w="2268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Anterior (profundidade 6)</w:t>
            </w:r>
          </w:p>
        </w:tc>
        <w:tc>
          <w:tcPr>
            <w:tcW w:type="dxa" w:w="2268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0,6143</w:t>
            </w:r>
            <w:r>
              <w:rPr>
                <w:rFonts w:ascii="Arial" w:hAnsi="Arial"/>
                <w:b w:val="0"/>
                <w:sz w:val="22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 </w:t>
            </w:r>
            <w:r>
              <w:rPr>
                <w:rFonts w:ascii="Arial" w:hAnsi="Arial"/>
                <w:b w:val="0"/>
                <w:sz w:val="22"/>
              </w:rPr>
              <w:t xml:space="preserve">0,0007</w:t>
            </w:r>
          </w:p>
        </w:tc>
        <w:tc>
          <w:tcPr>
            <w:tcW w:type="dxa" w:w="2268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0,4300</w:t>
            </w:r>
            <w:r>
              <w:rPr>
                <w:rFonts w:ascii="Arial" w:hAnsi="Arial"/>
                <w:b w:val="0"/>
                <w:sz w:val="22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 </w:t>
            </w:r>
            <w:r>
              <w:rPr>
                <w:rFonts w:ascii="Arial" w:hAnsi="Arial"/>
                <w:b w:val="0"/>
                <w:sz w:val="22"/>
              </w:rPr>
              <w:t xml:space="preserve">0,0001</w:t>
            </w:r>
          </w:p>
        </w:tc>
        <w:tc>
          <w:tcPr>
            <w:tcW w:type="dxa" w:w="2268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0,5732</w:t>
            </w:r>
            <w:r>
              <w:rPr>
                <w:rFonts w:ascii="Arial" w:hAnsi="Arial"/>
                <w:b w:val="0"/>
                <w:sz w:val="22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 </w:t>
            </w:r>
            <w:r>
              <w:rPr>
                <w:rFonts w:ascii="Arial" w:hAnsi="Arial"/>
                <w:b w:val="0"/>
                <w:sz w:val="22"/>
              </w:rPr>
              <w:t xml:space="preserve">0,0002</w:t>
            </w:r>
          </w:p>
        </w:tc>
      </w:tr>
    </w:tbl>
    <w:bookmarkEnd w:id="42"/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: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“Sobreajuste”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é a diferença entre o</w:t>
      </w:r>
      <w:r>
        <w:rPr>
          <w:rFonts w:ascii="Arial" w:hAnsi="Arial"/>
          <w:sz w:val="22"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 treino e o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validação — valores próximos de zero indicam que o modelo não decorou os dados.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configuração escolhida melhora o</w:t>
      </w:r>
      <w:r>
        <w:rPr>
          <w:rFonts w:ascii="Arial" w:hAnsi="Arial"/>
          <w:sz w:val="22"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em 1,4 ponto percentual sem aumentar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sobreajuste, e a variação entre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i/>
          <w:iCs/>
          <w:sz w:val="22"/>
        </w:rPr>
        <w:t xml:space="preserve">folds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é da ordem de 0,0007 — com 6,2 milhões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observações de treino, o desempenho praticamente não depende de qual pedaço dos dados é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usado para validar. No conjunto de teste (intocado durante a escolha),</w:t>
      </w:r>
      <w:r>
        <w:rPr>
          <w:rFonts w:ascii="Arial" w:hAnsi="Arial"/>
          <w:sz w:val="22"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6280</m:t>
        </m:r>
      </m:oMath>
      <w:r>
        <w:rPr>
          <w:rFonts w:ascii="Arial" w:hAnsi="Arial"/>
          <w:sz w:val="22"/>
        </w:rPr>
        <w:t xml:space="preserve">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Na unidade original, o erro mediano de previsão é de R$ 538 por mês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(37% do rendimento observado), com correção de Duan para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retransformação do logaritmo.</w:t>
      </w:r>
    </w:p>
    <w:p>
      <w:pPr>
        <w:pStyle w:val="BodyText"/>
        <w:spacing w:line="240" w:lineRule="auto" w:before="40" w:after="240"/>
        <w:ind w:firstLine="0"/>
        <w:jc w:val="both"/>
      </w:pPr>
      <w:r>
        <w:rPr>
          <w:rFonts w:ascii="Arial" w:hAnsi="Arial"/>
          <w:sz w:val="22"/>
        </w:rPr>
        <w:t xml:space="preserve">Fonte: Resultados originais da pesquisa.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O erro na unidade original.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Os modelos preveem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logaritmo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rendimento; para o leitor, o que importa é o erro em reais. Retransformando com a correção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Duan (1983)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(fator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smearing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178</m:t>
        </m:r>
      </m:oMath>
      <w:r>
        <w:rPr>
          <w:rFonts w:ascii="Arial" w:hAnsi="Arial"/>
          <w:sz w:val="22"/>
        </w:rPr>
        <w:t xml:space="preserve">), o erro mediano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previsão é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R$ 538 por mês</w:t>
      </w:r>
      <w:r>
        <w:rPr>
          <w:rFonts w:ascii="Arial" w:hAnsi="Arial"/>
          <w:sz w:val="22"/>
        </w:rPr>
        <w:t xml:space="preserve">, ou 37% do rendimento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observado — a ordem de grandeza que se deve ter em mente ao ler o</w:t>
      </w:r>
      <w:r>
        <w:rPr>
          <w:rFonts w:ascii="Arial" w:hAnsi="Arial"/>
          <w:sz w:val="22"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Fonts w:ascii="Arial" w:hAnsi="Arial"/>
          <w:sz w:val="22"/>
        </w:rPr>
        <w:t xml:space="preserve">: o modelo acerta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 posição relativa das pessoas muito melhor do que o valor exato do salário de cada uma.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Ausência de sobreajuste (população completa).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Estimado sobre a população (</w:t>
      </w:r>
      <m:oMath>
        <m:r>
          <m:t>N</m:t>
        </m:r>
        <m:r>
          <m:rPr>
            <m:sty m:val="p"/>
          </m:rPr>
          <m:t>=</m:t>
        </m:r>
        <m:r>
          <m:t>7.694</m:t>
        </m:r>
        <m:r>
          <m:t>.198</m:t>
        </m:r>
      </m:oMath>
      <w:r>
        <w:rPr>
          <w:rFonts w:ascii="Arial" w:hAnsi="Arial"/>
          <w:sz w:val="22"/>
        </w:rPr>
        <w:t xml:space="preserve">; treino 80%/teste 20%),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 método não-paramétrico não apresenta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overfitting</w:t>
      </w:r>
      <w:r>
        <w:rPr>
          <w:rFonts w:ascii="Arial" w:hAnsi="Arial"/>
          <w:sz w:val="22"/>
        </w:rPr>
        <w:t xml:space="preserve">: o</w:t>
      </w:r>
      <w:r>
        <w:rPr>
          <w:rFonts w:ascii="Arial" w:hAnsi="Arial"/>
          <w:sz w:val="22"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 treino e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teste praticamente coincidem (</w:t>
      </w:r>
      <w:r>
        <w:rPr>
          <w:rFonts w:ascii="Arial" w:hAnsi="Arial"/>
          <w:sz w:val="22"/>
        </w:rPr>
        <w:t xml:space="preserve">gap</w:t>
      </w:r>
      <w:r>
        <w:rPr>
          <w:rFonts w:ascii="Arial" w:hAnsi="Arial"/>
          <w:sz w:val="22"/>
        </w:rPr>
        <w:t xml:space="preserve"> 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0090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para o XGBoost 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para o Random Forest). Três evidências convergem: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gap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treino–teste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≈</m:t>
        </m:r>
        <m:r>
          <m:t>0</m:t>
        </m:r>
      </m:oMath>
      <w:r>
        <w:rPr>
          <w:rFonts w:ascii="Arial" w:hAnsi="Arial"/>
          <w:sz w:val="22"/>
        </w:rPr>
        <w:t xml:space="preserve">; a razão</w:t>
      </w:r>
      <w:r>
        <w:rPr>
          <w:rFonts w:ascii="Arial" w:hAnsi="Arial"/>
          <w:sz w:val="22"/>
        </w:rPr>
        <w:t xml:space="preserve"> </w:t>
      </w:r>
      <m:oMath>
        <m:r>
          <m:t>N</m:t>
        </m:r>
        <m:r>
          <m:rPr>
            <m:sty m:val="p"/>
          </m:rPr>
          <m:t>≫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complexidade (modelos regularizados sobre 7,7 milhões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observações); e a estabilidade do</w:t>
      </w:r>
      <w:r>
        <w:rPr>
          <w:rFonts w:ascii="Arial" w:hAnsi="Arial"/>
          <w:sz w:val="22"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 teste entre a subamostra de 20% e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população (praticamente idêntico,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≈</m:t>
        </m:r>
        <m:r>
          <m:t>0</m:t>
        </m:r>
        <m:r>
          <m:rPr>
            <m:sty m:val="p"/>
          </m:rPr>
          <m:t>,</m:t>
        </m:r>
        <m:r>
          <m:t>62</m:t>
        </m:r>
      </m:oMath>
      <w:r>
        <w:rPr>
          <w:rFonts w:ascii="Arial" w:hAnsi="Arial"/>
          <w:sz w:val="22"/>
        </w:rPr>
        <w:t xml:space="preserve">). Em suma,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ampliar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 base, de amostral para populacional,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reduz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— não aumenta — o risco de sobreajuste. A Tabela 5 traz o ranking completo das variáveis nos dois modelos.</w:t>
      </w:r>
    </w:p>
    <w:bookmarkStart w:id="43" w:name="tab:shap_importance"/>
    <w:p>
      <w:pPr>
        <w:pStyle w:val="TableCaption"/>
        <w:spacing w:line="240" w:lineRule="auto" w:before="240" w:after="40"/>
        <w:ind w:firstLine="0"/>
        <w:jc w:val="both"/>
      </w:pPr>
      <w:r>
        <w:rPr>
          <w:rFonts w:ascii="Arial" w:hAnsi="Arial"/>
          <w:sz w:val="22"/>
        </w:rPr>
        <w:t xml:space="preserve">Tabela 5. Importância SHAP Comparada — Random Forest e XGBoost. Predição de log-rendimento, PNAD 2016–2025 (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SHAP</m:t>
            </m:r>
          </m:sub>
        </m:sSub>
        <m:r>
          <m:rPr>
            <m:sty m:val="p"/>
          </m:rPr>
          <m:t>=</m:t>
        </m:r>
        <m:r>
          <m:t>50.000</m:t>
        </m:r>
      </m:oMath>
      <w:r>
        <w:rPr>
          <w:rFonts w:ascii="Arial" w:hAnsi="Arial"/>
          <w:sz w:val="22"/>
        </w:rPr>
        <w:t xml:space="preserve">). Valores: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|</m:t>
        </m:r>
        <m:r>
          <m:rPr>
            <m:nor/>
            <m:sty m:val="p"/>
          </m:rPr>
          <m:t>SHAP</m:t>
        </m:r>
        <m:r>
          <m:rPr>
            <m:sty m:val="p"/>
          </m:rPr>
          <m:t>|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médio. Destaque em negrito: variáveis raciais/contextuais.</w:t>
      </w:r>
    </w:p>
    <w:tbl>
      <w:tblPr>
        <w:tblStyle w:val="Table"/>
        <w:tblW w:type="auto" w:w="0"/>
        <w:tblLayout w:type="fixed"/>
        <w:tblLook w:firstRow="1" w:lastRow="0" w:firstColumn="0" w:lastColumn="0" w:noHBand="0" w:noVBand="0" w:val="0020"/>
        <w:tblCaption w:val="Tabela 5. Importância SHAP Comparada — Random Forest e XGBoost. Predição de log-rendimento, PNAD 2016–2025 (N_{\text{SHAP}}=50.000). Valores: |\text{SHAP}| médio. Destaque em negrito: variáveis raciais/contextuais.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089"/>
        <w:gridCol w:w="1585"/>
        <w:gridCol w:w="906"/>
        <w:gridCol w:w="1585"/>
        <w:gridCol w:w="906"/>
      </w:tblGrid>
      <w:tr>
        <w:trPr>
          <w:tblHeader w:val="on"/>
        </w:trPr>
        <w:tc>
          <w:tcPr>
            <w:tcW w:type="dxa" w:w="4089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bCs/>
                <w:sz w:val="22"/>
              </w:rPr>
              <w:t xml:space="preserve">Feature</w:t>
            </w:r>
          </w:p>
        </w:tc>
        <w:tc>
          <w:tcPr>
            <w:tcW w:type="dxa" w:w="1585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m:oMath>
              <m:r>
                <m:rPr>
                  <m:sty m:val="p"/>
                </m:rPr>
                <m:t>|</m:t>
              </m:r>
              <m:r>
                <m:rPr>
                  <m:nor/>
                  <m:sty m:val="p"/>
                </m:rPr>
                <m:t>SHAP</m:t>
              </m:r>
              <m:r>
                <m:rPr>
                  <m:sty m:val="p"/>
                </m:rPr>
                <m:t>|</m:t>
              </m:r>
            </m:oMath>
            <w:r>
              <w:rPr>
                <w:rFonts w:ascii="Arial" w:hAnsi="Arial"/>
                <w:b w:val="0"/>
                <w:bCs/>
                <w:sz w:val="22"/>
              </w:rPr>
              <w:t xml:space="preserve"> </w:t>
            </w:r>
            <w:r>
              <w:rPr>
                <w:rFonts w:ascii="Arial" w:hAnsi="Arial"/>
                <w:b w:val="0"/>
                <w:bCs/>
                <w:sz w:val="22"/>
              </w:rPr>
              <w:t xml:space="preserve">RF</w:t>
            </w:r>
          </w:p>
        </w:tc>
        <w:tc>
          <w:tcPr>
            <w:tcW w:type="dxa" w:w="906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bCs/>
                <w:sz w:val="22"/>
              </w:rPr>
              <w:t xml:space="preserve">Rank RF</w:t>
            </w:r>
          </w:p>
        </w:tc>
        <w:tc>
          <w:tcPr>
            <w:tcW w:type="dxa" w:w="1585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m:oMath>
              <m:r>
                <m:rPr>
                  <m:sty m:val="p"/>
                </m:rPr>
                <m:t>|</m:t>
              </m:r>
              <m:r>
                <m:rPr>
                  <m:nor/>
                  <m:sty m:val="p"/>
                </m:rPr>
                <m:t>SHAP</m:t>
              </m:r>
              <m:r>
                <m:rPr>
                  <m:sty m:val="p"/>
                </m:rPr>
                <m:t>|</m:t>
              </m:r>
            </m:oMath>
            <w:r>
              <w:rPr>
                <w:rFonts w:ascii="Arial" w:hAnsi="Arial"/>
                <w:b w:val="0"/>
                <w:bCs/>
                <w:sz w:val="22"/>
              </w:rPr>
              <w:t xml:space="preserve"> </w:t>
            </w:r>
            <w:r>
              <w:rPr>
                <w:rFonts w:ascii="Arial" w:hAnsi="Arial"/>
                <w:b w:val="0"/>
                <w:bCs/>
                <w:sz w:val="22"/>
              </w:rPr>
              <w:t xml:space="preserve">XGB</w:t>
            </w:r>
          </w:p>
        </w:tc>
        <w:tc>
          <w:tcPr>
            <w:tcW w:type="dxa" w:w="906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bCs/>
                <w:sz w:val="22"/>
              </w:rPr>
              <w:t xml:space="preserve">Rank XGB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Renda média UPA (exceto o próprio)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0,32538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0,25705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Horas trabalhadas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0,16918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0,16727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CBO: Profissionais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0,11711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0,12157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Emprego formal (carteira)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0,14821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0,11753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Gênero (feminino)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0,09288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0,09908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Idade (centralizada)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0,06494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0,09663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Educ.: não registrada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0,03203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9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0,07138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Conta própria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0,02089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0,06304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CBO: Técnicos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0,03709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0,04778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9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CBO: Dirigentes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0,04052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0,04102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bCs/>
                <w:sz w:val="22"/>
              </w:rPr>
              <w:t xml:space="preserve">Raça (negro)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0,00006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24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0,03140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CBO: Serviços/Vendas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0,00052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20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0,03046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bCs/>
                <w:sz w:val="22"/>
              </w:rPr>
              <w:t xml:space="preserve">Desemprego na UPA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0,00073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17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0,02735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13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bCs/>
                <w:sz w:val="22"/>
              </w:rPr>
              <w:t xml:space="preserve">% Negro no Estado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0,00075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16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0,02493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14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CBO: Operários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0,00072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18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0,02415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15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CBO: Op. Máquinas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0,00005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25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0,02239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16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CBO: Administrativo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0,00234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14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0,01974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17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Trabalho doméstico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0,00651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0,01873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18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bCs/>
                <w:sz w:val="22"/>
              </w:rPr>
              <w:t xml:space="preserve">Desemprego no Estado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0,00036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21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0,01746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19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CBO: Agropecuária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0,00133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15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0,01583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20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Idade² (experiência)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0,00641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13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0,01534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21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bCs/>
                <w:sz w:val="22"/>
              </w:rPr>
              <w:t xml:space="preserve">% Negro na UPA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0,00010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22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0,01320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22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CBO: FFAA/Polícia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0,01110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0,01311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23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Educ. média UPA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0,00009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23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0,01157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24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Educ. média Estado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0,00067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19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0,00908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25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Educ.: superior completo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0,00001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26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0,00517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26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Educ.: médio completo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0,00001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26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0,00475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27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Educ.: fundamental completo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0,00000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28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0,00104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28</w:t>
            </w:r>
          </w:p>
        </w:tc>
      </w:tr>
      <w:tr>
        <w:tc>
          <w:tcPr>
            <w:tcW w:type="dxa" w:w="4089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Educ.: pós-graduação</w:t>
            </w:r>
          </w:p>
        </w:tc>
        <w:tc>
          <w:tcPr>
            <w:tcW w:type="dxa" w:w="1585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0,00000</w:t>
            </w:r>
          </w:p>
        </w:tc>
        <w:tc>
          <w:tcPr>
            <w:tcW w:type="dxa" w:w="906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28</w:t>
            </w:r>
          </w:p>
        </w:tc>
        <w:tc>
          <w:tcPr>
            <w:tcW w:type="dxa" w:w="1585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0,00011</w:t>
            </w:r>
          </w:p>
        </w:tc>
        <w:tc>
          <w:tcPr>
            <w:tcW w:type="dxa" w:w="906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29</w:t>
            </w:r>
          </w:p>
        </w:tc>
      </w:tr>
    </w:tbl>
    <w:bookmarkEnd w:id="43"/>
    <w:p>
      <w:pPr>
        <w:pStyle w:val="BodyText"/>
        <w:spacing w:line="240" w:lineRule="auto" w:before="40" w:after="240"/>
        <w:ind w:firstLine="0"/>
        <w:jc w:val="both"/>
      </w:pPr>
      <w:r>
        <w:rPr>
          <w:rFonts w:ascii="Arial" w:hAnsi="Arial"/>
          <w:sz w:val="22"/>
        </w:rPr>
        <w:t xml:space="preserve">Fonte: Resultados originais da pesquisa.</w:t>
      </w:r>
    </w:p>
    <w:p>
      <w:pPr>
        <w:pStyle w:val="BodyText"/>
        <w:spacing w:line="240" w:lineRule="auto" w:before="40" w:after="240"/>
        <w:ind w:firstLine="0"/>
        <w:jc w:val="both"/>
      </w:pPr>
      <w:r>
        <w:rPr>
          <w:rFonts w:ascii="Arial" w:hAnsi="Arial"/>
          <w:sz w:val="22"/>
        </w:rPr>
        <w:t xml:space="preserve">Nota: como ler a Tabela 5: variáveis ordenadas pela importância média (</w:t>
      </w:r>
      <m:oMath>
        <m:r>
          <m:rPr>
            <m:sty m:val="p"/>
          </m:rPr>
          <m:t>|</m:t>
        </m:r>
        <m:r>
          <m:rPr>
            <m:nor/>
            <m:sty m:val="p"/>
          </m:rPr>
          <m:t>SHAP</m:t>
        </m:r>
        <m:r>
          <m:rPr>
            <m:sty m:val="p"/>
          </m:rPr>
          <m:t>|</m:t>
        </m:r>
      </m:oMath>
      <w:r>
        <w:rPr>
          <w:rFonts w:ascii="Arial" w:hAnsi="Arial"/>
          <w:sz w:val="22"/>
        </w:rPr>
        <w:t xml:space="preserve">); valores maiores = maior peso na previsão da renda.</w:t>
      </w:r>
    </w:p>
    <w:bookmarkStart w:id="47" w:name="fig:shap"/>
    <w:p>
      <w:pPr>
        <w:pStyle w:val="CaptionedFigure"/>
      </w:pPr>
      <w:r>
        <w:rPr>
          <w:rFonts w:ascii="Arial" w:hAnsi="Arial"/>
          <w:sz w:val="22"/>
        </w:rPr>
        <w:drawing>
          <wp:inline>
            <wp:extent cx="5753100" cy="4528105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outputs/figures/shap_beeswarm_xgb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5281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line="240" w:lineRule="auto" w:before="240" w:after="40"/>
        <w:ind w:firstLine="0"/>
        <w:jc w:val="both"/>
      </w:pPr>
      <w:r>
        <w:rPr>
          <w:rFonts w:ascii="Arial" w:hAnsi="Arial"/>
          <w:sz w:val="22"/>
        </w:rPr>
        <w:t xml:space="preserve">Figura 2. Contexto do bairro e jornada dominam a previsão de renda; a raça aparece na 11</w:t>
      </w:r>
      <w:r>
        <w:rPr>
          <w:rFonts w:ascii="Arial" w:hAnsi="Arial"/>
          <w:sz w:val="22"/>
          <w:vertAlign w:val="superscript"/>
        </w:rPr>
        <w:t xml:space="preserve">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posição entre 29 preditores (SHAP, XGBoost,</w:t>
      </w:r>
      <w:r>
        <w:rPr>
          <w:rFonts w:ascii="Arial" w:hAnsi="Arial"/>
          <w:sz w:val="22"/>
        </w:rP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SHAP</m:t>
            </m:r>
          </m:sub>
        </m:sSub>
        <m:r>
          <m:rPr>
            <m:sty m:val="p"/>
          </m:rPr>
          <m:t>=</m:t>
        </m:r>
        <m:r>
          <m:t>50.000</m:t>
        </m:r>
      </m:oMath>
      <w:r>
        <w:rPr>
          <w:rFonts w:ascii="Arial" w:hAnsi="Arial"/>
          <w:sz w:val="22"/>
        </w:rPr>
        <w:t xml:space="preserve">).</w:t>
      </w:r>
    </w:p>
    <w:bookmarkEnd w:id="47"/>
    <w:p>
      <w:pPr>
        <w:pStyle w:val="BodyText"/>
        <w:spacing w:line="240" w:lineRule="auto" w:before="40" w:after="240"/>
        <w:ind w:firstLine="0"/>
        <w:jc w:val="both"/>
      </w:pPr>
      <w:r>
        <w:rPr>
          <w:rFonts w:ascii="Arial" w:hAnsi="Arial"/>
          <w:sz w:val="22"/>
        </w:rPr>
        <w:t xml:space="preserve">Fonte: Resultados originais da pesquisa</w:t>
      </w:r>
    </w:p>
    <w:p>
      <w:pPr>
        <w:pStyle w:val="BodyText"/>
        <w:spacing w:line="240" w:lineRule="auto" w:before="40" w:after="240"/>
        <w:ind w:firstLine="0"/>
        <w:jc w:val="both"/>
      </w:pPr>
      <w:r>
        <w:rPr>
          <w:rFonts w:ascii="Arial" w:hAnsi="Arial"/>
          <w:sz w:val="22"/>
        </w:rPr>
        <w:t xml:space="preserve">Nota: como ler a Figura 2: cada ponto é um trabalhador; quanto mais à direita (ou maior a barra), maior o efeito da variável na renda prevista. A cor indica se o valor da variável é alto ou baixo.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A Tabela 5 mostra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contexto do bairro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entre 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preditores de maior peso do rendimento individual. A variável usada aqui é a renda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média da UPA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excluindo o próprio indivíduo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</w:t>
      </w:r>
      <w:r>
        <w:rPr>
          <w:rFonts w:ascii="Arial" w:hAnsi="Arial"/>
          <w:sz w:val="22"/>
        </w:rPr>
        <w:t xml:space="preserve">leave-one-out</w:t>
      </w:r>
      <w:r>
        <w:rPr>
          <w:rFonts w:ascii="Arial" w:hAnsi="Arial"/>
          <w:sz w:val="22"/>
        </w:rPr>
        <w:t xml:space="preserve">): a média que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inclui a própria pessoa é mecanicamente correlacionada com seu rendimento —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problema do reflexo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(Manski, 1993)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— e inflaria artificialmente a importância do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território. Mesmo sem essa contaminação, o bairro permanece entre os preditores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primeira ordem, o que é consistente com a hipótese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Wilson (1987)</w:t>
      </w:r>
      <w:r>
        <w:rPr>
          <w:rFonts w:ascii="Arial" w:hAnsi="Arial"/>
          <w:sz w:val="22"/>
        </w:rPr>
        <w:t xml:space="preserve">;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leitura correta, porém, é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mediação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territorial — choques comuns ao bairro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(mercado de trabalho local, transporte, redes) afetam todos os moradores — e não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efeito causal de um vizinho sobre o outro. Como checagem extrema, o mesmo XGBoost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estimado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sem qualquer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renda de vizinhança perde pouco poder preditivo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598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contra 0,628 do modelo completo) e, nele, a contribuição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média da raça é praticamente a mesma (0,031 contra 0,031 em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|</m:t>
        </m:r>
        <m:r>
          <m:rPr>
            <m:nor/>
            <m:sty m:val="p"/>
          </m:rPr>
          <m:t>SHAP</m:t>
        </m:r>
        <m:r>
          <m:rPr>
            <m:sty m:val="p"/>
          </m:rPr>
          <m:t>|</m:t>
        </m:r>
      </m:oMath>
      <w:r>
        <w:rPr>
          <w:rFonts w:ascii="Arial" w:hAnsi="Arial"/>
          <w:sz w:val="22"/>
        </w:rPr>
        <w:t xml:space="preserve">): o sinal racial não é um artefato da variável de contexto —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muda apenas a posição relativa no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ranking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(17</w:t>
      </w:r>
      <w:r>
        <w:rPr>
          <w:rFonts w:ascii="Arial" w:hAnsi="Arial"/>
          <w:sz w:val="22"/>
          <w:vertAlign w:val="superscript"/>
        </w:rPr>
        <w:t xml:space="preserve">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28, contra 11</w:t>
      </w:r>
      <w:r>
        <w:rPr>
          <w:rFonts w:ascii="Arial" w:hAnsi="Arial"/>
          <w:sz w:val="22"/>
          <w:vertAlign w:val="superscript"/>
        </w:rPr>
        <w:t xml:space="preserve">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 29), porque as demais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variáveis absorvem parte do que o território explicava.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A variável racial ocupa o 11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lugar no ranking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importância mesmo após controlar por todos os demais fatores, com SHAP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médio de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0469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para trabalhadores negros — equivalente a uma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penalidade de 4,6% sobre o rendimento predito que não pode ser atribuída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 diferenças em educação, experiência, gênero ou contexto de moradia. A Figura 3 ilustra como a previsão de um caso individual é composta.</w:t>
      </w:r>
    </w:p>
    <w:bookmarkStart w:id="51" w:name="fig:shap_wf"/>
    <w:p>
      <w:pPr>
        <w:pStyle w:val="CaptionedFigure"/>
      </w:pPr>
      <w:r>
        <w:rPr>
          <w:rFonts w:ascii="Arial" w:hAnsi="Arial"/>
          <w:sz w:val="22"/>
        </w:rPr>
        <w:drawing>
          <wp:inline>
            <wp:extent cx="3566922" cy="3237305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outputs/figures/shap_waterfall_C_negro_baixa_renda_xgb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6922" cy="32373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line="240" w:lineRule="auto" w:before="240" w:after="40"/>
        <w:ind w:firstLine="0"/>
        <w:jc w:val="both"/>
      </w:pPr>
      <w:r>
        <w:rPr>
          <w:rFonts w:ascii="Arial" w:hAnsi="Arial"/>
          <w:sz w:val="22"/>
        </w:rPr>
        <w:t xml:space="preserve">Figura 3. Como a previsão de um caso é construída: decomposição SHAP individual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</w:t>
      </w:r>
      <w:r>
        <w:rPr>
          <w:rFonts w:ascii="Arial" w:hAnsi="Arial"/>
          <w:sz w:val="22"/>
        </w:rPr>
        <w:t xml:space="preserve">waterfall</w:t>
      </w:r>
      <w:r>
        <w:rPr>
          <w:rFonts w:ascii="Arial" w:hAnsi="Arial"/>
          <w:sz w:val="22"/>
        </w:rPr>
        <w:t xml:space="preserve">) de um trabalhador negro de baixa renda. Valores em log-pontos;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contribuição da variável racial aparece isolada das demais.</w:t>
      </w:r>
    </w:p>
    <w:bookmarkEnd w:id="51"/>
    <w:p>
      <w:pPr>
        <w:pStyle w:val="BodyText"/>
        <w:spacing w:line="240" w:lineRule="auto" w:before="40" w:after="240"/>
        <w:ind w:firstLine="0"/>
        <w:jc w:val="both"/>
      </w:pPr>
      <w:r>
        <w:rPr>
          <w:rFonts w:ascii="Arial" w:hAnsi="Arial"/>
          <w:sz w:val="22"/>
        </w:rPr>
        <w:t xml:space="preserve">Fonte: Resultados originais da pesquisa</w:t>
      </w:r>
    </w:p>
    <w:p>
      <w:pPr>
        <w:pStyle w:val="BodyText"/>
        <w:spacing w:line="240" w:lineRule="auto" w:before="40" w:after="240"/>
        <w:ind w:firstLine="0"/>
        <w:jc w:val="both"/>
      </w:pPr>
      <w:r>
        <w:rPr>
          <w:rFonts w:ascii="Arial" w:hAnsi="Arial"/>
          <w:sz w:val="22"/>
        </w:rPr>
        <w:t xml:space="preserve">Nota: como ler a Figura 3: cada linha é uma variável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um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trabalhador — não de uma média. A barra mostra quanto aquela variável empurra a previsão para cima ou para baixo, partindo da previsão média da base até a previsão final do caso. Serve para ver como o modelo compõe uma decisão, não para generalizar.</w:t>
      </w:r>
    </w:p>
    <w:bookmarkEnd w:id="52"/>
    <w:bookmarkStart w:id="58" w:name="X03c9c993697b2951d32c364cc1a724101cab21e"/>
    <w:p>
      <w:pPr>
        <w:pStyle w:val="Ttulo2"/>
        <w:spacing w:line="240" w:lineRule="auto" w:before="240" w:after="120"/>
        <w:ind w:firstLine="0"/>
        <w:jc w:val="left"/>
      </w:pPr>
      <w:r>
        <w:rPr>
          <w:rFonts w:ascii="Arial" w:hAnsi="Arial"/>
          <w:sz w:val="22"/>
        </w:rPr>
        <w:t xml:space="preserve">Decomposição do gap por mediação contextual e ocupacional</w:t>
      </w:r>
    </w:p>
    <w:p>
      <w:pPr>
        <w:pStyle w:val="FirstParagraph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A Tabela 6 resume o resultado central dos modelos HLM: à medida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que se adiciona o bairro (intercepto aleatório e contexto da UPA), o estado e a ocupação,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 gap racial encolhe de 19,1% (agregado) para 7,0% (M4). Nota: acompanhe a coluna</w:t>
      </w:r>
      <w:r>
        <w:rPr>
          <w:rFonts w:ascii="Arial" w:hAnsi="Arial"/>
          <w:sz w:val="22"/>
        </w:rP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negro</m:t>
            </m:r>
          </m:sub>
        </m:sSub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aproximando-se de zero linha a linha — a fração do gap já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explicada aparece em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“Mediação acum.”</w:t>
      </w:r>
      <w:r>
        <w:rPr>
          <w:rFonts w:ascii="Arial" w:hAnsi="Arial"/>
          <w:sz w:val="22"/>
        </w:rPr>
        <w:t xml:space="preserve">; o que resta no M4 é a penalidade que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nenhum atributo observável explica.</w:t>
      </w:r>
    </w:p>
    <w:bookmarkStart w:id="53" w:name="tab:mediacao"/>
    <w:p>
      <w:pPr>
        <w:pStyle w:val="TableCaption"/>
        <w:spacing w:line="240" w:lineRule="auto" w:before="240" w:after="40"/>
        <w:ind w:firstLine="0"/>
        <w:jc w:val="both"/>
      </w:pPr>
      <w:r>
        <w:rPr>
          <w:rFonts w:ascii="Arial" w:hAnsi="Arial"/>
          <w:sz w:val="22"/>
        </w:rPr>
        <w:t xml:space="preserve">Tabela 6. Decomposição do gap salarial racial por mediação contextual e ocupacional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(HLM de dois níveis, indivíduos em UPA, com efeitos fixos de UF; PNAD Contínua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2016–2025, população completa). Cada linha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acrescenta um bloco de controles ao anterior; à medida que se adiciona contexto e ocupação,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 gap encolhe e a mediação acumulada cresce.</w:t>
      </w:r>
    </w:p>
    <w:tbl>
      <w:tblPr>
        <w:tblStyle w:val="Table"/>
        <w:tblW w:type="auto" w:w="0"/>
        <w:tblLayout w:type="fixed"/>
        <w:tblLook w:firstRow="1" w:lastRow="0" w:firstColumn="0" w:lastColumn="0" w:noHBand="0" w:noVBand="0" w:val="0020"/>
        <w:tblCaption w:val="Tabela 6. Decomposição do gap salarial racial por mediação contextual e ocupacional (HLM de dois níveis, indivíduos em UPA, com efeitos fixos de UF; PNAD Contínua 2016–2025, população completa). Cada linha acrescenta um bloco de controles ao anterior; à medida que se adiciona contexto e ocupação, o gap encolhe e a mediação acumulada cresce.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619"/>
        <w:gridCol w:w="1510"/>
        <w:gridCol w:w="1079"/>
        <w:gridCol w:w="863"/>
      </w:tblGrid>
      <w:tr>
        <w:trPr>
          <w:tblHeader w:val="on"/>
        </w:trPr>
        <w:tc>
          <w:tcPr>
            <w:tcW w:type="dxa" w:w="5619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Modelo (controles acumulados)</w:t>
            </w:r>
          </w:p>
        </w:tc>
        <w:tc>
          <w:tcPr>
            <w:tcW w:type="dxa" w:w="1510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m:oMath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negro</m:t>
                  </m:r>
                </m:sub>
              </m:sSub>
            </m:oMath>
          </w:p>
        </w:tc>
        <w:tc>
          <w:tcPr>
            <w:tcW w:type="dxa" w:w="1079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Gap (%)</w:t>
            </w:r>
          </w:p>
        </w:tc>
        <w:tc>
          <w:tcPr>
            <w:tcW w:type="dxa" w:w="863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Mediação acum. (%)</w:t>
            </w:r>
          </w:p>
        </w:tc>
      </w:tr>
      <w:tr>
        <w:tc>
          <w:tcPr>
            <w:tcW w:type="dxa" w:w="561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Agregado: individual + UF, sem efeito de bairro (OLS)</w:t>
            </w:r>
          </w:p>
        </w:tc>
        <w:tc>
          <w:tcPr>
            <w:tcW w:type="dxa" w:w="1510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−0,2123</w:t>
            </w:r>
          </w:p>
        </w:tc>
        <w:tc>
          <w:tcPr>
            <w:tcW w:type="dxa" w:w="107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−19,1</w:t>
            </w:r>
          </w:p>
        </w:tc>
        <w:tc>
          <w:tcPr>
            <w:tcW w:type="dxa" w:w="863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</w:tr>
      <w:tr>
        <w:tc>
          <w:tcPr>
            <w:tcW w:type="dxa" w:w="561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M1: + intercepto aleatório de bairro (UPA)</w:t>
            </w:r>
          </w:p>
        </w:tc>
        <w:tc>
          <w:tcPr>
            <w:tcW w:type="dxa" w:w="1510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−0,1124</w:t>
            </w:r>
          </w:p>
        </w:tc>
        <w:tc>
          <w:tcPr>
            <w:tcW w:type="dxa" w:w="107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−10,6</w:t>
            </w:r>
          </w:p>
        </w:tc>
        <w:tc>
          <w:tcPr>
            <w:tcW w:type="dxa" w:w="86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47,0</w:t>
            </w:r>
          </w:p>
        </w:tc>
      </w:tr>
      <w:tr>
        <w:tc>
          <w:tcPr>
            <w:tcW w:type="dxa" w:w="561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M2: + contexto do bairro (UPA)</w:t>
            </w:r>
          </w:p>
        </w:tc>
        <w:tc>
          <w:tcPr>
            <w:tcW w:type="dxa" w:w="1510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−0,1076</w:t>
            </w:r>
          </w:p>
        </w:tc>
        <w:tc>
          <w:tcPr>
            <w:tcW w:type="dxa" w:w="107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−10,2</w:t>
            </w:r>
          </w:p>
        </w:tc>
        <w:tc>
          <w:tcPr>
            <w:tcW w:type="dxa" w:w="86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49,3</w:t>
            </w:r>
          </w:p>
        </w:tc>
      </w:tr>
      <w:tr>
        <w:tc>
          <w:tcPr>
            <w:tcW w:type="dxa" w:w="561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M3: + efeitos fixos de UF (gap líquido)</w:t>
            </w:r>
          </w:p>
        </w:tc>
        <w:tc>
          <w:tcPr>
            <w:tcW w:type="dxa" w:w="1510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−0,1077</w:t>
            </w:r>
          </w:p>
        </w:tc>
        <w:tc>
          <w:tcPr>
            <w:tcW w:type="dxa" w:w="107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−10,2</w:t>
            </w:r>
          </w:p>
        </w:tc>
        <w:tc>
          <w:tcPr>
            <w:tcW w:type="dxa" w:w="86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49,3</w:t>
            </w:r>
          </w:p>
        </w:tc>
      </w:tr>
      <w:tr>
        <w:tc>
          <w:tcPr>
            <w:tcW w:type="dxa" w:w="5619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M4: + ocupação e formalidade (limite inferior)</w:t>
            </w:r>
          </w:p>
        </w:tc>
        <w:tc>
          <w:tcPr>
            <w:tcW w:type="dxa" w:w="1510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−0,0724</w:t>
            </w:r>
          </w:p>
        </w:tc>
        <w:tc>
          <w:tcPr>
            <w:tcW w:type="dxa" w:w="1079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−7,0</w:t>
            </w:r>
          </w:p>
        </w:tc>
        <w:tc>
          <w:tcPr>
            <w:tcW w:type="dxa" w:w="863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65,9</w:t>
            </w:r>
          </w:p>
        </w:tc>
      </w:tr>
    </w:tbl>
    <w:bookmarkEnd w:id="53"/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: cada linha adiciona algo à anterior.</w:t>
      </w:r>
      <w:r>
        <w:rPr>
          <w:rFonts w:ascii="Arial" w:hAnsi="Arial"/>
          <w:sz w:val="22"/>
        </w:rP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negro</m:t>
            </m:r>
          </m:sub>
        </m:sSub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é a penalidade racial em log-rendimento (mais próximo de zero = menor gap);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“Gap (%)”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é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penalidade em % de renda;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“Mediação acum.”</w:t>
      </w:r>
      <w:r>
        <w:rPr>
          <w:rFonts w:ascii="Arial" w:hAnsi="Arial"/>
          <w:sz w:val="22"/>
        </w:rPr>
        <w:t xml:space="preserve"> é a fração do gap agregado (primeira linha) já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explicada. O salto da primeira para a segunda linha é a mediação pela segregação residencial: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comparar negros e brancos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i/>
          <w:iCs/>
          <w:sz w:val="22"/>
        </w:rPr>
        <w:t xml:space="preserve">do mesmo bairro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reduz o gap quase à metade. Do modelo agregado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ao M4 o gap cai de 19,1% para 7,0%: 65,9% do gap é mediado por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onde a pessoa mora, o estado e a ocupação que acessa — e a penalidade de 7,0% persiste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dentro da mesma ocupação (limite inferior, pois a ocupação é ela própria resultado da barreira de acesso).</w:t>
      </w:r>
    </w:p>
    <w:p>
      <w:pPr>
        <w:pStyle w:val="BodyText"/>
        <w:spacing w:line="240" w:lineRule="auto" w:before="40" w:after="240"/>
        <w:ind w:firstLine="0"/>
        <w:jc w:val="both"/>
      </w:pPr>
      <w:r>
        <w:rPr>
          <w:rFonts w:ascii="Arial" w:hAnsi="Arial"/>
          <w:sz w:val="22"/>
        </w:rPr>
        <w:t xml:space="preserve">Fonte: Resultados originais da pesquisa.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A Figura 4 resume a sequência de degraus em barras.</w:t>
      </w:r>
    </w:p>
    <w:bookmarkStart w:id="57" w:name="fig:hlm_gap"/>
    <w:p>
      <w:pPr>
        <w:pStyle w:val="CaptionedFigure"/>
      </w:pPr>
      <w:r>
        <w:rPr>
          <w:rFonts w:ascii="Arial" w:hAnsi="Arial"/>
          <w:sz w:val="22"/>
        </w:rPr>
        <w:drawing>
          <wp:inline>
            <wp:extent cx="5292852" cy="2571773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outputs/figures/fig_hlm_gap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2852" cy="25717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line="240" w:lineRule="auto" w:before="240" w:after="40"/>
        <w:ind w:firstLine="0"/>
        <w:jc w:val="both"/>
      </w:pPr>
      <w:r>
        <w:rPr>
          <w:rFonts w:ascii="Arial" w:hAnsi="Arial"/>
          <w:sz w:val="22"/>
        </w:rPr>
        <w:t xml:space="preserve">Figura 4. Metade do gap racial desaparece ao comparar pessoas do mesmo bairro — e o que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sobra não é explicado por escolaridade, idade, sexo, estado nem ocupação. Barras:</w:t>
      </w:r>
      <w:r>
        <w:rPr>
          <w:rFonts w:ascii="Arial" w:hAnsi="Arial"/>
          <w:sz w:val="22"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</m:sSub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 cada modelo; traço: IC 95% (estreito pelo</w:t>
      </w:r>
      <w:r>
        <w:rPr>
          <w:rFonts w:ascii="Arial" w:hAnsi="Arial"/>
          <w:sz w:val="22"/>
        </w:rPr>
        <w:t xml:space="preserve"> </w:t>
      </w:r>
      <m:oMath>
        <m:r>
          <m:t>N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 milhões);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rótulo: gap em % de renda. Em azul, o M3 (gap líquido).</w:t>
      </w:r>
    </w:p>
    <w:bookmarkEnd w:id="57"/>
    <w:p>
      <w:pPr>
        <w:pStyle w:val="BodyText"/>
        <w:spacing w:line="240" w:lineRule="auto" w:before="40" w:after="240"/>
        <w:ind w:firstLine="0"/>
        <w:jc w:val="both"/>
      </w:pPr>
      <w:r>
        <w:rPr>
          <w:rFonts w:ascii="Arial" w:hAnsi="Arial"/>
          <w:sz w:val="22"/>
        </w:rPr>
        <w:t xml:space="preserve">Fonte: Resultados originais da pesquisa</w:t>
      </w:r>
    </w:p>
    <w:p>
      <w:pPr>
        <w:pStyle w:val="BodyText"/>
        <w:spacing w:line="240" w:lineRule="auto" w:before="40" w:after="240"/>
        <w:ind w:firstLine="0"/>
        <w:jc w:val="both"/>
      </w:pPr>
      <w:r>
        <w:rPr>
          <w:rFonts w:ascii="Arial" w:hAnsi="Arial"/>
          <w:sz w:val="22"/>
        </w:rPr>
        <w:t xml:space="preserve">Nota: como ler a Figura 4: cada barra é um modelo da sequência e, de cima para baixo, acrescenta-se um bloco de controles ao anterior. O comprimento da barra é a penalidade racial em log-rendimento e o rótulo dentro dela, a mesma penalidade em % de renda; o traço fino é o intervalo de confiança de 95% com erro-padrão agrupado por UPA. Em azul, o M3 — o gap líquido.</w:t>
      </w:r>
    </w:p>
    <w:bookmarkEnd w:id="58"/>
    <w:bookmarkStart w:id="64" w:name="X0e69078f56ff2fc58d4b5157c72cc4a5dec12bc"/>
    <w:p>
      <w:pPr>
        <w:pStyle w:val="Ttulo2"/>
        <w:spacing w:line="240" w:lineRule="auto" w:before="240" w:after="120"/>
        <w:ind w:firstLine="0"/>
        <w:jc w:val="left"/>
      </w:pPr>
      <w:r>
        <w:rPr>
          <w:rFonts w:ascii="Arial" w:hAnsi="Arial"/>
          <w:sz w:val="22"/>
        </w:rPr>
        <w:t xml:space="preserve">Decomposição de Oaxaca–Blinder: composição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vs.</w:t>
      </w:r>
      <w:r>
        <w:rPr>
          <w:rFonts w:ascii="Arial" w:hAnsi="Arial"/>
          <w:sz w:val="22"/>
        </w:rPr>
        <w:t xml:space="preserve"> discriminação</w:t>
      </w:r>
    </w:p>
    <w:p>
      <w:pPr>
        <w:pStyle w:val="FirstParagraph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A decomposição de Oaxaca–Blinder separa o gap bruto de log-rendimento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(0,4255 log-pontos, ou 53,0%) em uma parcela explicada por diferenças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dotações e uma parcela não explicada (retornos diferenciais — limite inferior 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discriminação). A Tabela 7 apresenta duas especificações,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porque ocupação e formalidade são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bad controls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(Angrist &amp; Pischke, 2009):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são elas próprias resultado da discriminação. Em (A), com os controles do HLM M3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(capital humano e contexto de UPA), 28,4% do gap não é explicado por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características observáveis; em (B), tratando também horas, formalidade e grupo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CBO como dotações, a parcela não explicada cai para 16,2% —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discriminação salarial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dentro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da ocupação. A diferença entre as duas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(12,2 pontos percentuais) é a parcela da discriminação que opera pela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porta de entrada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das ocupações, e não pelo salário — exatamente o que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GLMM de acesso mede adiante. Nota: em cada coluna, Dotações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+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explicado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=</m:t>
        </m:r>
        <m:r>
          <m:t>100</m:t>
        </m:r>
        <m:r>
          <m:rPr>
            <m:sty m:val="p"/>
          </m:rPr>
          <m:t>%</m:t>
        </m:r>
      </m:oMath>
      <w:r>
        <w:rPr>
          <w:rFonts w:ascii="Arial" w:hAnsi="Arial"/>
          <w:sz w:val="22"/>
        </w:rPr>
        <w:t xml:space="preserve">; os erros-padrão vêm de bootstrap em blocos por UPA.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Pressupostos das regressões por grupo.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As duas regressões auxiliares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(brancos e negros) foram submetidas aos testes de Breusch–Pagan e RESET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(Fávero &amp; Belfiore, cap. 12). Há heterocedasticidade — esperada em log-rendimento —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mas de magnitude modesta: o</w:t>
      </w:r>
      <w:r>
        <w:rPr>
          <w:rFonts w:ascii="Arial" w:hAnsi="Arial"/>
          <w:sz w:val="22"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da regressão auxiliar do Breusch–Pagan é 0,061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(brancos) e 0,065 (negros), e é justamente por isso que os erros-padrão são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agrupados por UPA e a decomposição usa bootstrap em blocos. O RESET rejeita a forma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funcional linear, mas o ganho de</w:t>
      </w:r>
      <w:r>
        <w:rPr>
          <w:rFonts w:ascii="Arial" w:hAnsi="Arial"/>
          <w:sz w:val="22"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ao acrescentar potências do valor predito é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0,0009 (brancos) e 0,0038 (negros) — irrelevante para a decomposição. Com</w:t>
      </w:r>
      <w:r>
        <w:rPr>
          <w:rFonts w:ascii="Arial" w:hAnsi="Arial"/>
          <w:sz w:val="22"/>
        </w:rPr>
        <w:t xml:space="preserve"> </w:t>
      </w:r>
      <m:oMath>
        <m:r>
          <m:t>N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 milhões, ambos os testes rejeitam qualquer hipótese nula pontual; o que importa é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magnitude, não o</w:t>
      </w:r>
      <w:r>
        <w:rPr>
          <w:rFonts w:ascii="Arial" w:hAnsi="Arial"/>
          <w:sz w:val="22"/>
        </w:rPr>
        <w:t xml:space="preserve"> </w:t>
      </w:r>
      <m:oMath>
        <m:r>
          <m:t>p</m:t>
        </m:r>
      </m:oMath>
      <w:r>
        <w:rPr>
          <w:rFonts w:ascii="Arial" w:hAnsi="Arial"/>
          <w:sz w:val="22"/>
        </w:rPr>
        <w:t xml:space="preserve">-valor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(Angrist; Pischke, 2009)</w:t>
      </w:r>
      <w:r>
        <w:rPr>
          <w:rFonts w:ascii="Arial" w:hAnsi="Arial"/>
          <w:sz w:val="22"/>
        </w:rPr>
        <w:t xml:space="preserve">.</w:t>
      </w:r>
    </w:p>
    <w:bookmarkStart w:id="59" w:name="tab:oaxaca_blinder"/>
    <w:p>
      <w:pPr>
        <w:pStyle w:val="TableCaption"/>
        <w:spacing w:line="240" w:lineRule="auto" w:before="240" w:after="40"/>
        <w:ind w:firstLine="0"/>
        <w:jc w:val="both"/>
      </w:pPr>
      <w:r>
        <w:rPr>
          <w:rFonts w:ascii="Arial" w:hAnsi="Arial"/>
          <w:sz w:val="22"/>
        </w:rPr>
        <w:t xml:space="preserve">Tabela 7. Decomposição de Oaxaca–Blinder (</w:t>
      </w:r>
      <w:r>
        <w:rPr>
          <w:rFonts w:ascii="Arial" w:hAnsi="Arial"/>
          <w:i/>
          <w:iCs/>
          <w:sz w:val="22"/>
        </w:rPr>
        <w:t xml:space="preserve">twofold</w:t>
      </w:r>
      <w:r>
        <w:rPr>
          <w:rFonts w:ascii="Arial" w:hAnsi="Arial"/>
          <w:sz w:val="22"/>
        </w:rPr>
        <w:t xml:space="preserve">, referência: estrutura de preços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dos brancos) do gap salarial racial em duas especificações. (A) </w:t>
      </w:r>
      <w:r>
        <w:rPr>
          <w:rFonts w:ascii="Arial" w:hAnsi="Arial"/>
          <w:i/>
          <w:iCs/>
          <w:sz w:val="22"/>
        </w:rPr>
        <w:t xml:space="preserve">Capital humano +</w:t>
      </w:r>
      <w:r>
        <w:rPr>
          <w:rFonts w:ascii="Arial" w:hAnsi="Arial"/>
          <w:i/>
          <w:iCs/>
          <w:sz w:val="22"/>
        </w:rPr>
        <w:t xml:space="preserve"> </w:t>
      </w:r>
      <w:r>
        <w:rPr>
          <w:rFonts w:ascii="Arial" w:hAnsi="Arial"/>
          <w:i/>
          <w:iCs/>
          <w:sz w:val="22"/>
        </w:rPr>
        <w:t xml:space="preserve">contexto</w:t>
      </w:r>
      <w:r>
        <w:rPr>
          <w:rFonts w:ascii="Arial" w:hAnsi="Arial"/>
          <w:sz w:val="22"/>
        </w:rPr>
        <w:t xml:space="preserve">: escolaridade, idade, sexo e contexto de UPA — os mesmos controles do HLM M3;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 parcela não explicada é comparável à da literatura. (B) </w:t>
      </w:r>
      <w:r>
        <w:rPr>
          <w:rFonts w:ascii="Arial" w:hAnsi="Arial"/>
          <w:i/>
          <w:iCs/>
          <w:sz w:val="22"/>
        </w:rPr>
        <w:t xml:space="preserve">Acesso</w:t>
      </w:r>
      <w:r>
        <w:rPr>
          <w:rFonts w:ascii="Arial" w:hAnsi="Arial"/>
          <w:sz w:val="22"/>
        </w:rPr>
        <w:t xml:space="preserve">: (A) + horas,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formalidade e grupo CBO tratados como dotações — a parcela não explicada é a discriminação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i/>
          <w:iCs/>
          <w:sz w:val="22"/>
        </w:rPr>
        <w:t xml:space="preserve">dentro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da ocupação, um limite inferior, pois a segregação ocupacional é ela própria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discriminatória (Oaxaca &amp; Ransom, 1999; ver o GLMM de acesso, Tabela 10).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População completa da PEA com renda positiva (</w:t>
      </w:r>
      <m:oMath>
        <m:r>
          <m:t>N</m:t>
        </m:r>
        <m:r>
          <m:rPr>
            <m:sty m:val="p"/>
          </m:rPr>
          <m:t>=</m:t>
        </m:r>
        <m:r>
          <m:t>7.694</m:t>
        </m:r>
        <m:r>
          <m:t>.198</m:t>
        </m:r>
      </m:oMath>
      <w:r>
        <w:rPr>
          <w:rFonts w:ascii="Arial" w:hAnsi="Arial"/>
          <w:sz w:val="22"/>
        </w:rPr>
        <w:t xml:space="preserve">; 40.969 UPAs).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Erros-padrão entre parênteses: bootstrap em blocos por UPA (500 réplicas).</w:t>
      </w:r>
    </w:p>
    <w:tbl>
      <w:tblPr>
        <w:tblStyle w:val="Table"/>
        <w:tblW w:type="auto" w:w="0"/>
        <w:tblLayout w:type="fixed"/>
        <w:tblLook w:firstRow="1" w:lastRow="0" w:firstColumn="0" w:lastColumn="0" w:noHBand="0" w:noVBand="0" w:val="0020"/>
        <w:tblCaption w:val="Tabela 7. Decomposição de Oaxaca–Blinder (twofold, referência: estrutura de preços dos brancos) do gap salarial racial em duas especificações. (A) Capital humano + contexto: escolaridade, idade, sexo e contexto de UPA — os mesmos controles do HLM M3; a parcela não explicada é comparável à da literatura. (B) Acesso: (A) + horas, formalidade e grupo CBO tratados como dotações — a parcela não explicada é a discriminação dentro da ocupação, um limite inferior, pois a segregação ocupacional é ela própria discriminatória (Oaxaca &amp; Ransom, 1999; ver o GLMM de acesso, Tabela 10). População completa da PEA com renda positiva (N = 7.694.198; 40.969 UPAs). Erros-padrão entre parênteses: bootstrap em blocos por UPA (500 réplicas).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974"/>
        <w:gridCol w:w="1190"/>
        <w:gridCol w:w="1190"/>
        <w:gridCol w:w="1859"/>
        <w:gridCol w:w="1859"/>
      </w:tblGrid>
      <w:tr>
        <w:trPr>
          <w:tblHeader w:val="on"/>
        </w:trPr>
        <w:tc>
          <w:tcPr>
            <w:tcW w:type="dxa" w:w="2974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</w:p>
        </w:tc>
        <w:tc>
          <w:tcPr>
            <w:tcW w:type="dxa" w:w="1190"/>
            <w:gridSpan w:val="2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(A) Sem ocupação</w:t>
            </w:r>
          </w:p>
        </w:tc>
        <w:tc>
          <w:tcPr>
            <w:tcW w:type="dxa" w:w="1859"/>
            <w:gridSpan w:val="2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(B) Acesso (com ocupação)</w:t>
            </w:r>
          </w:p>
        </w:tc>
      </w:tr>
      <w:tr>
        <w:tc>
          <w:tcPr>
            <w:tcW w:type="dxa" w:w="2974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2-3</w:t>
            </w:r>
            <w:r>
              <w:rPr>
                <w:rFonts w:ascii="Arial" w:hAnsi="Arial"/>
                <w:b w:val="0"/>
                <w:sz w:val="22"/>
              </w:rPr>
              <w:t xml:space="preserve">(lr)</w:t>
            </w:r>
            <w:r>
              <w:rPr>
                <w:rFonts w:ascii="Arial" w:hAnsi="Arial"/>
                <w:b w:val="0"/>
                <w:sz w:val="22"/>
              </w:rPr>
              <w:t xml:space="preserve">4-5</w:t>
            </w:r>
            <w:r>
              <w:rPr>
                <w:rFonts w:ascii="Arial" w:hAnsi="Arial"/>
                <w:b w:val="0"/>
                <w:sz w:val="22"/>
              </w:rPr>
              <w:t xml:space="preserve"> </w:t>
            </w:r>
            <w:r>
              <w:rPr>
                <w:rFonts w:ascii="Arial" w:hAnsi="Arial"/>
                <w:b w:val="0"/>
                <w:sz w:val="22"/>
              </w:rPr>
              <w:t xml:space="preserve">Componente</w:t>
            </w:r>
          </w:p>
        </w:tc>
        <w:tc>
          <w:tcPr>
            <w:tcW w:type="dxa" w:w="1190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log-pontos (SE)</w:t>
            </w:r>
          </w:p>
        </w:tc>
        <w:tc>
          <w:tcPr>
            <w:tcW w:type="dxa" w:w="1190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% do gap</w:t>
            </w:r>
          </w:p>
        </w:tc>
        <w:tc>
          <w:tcPr>
            <w:tcW w:type="dxa" w:w="1859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log-pontos (SE)</w:t>
            </w:r>
          </w:p>
        </w:tc>
        <w:tc>
          <w:tcPr>
            <w:tcW w:type="dxa" w:w="1859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% do gap</w:t>
            </w:r>
          </w:p>
        </w:tc>
      </w:tr>
      <w:tr>
        <w:tc>
          <w:tcPr>
            <w:tcW w:type="dxa" w:w="2974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Gap total (branco</w:t>
            </w:r>
            <w:r>
              <w:rPr>
                <w:rFonts w:ascii="Arial" w:hAnsi="Arial"/>
                <w:b w:val="0"/>
                <w:sz w:val="22"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 </w:t>
            </w:r>
            <w:r>
              <w:rPr>
                <w:rFonts w:ascii="Arial" w:hAnsi="Arial"/>
                <w:b w:val="0"/>
                <w:sz w:val="22"/>
              </w:rPr>
              <w:t xml:space="preserve">negro)</w:t>
            </w:r>
          </w:p>
        </w:tc>
        <w:tc>
          <w:tcPr>
            <w:tcW w:type="dxa" w:w="1190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0,4255 (0,0034)</w:t>
            </w:r>
          </w:p>
        </w:tc>
        <w:tc>
          <w:tcPr>
            <w:tcW w:type="dxa" w:w="1190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100,0</w:t>
            </w:r>
          </w:p>
        </w:tc>
        <w:tc>
          <w:tcPr>
            <w:tcW w:type="dxa" w:w="18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0,4255 (0,0034)</w:t>
            </w:r>
          </w:p>
        </w:tc>
        <w:tc>
          <w:tcPr>
            <w:tcW w:type="dxa" w:w="18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100,0</w:t>
            </w:r>
          </w:p>
        </w:tc>
      </w:tr>
      <w:tr>
        <w:tc>
          <w:tcPr>
            <w:tcW w:type="dxa" w:w="2974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Dotações (características observáveis)</w:t>
            </w:r>
          </w:p>
        </w:tc>
        <w:tc>
          <w:tcPr>
            <w:tcW w:type="dxa" w:w="1190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0,3046 (0,0038)</w:t>
            </w:r>
          </w:p>
        </w:tc>
        <w:tc>
          <w:tcPr>
            <w:tcW w:type="dxa" w:w="1190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71,6</w:t>
            </w:r>
          </w:p>
        </w:tc>
        <w:tc>
          <w:tcPr>
            <w:tcW w:type="dxa" w:w="18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0,3566 (0,0036)</w:t>
            </w:r>
          </w:p>
        </w:tc>
        <w:tc>
          <w:tcPr>
            <w:tcW w:type="dxa" w:w="18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83,8</w:t>
            </w:r>
          </w:p>
        </w:tc>
      </w:tr>
      <w:tr>
        <w:tc>
          <w:tcPr>
            <w:tcW w:type="dxa" w:w="2974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Não explicado (retornos / discriminação)</w:t>
            </w:r>
          </w:p>
        </w:tc>
        <w:tc>
          <w:tcPr>
            <w:tcW w:type="dxa" w:w="1190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0,1209 (0,0018)</w:t>
            </w:r>
          </w:p>
        </w:tc>
        <w:tc>
          <w:tcPr>
            <w:tcW w:type="dxa" w:w="1190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28,4</w:t>
            </w:r>
          </w:p>
        </w:tc>
        <w:tc>
          <w:tcPr>
            <w:tcW w:type="dxa" w:w="1859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0,0689 (0,0013)</w:t>
            </w:r>
          </w:p>
        </w:tc>
        <w:tc>
          <w:tcPr>
            <w:tcW w:type="dxa" w:w="1859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16,2</w:t>
            </w:r>
          </w:p>
        </w:tc>
      </w:tr>
    </w:tbl>
    <w:bookmarkEnd w:id="59"/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: em cada especificação, Dotações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+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Não explicado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=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Gap total.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 (A) para (B), parte do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“não explicado”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migra para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“dotações”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porque a ocupação passa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ser tratada como característica — é exatamente a parcela da discriminação que opera pela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i/>
          <w:iCs/>
          <w:sz w:val="22"/>
        </w:rPr>
        <w:t xml:space="preserve">porta de entrada</w:t>
      </w:r>
      <w:r>
        <w:rPr>
          <w:rFonts w:ascii="Arial" w:hAnsi="Arial"/>
          <w:sz w:val="22"/>
        </w:rPr>
        <w:t xml:space="preserve">, e não pelo salário.</w:t>
      </w:r>
    </w:p>
    <w:p>
      <w:pPr>
        <w:pStyle w:val="BodyText"/>
        <w:spacing w:line="240" w:lineRule="auto" w:before="40" w:after="240"/>
        <w:ind w:firstLine="0"/>
        <w:jc w:val="both"/>
      </w:pPr>
      <w:r>
        <w:rPr>
          <w:rFonts w:ascii="Arial" w:hAnsi="Arial"/>
          <w:sz w:val="22"/>
        </w:rPr>
        <w:t xml:space="preserve">Fonte: Resultados originais da pesquisa.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A Figura 5 apresenta as duas especificações em forma de cascata.</w:t>
      </w:r>
    </w:p>
    <w:bookmarkStart w:id="63" w:name="fig:ob_cascata"/>
    <w:p>
      <w:pPr>
        <w:pStyle w:val="CaptionedFigure"/>
      </w:pPr>
      <w:r>
        <w:rPr>
          <w:rFonts w:ascii="Arial" w:hAnsi="Arial"/>
          <w:sz w:val="22"/>
        </w:rPr>
        <w:drawing>
          <wp:inline>
            <wp:extent cx="5465445" cy="2196175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outputs/figures/fig_ob_cascata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5445" cy="21961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line="240" w:lineRule="auto" w:before="240" w:after="40"/>
        <w:ind w:firstLine="0"/>
        <w:jc w:val="both"/>
      </w:pPr>
      <w:r>
        <w:rPr>
          <w:rFonts w:ascii="Arial" w:hAnsi="Arial"/>
          <w:sz w:val="22"/>
        </w:rPr>
        <w:t xml:space="preserve">Figura 5. Tratar a ocupação como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“característica”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derruba pela metade a discriminação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medida: de 28,4% para 16,2% do gap. A parcela que some é a que opera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na porta de entrada das ocupações — medida adiante pelo modelo de acesso.</w:t>
      </w:r>
    </w:p>
    <w:bookmarkEnd w:id="63"/>
    <w:p>
      <w:pPr>
        <w:pStyle w:val="BodyText"/>
        <w:spacing w:line="240" w:lineRule="auto" w:before="40" w:after="240"/>
        <w:ind w:firstLine="0"/>
        <w:jc w:val="both"/>
      </w:pPr>
      <w:r>
        <w:rPr>
          <w:rFonts w:ascii="Arial" w:hAnsi="Arial"/>
          <w:sz w:val="22"/>
        </w:rPr>
        <w:t xml:space="preserve">Fonte: Resultados originais da pesquisa</w:t>
      </w:r>
    </w:p>
    <w:p>
      <w:pPr>
        <w:pStyle w:val="BodyText"/>
        <w:spacing w:line="240" w:lineRule="auto" w:before="40" w:after="240"/>
        <w:ind w:firstLine="0"/>
        <w:jc w:val="both"/>
      </w:pPr>
      <w:r>
        <w:rPr>
          <w:rFonts w:ascii="Arial" w:hAnsi="Arial"/>
          <w:sz w:val="22"/>
        </w:rPr>
        <w:t xml:space="preserve">Nota: como ler a Figura 5: cada painel é uma cascata lida da esquerda para a direita. A primeira barra é o gap total em log-rendimento; a segunda desconta a parcela atribuída a diferenças de características (dotações); a terceira, em azul, é o que sobra sem explicação. A única diferença entre os painéis é se a ocupação entra ou não como característica.</w:t>
      </w:r>
    </w:p>
    <w:bookmarkEnd w:id="64"/>
    <w:bookmarkStart w:id="71" w:name="subsec:qr_rif"/>
    <w:p>
      <w:pPr>
        <w:pStyle w:val="Ttulo2"/>
        <w:spacing w:line="240" w:lineRule="auto" w:before="240" w:after="120"/>
        <w:ind w:firstLine="0"/>
        <w:jc w:val="left"/>
      </w:pPr>
      <w:r>
        <w:rPr>
          <w:rFonts w:ascii="Arial" w:hAnsi="Arial"/>
          <w:sz w:val="22"/>
        </w:rPr>
        <w:t xml:space="preserve">Regressão Quantílica e RIF-OB: teto de vidro 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sticky floor</w:t>
      </w:r>
    </w:p>
    <w:p>
      <w:pPr>
        <w:pStyle w:val="FirstParagraph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A regressão quantílica estima o gap em cada ponto da distribuição de renda;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RIF-OB separa, por quantil, dotação e retorno. A Tabela 8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mostra o gap crescendo ao longo da distribuição (teto de vidro no gap bruto);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Tabela 9 revela o padrão complementar: o componente de retorno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(discriminação proporcional) é maior na base 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decresce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rumo ao topo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</w:t>
      </w:r>
      <w:r>
        <w:rPr>
          <w:rFonts w:ascii="Arial" w:hAnsi="Arial"/>
          <w:sz w:val="22"/>
        </w:rPr>
        <w:t xml:space="preserve">sticky floor</w:t>
      </w:r>
      <w:r>
        <w:rPr>
          <w:rFonts w:ascii="Arial" w:hAnsi="Arial"/>
          <w:sz w:val="22"/>
        </w:rPr>
        <w:t xml:space="preserve">). Nota: na Tabela 9, Dotações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+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Retornos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=</m:t>
        </m:r>
        <m:r>
          <m:t>100</m:t>
        </m:r>
        <m:r>
          <m:rPr>
            <m:sty m:val="p"/>
          </m:rPr>
          <m:t>%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em cada quantil; siga a coluna Retornos caindo de</w:t>
      </w:r>
      <w:r>
        <w:rPr>
          <w:rFonts w:ascii="Arial" w:hAnsi="Arial"/>
          <w:sz w:val="22"/>
        </w:rPr>
        <w:t xml:space="preserve"> </w:t>
      </w:r>
      <m:oMath>
        <m:r>
          <m:t>35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%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(q10)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</w:t>
      </w:r>
      <w:r>
        <w:rPr>
          <w:rFonts w:ascii="Arial" w:hAnsi="Arial"/>
          <w:sz w:val="22"/>
        </w:rPr>
        <w:t xml:space="preserve"> </w:t>
      </w:r>
      <m:oMath>
        <m:r>
          <m:t>12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%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(q90) — a discriminação de preço pesa mais na base.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Por que os dois padrões não se contradizem.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 regressão quantílica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estima quantis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condicionais</w:t>
      </w:r>
      <w:r>
        <w:rPr>
          <w:rFonts w:ascii="Arial" w:hAnsi="Arial"/>
          <w:sz w:val="22"/>
        </w:rPr>
        <w:t xml:space="preserve">:</w:t>
      </w:r>
      <w:r>
        <w:rPr>
          <w:rFonts w:ascii="Arial" w:hAnsi="Arial"/>
          <w:sz w:val="22"/>
        </w:rP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compara negros e brancos na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mesma posição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dentro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da distribuição de pessoas com o mesmo perfil observável.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 crescimento de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|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  <m:r>
          <m:rPr>
            <m:sty m:val="p"/>
          </m:rPr>
          <m:t>|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ao longo de</w:t>
      </w:r>
      <w:r>
        <w:rPr>
          <w:rFonts w:ascii="Arial" w:hAnsi="Arial"/>
          <w:sz w:val="22"/>
        </w:rPr>
        <w:t xml:space="preserve"> </w:t>
      </w:r>
      <m:oMath>
        <m:r>
          <m:t>τ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significa que a dispersão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condicional do rendimento é maior entre brancos —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fanning out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na linguagem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Angrist; Pischke (2009)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—, e não que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“os negros do topo sofrem mais”</w:t>
      </w:r>
      <w:r>
        <w:rPr>
          <w:rFonts w:ascii="Arial" w:hAnsi="Arial"/>
          <w:sz w:val="22"/>
        </w:rPr>
        <w:t xml:space="preserve">: quantis não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seguem indivíduos, e a leitura em termos de pessoas exigiria invariância de posto, que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não se testa aqui. A RIF-OB, ao contrário, decompõe quantis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incondicionais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distribuição de renda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(Firpo; Fortin; Lemieux, 2018)</w:t>
      </w:r>
      <w:r>
        <w:rPr>
          <w:rFonts w:ascii="Arial" w:hAnsi="Arial"/>
          <w:sz w:val="22"/>
        </w:rPr>
        <w:t xml:space="preserve">: responde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“de que é feito o gap no q10 da renda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do país”</w:t>
      </w:r>
      <w:r>
        <w:rPr>
          <w:rFonts w:ascii="Arial" w:hAnsi="Arial"/>
          <w:sz w:val="22"/>
        </w:rPr>
        <w:t xml:space="preserve">. Como a composição observável concentra negros na base, a parcela de retornos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é maior ali; e como há mais dispersão condicional no topo, o coeficiente condicional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cresce com</w:t>
      </w:r>
      <w:r>
        <w:rPr>
          <w:rFonts w:ascii="Arial" w:hAnsi="Arial"/>
          <w:sz w:val="22"/>
        </w:rPr>
        <w:t xml:space="preserve"> </w:t>
      </w:r>
      <m:oMath>
        <m:r>
          <m:t>τ</m:t>
        </m:r>
      </m:oMath>
      <w:r>
        <w:rPr>
          <w:rFonts w:ascii="Arial" w:hAnsi="Arial"/>
          <w:sz w:val="22"/>
        </w:rPr>
        <w:t xml:space="preserve">. Os dois resultados são complementares — um é sobre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preço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pago a características, o outro sobre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distribuição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 características.</w:t>
      </w:r>
    </w:p>
    <w:bookmarkStart w:id="65" w:name="tab:qr_melhorias"/>
    <w:p>
      <w:pPr>
        <w:pStyle w:val="TableCaption"/>
        <w:spacing w:line="240" w:lineRule="auto" w:before="240" w:after="40"/>
        <w:ind w:firstLine="0"/>
        <w:jc w:val="both"/>
      </w:pPr>
      <w:r>
        <w:rPr>
          <w:rFonts w:ascii="Arial" w:hAnsi="Arial"/>
          <w:sz w:val="22"/>
        </w:rPr>
        <w:t xml:space="preserve">Tabela 8. Regressão quantílica: coeficiente</w:t>
      </w:r>
      <w:r>
        <w:rPr>
          <w:rFonts w:ascii="Arial" w:hAnsi="Arial"/>
          <w:sz w:val="22"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</m:sSub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por quantil e sexo.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Gap (%)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β</m:t>
                </m:r>
              </m:e>
            </m:acc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100</m:t>
        </m:r>
      </m:oMath>
      <w:r>
        <w:rPr>
          <w:rFonts w:ascii="Arial" w:hAnsi="Arial"/>
          <w:sz w:val="22"/>
        </w:rPr>
        <w:t xml:space="preserve">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M3: controles individuais + contexto UPA + UF efeito fixo. População completa.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Entre parênteses (coluna Global): erro-padrão por bootstrap em blocos por UPA.</w:t>
      </w:r>
      <w:r>
        <w:rPr>
          <w:rFonts w:ascii="Arial" w:hAnsi="Arial"/>
          <w:sz w:val="22"/>
        </w:rP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  <m:r>
              <m:rPr>
                <m:sty m:val="p"/>
              </m:rPr>
              <m:t>*</m:t>
            </m:r>
            <m:r>
              <m:rPr>
                <m:sty m:val="p"/>
              </m:rPr>
              <m:t>*</m:t>
            </m:r>
          </m:sup>
        </m:sSup>
        <m:r>
          <m:t>p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001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em todos os quantis e grupos.</w:t>
      </w:r>
    </w:p>
    <w:tbl>
      <w:tblPr>
        <w:tblStyle w:val="Table"/>
        <w:tblW w:type="auto" w:w="0"/>
        <w:tblLayout w:type="fixed"/>
        <w:tblLook w:firstRow="1" w:lastRow="0" w:firstColumn="0" w:lastColumn="0" w:noHBand="0" w:noVBand="0" w:val="0020"/>
        <w:tblCaption w:val="Tabela 8. Regressão quantílica: coeficiente \hat{\beta}_{\text{negro}} por quantil e sexo. Gap (%) = (e^{\hat{\beta}}-1)\times 100. M3: controles individuais + contexto UPA + UF efeito fixo. População completa. Entre parênteses (coluna Global): erro-padrão por bootstrap em blocos por UPA. ^{***}p&lt;0{,}001 em todos os quantis e grupos.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123"/>
        <w:gridCol w:w="1737"/>
        <w:gridCol w:w="1158"/>
        <w:gridCol w:w="772"/>
        <w:gridCol w:w="1158"/>
        <w:gridCol w:w="772"/>
        <w:gridCol w:w="1351"/>
      </w:tblGrid>
      <w:tr>
        <w:trPr>
          <w:tblHeader w:val="on"/>
        </w:trPr>
        <w:tc>
          <w:tcPr>
            <w:tcW w:type="dxa" w:w="2123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</w:p>
        </w:tc>
        <w:tc>
          <w:tcPr>
            <w:tcW w:type="dxa" w:w="1158"/>
            <w:gridSpan w:val="2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Global</w:t>
            </w:r>
          </w:p>
        </w:tc>
        <w:tc>
          <w:tcPr>
            <w:tcW w:type="dxa" w:w="1158"/>
            <w:gridSpan w:val="2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Homens</w:t>
            </w:r>
          </w:p>
        </w:tc>
        <w:tc>
          <w:tcPr>
            <w:tcW w:type="dxa" w:w="1351"/>
            <w:gridSpan w:val="2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Mulheres</w:t>
            </w:r>
          </w:p>
        </w:tc>
      </w:tr>
      <w:tr>
        <w:tc>
          <w:tcPr>
            <w:tcW w:type="dxa" w:w="2123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2-3</w:t>
            </w:r>
            <w:r>
              <w:rPr>
                <w:rFonts w:ascii="Arial" w:hAnsi="Arial"/>
                <w:b w:val="0"/>
                <w:sz w:val="22"/>
              </w:rPr>
              <w:t xml:space="preserve">(lr)</w:t>
            </w:r>
            <w:r>
              <w:rPr>
                <w:rFonts w:ascii="Arial" w:hAnsi="Arial"/>
                <w:b w:val="0"/>
                <w:sz w:val="22"/>
              </w:rPr>
              <w:t xml:space="preserve">4-5</w:t>
            </w:r>
            <w:r>
              <w:rPr>
                <w:rFonts w:ascii="Arial" w:hAnsi="Arial"/>
                <w:b w:val="0"/>
                <w:sz w:val="22"/>
              </w:rPr>
              <w:t xml:space="preserve">(lr)</w:t>
            </w:r>
            <w:r>
              <w:rPr>
                <w:rFonts w:ascii="Arial" w:hAnsi="Arial"/>
                <w:b w:val="0"/>
                <w:sz w:val="22"/>
              </w:rPr>
              <w:t xml:space="preserve">6-7</w:t>
            </w:r>
            <w:r>
              <w:rPr>
                <w:rFonts w:ascii="Arial" w:hAnsi="Arial"/>
                <w:b w:val="0"/>
                <w:sz w:val="22"/>
              </w:rPr>
              <w:t xml:space="preserve"> </w:t>
            </w:r>
            <w:r>
              <w:rPr>
                <w:rFonts w:ascii="Arial" w:hAnsi="Arial"/>
                <w:b w:val="0"/>
                <w:sz w:val="22"/>
              </w:rPr>
              <w:t xml:space="preserve">Quantil</w:t>
            </w:r>
          </w:p>
        </w:tc>
        <w:tc>
          <w:tcPr>
            <w:tcW w:type="dxa" w:w="1737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rPr>
                <w:rFonts w:ascii="Arial" w:hAnsi="Arial"/>
                <w:b w:val="0"/>
                <w:sz w:val="22"/>
              </w:rPr>
              <w:t xml:space="preserve"> </w:t>
            </w:r>
            <w:r>
              <w:rPr>
                <w:rFonts w:ascii="Arial" w:hAnsi="Arial"/>
                <w:b w:val="0"/>
                <w:sz w:val="22"/>
              </w:rPr>
              <w:t xml:space="preserve">(SE)</w:t>
            </w:r>
          </w:p>
        </w:tc>
        <w:tc>
          <w:tcPr>
            <w:tcW w:type="dxa" w:w="1158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Gap (%)</w:t>
            </w:r>
          </w:p>
        </w:tc>
        <w:tc>
          <w:tcPr>
            <w:tcW w:type="dxa" w:w="772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</w:p>
        </w:tc>
        <w:tc>
          <w:tcPr>
            <w:tcW w:type="dxa" w:w="1158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Gap (%)</w:t>
            </w:r>
          </w:p>
        </w:tc>
        <w:tc>
          <w:tcPr>
            <w:tcW w:type="dxa" w:w="772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</w:p>
        </w:tc>
        <w:tc>
          <w:tcPr>
            <w:tcW w:type="dxa" w:w="1351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Gap (%)</w:t>
            </w:r>
          </w:p>
        </w:tc>
      </w:tr>
      <w:tr>
        <w:tc>
          <w:tcPr>
            <w:tcW w:type="dxa" w:w="2123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0.10</m:t>
              </m:r>
            </m:oMath>
          </w:p>
        </w:tc>
        <w:tc>
          <w:tcPr>
            <w:tcW w:type="dxa" w:w="1737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0.0832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 </w:t>
            </w:r>
            <w:r>
              <w:rPr>
                <w:rFonts w:ascii="Arial" w:hAnsi="Arial"/>
                <w:b w:val="0"/>
                <w:sz w:val="22"/>
              </w:rPr>
              <w:t xml:space="preserve">(0.0019)</w:t>
            </w:r>
          </w:p>
        </w:tc>
        <w:tc>
          <w:tcPr>
            <w:tcW w:type="dxa" w:w="1158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8.0</m:t>
              </m:r>
              <m:r>
                <m:rPr>
                  <m:sty m:val="p"/>
                </m:rPr>
                <m:t>%</m:t>
              </m:r>
            </m:oMath>
          </w:p>
        </w:tc>
        <w:tc>
          <w:tcPr>
            <w:tcW w:type="dxa" w:w="772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0.0608</m:t>
              </m:r>
            </m:oMath>
          </w:p>
        </w:tc>
        <w:tc>
          <w:tcPr>
            <w:tcW w:type="dxa" w:w="1158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5.9</m:t>
              </m:r>
              <m:r>
                <m:rPr>
                  <m:sty m:val="p"/>
                </m:rPr>
                <m:t>%</m:t>
              </m:r>
            </m:oMath>
          </w:p>
        </w:tc>
        <w:tc>
          <w:tcPr>
            <w:tcW w:type="dxa" w:w="772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0.1160</m:t>
              </m:r>
            </m:oMath>
          </w:p>
        </w:tc>
        <w:tc>
          <w:tcPr>
            <w:tcW w:type="dxa" w:w="1351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11.0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>
            <w:tcW w:type="dxa" w:w="2123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</w:p>
        </w:tc>
        <w:tc>
          <w:tcPr>
            <w:tcW w:type="dxa" w:w="1737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0.0734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 </w:t>
            </w:r>
            <w:r>
              <w:rPr>
                <w:rFonts w:ascii="Arial" w:hAnsi="Arial"/>
                <w:b w:val="0"/>
                <w:sz w:val="22"/>
              </w:rPr>
              <w:t xml:space="preserve">(0.0013)</w:t>
            </w:r>
          </w:p>
        </w:tc>
        <w:tc>
          <w:tcPr>
            <w:tcW w:type="dxa" w:w="1158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7.1</m:t>
              </m:r>
              <m:r>
                <m:rPr>
                  <m:sty m:val="p"/>
                </m:rPr>
                <m:t>%</m:t>
              </m:r>
            </m:oMath>
          </w:p>
        </w:tc>
        <w:tc>
          <w:tcPr>
            <w:tcW w:type="dxa" w:w="772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0.0605</m:t>
              </m:r>
            </m:oMath>
          </w:p>
        </w:tc>
        <w:tc>
          <w:tcPr>
            <w:tcW w:type="dxa" w:w="1158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5.9</m:t>
              </m:r>
              <m:r>
                <m:rPr>
                  <m:sty m:val="p"/>
                </m:rPr>
                <m:t>%</m:t>
              </m:r>
            </m:oMath>
          </w:p>
        </w:tc>
        <w:tc>
          <w:tcPr>
            <w:tcW w:type="dxa" w:w="772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0.0915</m:t>
              </m:r>
            </m:oMath>
          </w:p>
        </w:tc>
        <w:tc>
          <w:tcPr>
            <w:tcW w:type="dxa" w:w="1351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8.7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>
            <w:tcW w:type="dxa" w:w="2123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0.50</m:t>
              </m:r>
            </m:oMath>
          </w:p>
        </w:tc>
        <w:tc>
          <w:tcPr>
            <w:tcW w:type="dxa" w:w="1737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0.0813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 </w:t>
            </w:r>
            <w:r>
              <w:rPr>
                <w:rFonts w:ascii="Arial" w:hAnsi="Arial"/>
                <w:b w:val="0"/>
                <w:sz w:val="22"/>
              </w:rPr>
              <w:t xml:space="preserve">(0.0012)</w:t>
            </w:r>
          </w:p>
        </w:tc>
        <w:tc>
          <w:tcPr>
            <w:tcW w:type="dxa" w:w="1158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7.8</m:t>
              </m:r>
              <m:r>
                <m:rPr>
                  <m:sty m:val="p"/>
                </m:rPr>
                <m:t>%</m:t>
              </m:r>
            </m:oMath>
          </w:p>
        </w:tc>
        <w:tc>
          <w:tcPr>
            <w:tcW w:type="dxa" w:w="772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0.0739</m:t>
              </m:r>
            </m:oMath>
          </w:p>
        </w:tc>
        <w:tc>
          <w:tcPr>
            <w:tcW w:type="dxa" w:w="1158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7.1</m:t>
              </m:r>
              <m:r>
                <m:rPr>
                  <m:sty m:val="p"/>
                </m:rPr>
                <m:t>%</m:t>
              </m:r>
            </m:oMath>
          </w:p>
        </w:tc>
        <w:tc>
          <w:tcPr>
            <w:tcW w:type="dxa" w:w="772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0.0899</m:t>
              </m:r>
            </m:oMath>
          </w:p>
        </w:tc>
        <w:tc>
          <w:tcPr>
            <w:tcW w:type="dxa" w:w="1351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8.6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>
            <w:tcW w:type="dxa" w:w="2123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</w:p>
        </w:tc>
        <w:tc>
          <w:tcPr>
            <w:tcW w:type="dxa" w:w="1737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0.1039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 </w:t>
            </w:r>
            <w:r>
              <w:rPr>
                <w:rFonts w:ascii="Arial" w:hAnsi="Arial"/>
                <w:b w:val="0"/>
                <w:sz w:val="22"/>
              </w:rPr>
              <w:t xml:space="preserve">(0.0013)</w:t>
            </w:r>
          </w:p>
        </w:tc>
        <w:tc>
          <w:tcPr>
            <w:tcW w:type="dxa" w:w="1158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9.9</m:t>
              </m:r>
              <m:r>
                <m:rPr>
                  <m:sty m:val="p"/>
                </m:rPr>
                <m:t>%</m:t>
              </m:r>
            </m:oMath>
          </w:p>
        </w:tc>
        <w:tc>
          <w:tcPr>
            <w:tcW w:type="dxa" w:w="772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0.1012</m:t>
              </m:r>
            </m:oMath>
          </w:p>
        </w:tc>
        <w:tc>
          <w:tcPr>
            <w:tcW w:type="dxa" w:w="1158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9.6</m:t>
              </m:r>
              <m:r>
                <m:rPr>
                  <m:sty m:val="p"/>
                </m:rPr>
                <m:t>%</m:t>
              </m:r>
            </m:oMath>
          </w:p>
        </w:tc>
        <w:tc>
          <w:tcPr>
            <w:tcW w:type="dxa" w:w="772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0.1049</m:t>
              </m:r>
            </m:oMath>
          </w:p>
        </w:tc>
        <w:tc>
          <w:tcPr>
            <w:tcW w:type="dxa" w:w="1351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10.0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>
            <w:tcW w:type="dxa" w:w="2123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0.90</m:t>
              </m:r>
            </m:oMath>
          </w:p>
        </w:tc>
        <w:tc>
          <w:tcPr>
            <w:tcW w:type="dxa" w:w="1737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0.1235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 </w:t>
            </w:r>
            <w:r>
              <w:rPr>
                <w:rFonts w:ascii="Arial" w:hAnsi="Arial"/>
                <w:b w:val="0"/>
                <w:sz w:val="22"/>
              </w:rPr>
              <w:t xml:space="preserve">(0.0019)</w:t>
            </w:r>
          </w:p>
        </w:tc>
        <w:tc>
          <w:tcPr>
            <w:tcW w:type="dxa" w:w="1158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11.6</m:t>
              </m:r>
              <m:r>
                <m:rPr>
                  <m:sty m:val="p"/>
                </m:rPr>
                <m:t>%</m:t>
              </m:r>
            </m:oMath>
          </w:p>
        </w:tc>
        <w:tc>
          <w:tcPr>
            <w:tcW w:type="dxa" w:w="772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0.1244</m:t>
              </m:r>
            </m:oMath>
          </w:p>
        </w:tc>
        <w:tc>
          <w:tcPr>
            <w:tcW w:type="dxa" w:w="1158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11.7</m:t>
              </m:r>
              <m:r>
                <m:rPr>
                  <m:sty m:val="p"/>
                </m:rPr>
                <m:t>%</m:t>
              </m:r>
            </m:oMath>
          </w:p>
        </w:tc>
        <w:tc>
          <w:tcPr>
            <w:tcW w:type="dxa" w:w="772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0.1155</m:t>
              </m:r>
            </m:oMath>
          </w:p>
        </w:tc>
        <w:tc>
          <w:tcPr>
            <w:tcW w:type="dxa" w:w="1351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10.9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>
            <w:tcW w:type="dxa" w:w="2123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</w:p>
        </w:tc>
        <w:tc>
          <w:tcPr>
            <w:tcW w:type="dxa" w:w="1737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0.1317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 </w:t>
            </w:r>
            <w:r>
              <w:rPr>
                <w:rFonts w:ascii="Arial" w:hAnsi="Arial"/>
                <w:b w:val="0"/>
                <w:sz w:val="22"/>
              </w:rPr>
              <w:t xml:space="preserve">(0.0024)</w:t>
            </w:r>
          </w:p>
        </w:tc>
        <w:tc>
          <w:tcPr>
            <w:tcW w:type="dxa" w:w="1158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12.3</m:t>
              </m:r>
              <m:r>
                <m:rPr>
                  <m:sty m:val="p"/>
                </m:rPr>
                <m:t>%</m:t>
              </m:r>
            </m:oMath>
          </w:p>
        </w:tc>
        <w:tc>
          <w:tcPr>
            <w:tcW w:type="dxa" w:w="772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0.1327</m:t>
              </m:r>
            </m:oMath>
          </w:p>
        </w:tc>
        <w:tc>
          <w:tcPr>
            <w:tcW w:type="dxa" w:w="1158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12.4</m:t>
              </m:r>
              <m:r>
                <m:rPr>
                  <m:sty m:val="p"/>
                </m:rPr>
                <m:t>%</m:t>
              </m:r>
            </m:oMath>
          </w:p>
        </w:tc>
        <w:tc>
          <w:tcPr>
            <w:tcW w:type="dxa" w:w="772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0.1244</m:t>
              </m:r>
            </m:oMath>
          </w:p>
        </w:tc>
        <w:tc>
          <w:tcPr>
            <w:tcW w:type="dxa" w:w="1351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11.7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>
            <w:tcW w:type="dxa" w:w="2123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bCs/>
                <w:sz w:val="22"/>
              </w:rPr>
              <w:t xml:space="preserve">Δ (q90−q10)</w:t>
            </w:r>
          </w:p>
        </w:tc>
        <w:tc>
          <w:tcPr>
            <w:tcW w:type="dxa" w:w="1737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b"/>
                </m:rPr>
                <m:t>−</m:t>
              </m:r>
              <m:r>
                <m:rPr>
                  <m:sty m:val="b"/>
                </m:rPr>
                <m:t>4.03</m:t>
              </m:r>
              <m:r>
                <m:rPr>
                  <m:nor/>
                  <m:sty m:val="p"/>
                </m:rPr>
                <m:t>pp</m:t>
              </m:r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*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 </w:t>
            </w:r>
            <w:r>
              <w:rPr>
                <w:rFonts w:ascii="Arial" w:hAnsi="Arial"/>
                <w:b w:val="0"/>
                <w:sz w:val="22"/>
              </w:rPr>
              <w:t xml:space="preserve">(0.0024)</w:t>
            </w:r>
          </w:p>
        </w:tc>
        <w:tc>
          <w:tcPr>
            <w:tcW w:type="dxa" w:w="772"/>
            <w:gridSpan w:val="2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16.95</m:t>
              </m:r>
            </m:oMath>
          </w:p>
        </w:tc>
        <w:tc>
          <w:tcPr>
            <w:tcW w:type="dxa" w:w="772"/>
            <w:gridSpan w:val="2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1.84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64</m:t>
              </m:r>
            </m:oMath>
          </w:p>
        </w:tc>
        <w:tc>
          <w:tcPr>
            <w:tcW w:type="dxa" w:w="1351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both"/>
            </w:pPr>
          </w:p>
        </w:tc>
      </w:tr>
    </w:tbl>
    <w:bookmarkEnd w:id="65"/>
    <w:p>
      <w:pPr>
        <w:pStyle w:val="BodyText"/>
        <w:spacing w:line="240" w:lineRule="auto" w:before="40" w:after="240"/>
        <w:ind w:firstLine="0"/>
        <w:jc w:val="both"/>
      </w:pPr>
      <w:r>
        <w:rPr>
          <w:rFonts w:ascii="Arial" w:hAnsi="Arial"/>
          <w:sz w:val="22"/>
        </w:rPr>
        <w:t xml:space="preserve">Fonte: Resultados originais da pesquisa.</w:t>
      </w:r>
    </w:p>
    <w:bookmarkStart w:id="66" w:name="tab:rif_ob"/>
    <w:p>
      <w:pPr>
        <w:pStyle w:val="TableCaption"/>
        <w:spacing w:line="240" w:lineRule="auto" w:before="240" w:after="40"/>
        <w:ind w:firstLine="0"/>
        <w:jc w:val="both"/>
      </w:pPr>
      <w:r>
        <w:rPr>
          <w:rFonts w:ascii="Arial" w:hAnsi="Arial"/>
          <w:sz w:val="22"/>
        </w:rPr>
        <w:t xml:space="preserve">Tabela 9. Decomposição RIF-OB (Firpo, Fortin &amp; Lemieux, 2018) do gap salarial racial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por quantil incondicional, em formato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i/>
          <w:iCs/>
          <w:sz w:val="22"/>
        </w:rPr>
        <w:t xml:space="preserve">two-fold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(referência: estrutura de preços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dos brancos). Dotações: diferença de características observáveis (capital humano, ocupação,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contexto). Retornos: parcela não explicada (componente discriminatório). Dotações + Retornos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=</m:t>
        </m:r>
        <m:r>
          <m:t>100</m:t>
        </m:r>
        <m:r>
          <m:rPr>
            <m:sty m:val="p"/>
          </m:rPr>
          <m:t>%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do gap em cada quantil. Padrão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i/>
          <w:iCs/>
          <w:sz w:val="22"/>
        </w:rPr>
        <w:t xml:space="preserve">sticky floor</w:t>
      </w:r>
      <w:r>
        <w:rPr>
          <w:rFonts w:ascii="Arial" w:hAnsi="Arial"/>
          <w:sz w:val="22"/>
        </w:rPr>
        <w:t xml:space="preserve">: o componente de retornos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(discriminação de mercado) é maior na base e decresce rumo ao topo. PNAD Contínua 2016–2025,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população completa. Entre parênteses: erro-padrão por bootstrap em blocos por UPA.</w:t>
      </w:r>
    </w:p>
    <w:tbl>
      <w:tblPr>
        <w:tblStyle w:val="Table"/>
        <w:tblW w:type="auto" w:w="0"/>
        <w:tblLayout w:type="fixed"/>
        <w:tblLook w:firstRow="1" w:lastRow="0" w:firstColumn="0" w:lastColumn="0" w:noHBand="0" w:noVBand="0" w:val="0020"/>
        <w:tblCaption w:val="Tabela 9. Decomposição RIF-OB (Firpo, Fortin &amp; Lemieux, 2018) do gap salarial racial por quantil incondicional, em formato two-fold (referência: estrutura de preços dos brancos). Dotações: diferença de características observáveis (capital humano, ocupação, contexto). Retornos: parcela não explicada (componente discriminatório). Dotações + Retornos =100\% do gap em cada quantil. Padrão sticky floor: o componente de retornos (discriminação de mercado) é maior na base e decresce rumo ao topo. PNAD Contínua 2016–2025, população completa. Entre parênteses: erro-padrão por bootstrap em blocos por UPA.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789"/>
        <w:gridCol w:w="2564"/>
        <w:gridCol w:w="1972"/>
        <w:gridCol w:w="1972"/>
        <w:gridCol w:w="1775"/>
      </w:tblGrid>
      <w:tr>
        <w:trPr>
          <w:tblHeader w:val="on"/>
        </w:trPr>
        <w:tc>
          <w:tcPr>
            <w:tcW w:type="dxa" w:w="789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Quantil</w:t>
            </w:r>
          </w:p>
        </w:tc>
        <w:tc>
          <w:tcPr>
            <w:tcW w:type="dxa" w:w="2564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Gap obs. (SE)</w:t>
            </w:r>
          </w:p>
        </w:tc>
        <w:tc>
          <w:tcPr>
            <w:tcW w:type="dxa" w:w="1972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Dotações (%)</w:t>
            </w:r>
          </w:p>
        </w:tc>
        <w:tc>
          <w:tcPr>
            <w:tcW w:type="dxa" w:w="1972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Retornos (%)</w:t>
            </w:r>
          </w:p>
        </w:tc>
        <w:tc>
          <w:tcPr>
            <w:tcW w:type="dxa" w:w="1775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m:oMath>
              <m:r>
                <m:t>N</m:t>
              </m:r>
            </m:oMath>
          </w:p>
        </w:tc>
      </w:tr>
      <w:tr>
        <w:tc>
          <w:tcPr>
            <w:tcW w:type="dxa" w:w="7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q10</w:t>
            </w:r>
          </w:p>
        </w:tc>
        <w:tc>
          <w:tcPr>
            <w:tcW w:type="dxa" w:w="2564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0,559 (0,007)</w:t>
            </w:r>
          </w:p>
        </w:tc>
        <w:tc>
          <w:tcPr>
            <w:tcW w:type="dxa" w:w="197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64,9 (0,8)</w:t>
            </w:r>
          </w:p>
        </w:tc>
        <w:tc>
          <w:tcPr>
            <w:tcW w:type="dxa" w:w="197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35,1 (0,7)</w:t>
            </w:r>
          </w:p>
        </w:tc>
        <w:tc>
          <w:tcPr>
            <w:tcW w:type="dxa" w:w="177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7.694.198</w:t>
            </w:r>
          </w:p>
        </w:tc>
      </w:tr>
      <w:tr>
        <w:tc>
          <w:tcPr>
            <w:tcW w:type="dxa" w:w="7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q25</w:t>
            </w:r>
          </w:p>
        </w:tc>
        <w:tc>
          <w:tcPr>
            <w:tcW w:type="dxa" w:w="2564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0,310 (0,009)</w:t>
            </w:r>
          </w:p>
        </w:tc>
        <w:tc>
          <w:tcPr>
            <w:tcW w:type="dxa" w:w="197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68,8 (0,9)</w:t>
            </w:r>
          </w:p>
        </w:tc>
        <w:tc>
          <w:tcPr>
            <w:tcW w:type="dxa" w:w="197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31,2 (0,6)</w:t>
            </w:r>
          </w:p>
        </w:tc>
        <w:tc>
          <w:tcPr>
            <w:tcW w:type="dxa" w:w="177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7.694.198</w:t>
            </w:r>
          </w:p>
        </w:tc>
      </w:tr>
      <w:tr>
        <w:tc>
          <w:tcPr>
            <w:tcW w:type="dxa" w:w="7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q50</w:t>
            </w:r>
          </w:p>
        </w:tc>
        <w:tc>
          <w:tcPr>
            <w:tcW w:type="dxa" w:w="2564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0,378 (0,008)</w:t>
            </w:r>
          </w:p>
        </w:tc>
        <w:tc>
          <w:tcPr>
            <w:tcW w:type="dxa" w:w="197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72,7 (0,9)</w:t>
            </w:r>
          </w:p>
        </w:tc>
        <w:tc>
          <w:tcPr>
            <w:tcW w:type="dxa" w:w="197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27,3 (0,4)</w:t>
            </w:r>
          </w:p>
        </w:tc>
        <w:tc>
          <w:tcPr>
            <w:tcW w:type="dxa" w:w="177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7.694.198</w:t>
            </w:r>
          </w:p>
        </w:tc>
      </w:tr>
      <w:tr>
        <w:tc>
          <w:tcPr>
            <w:tcW w:type="dxa" w:w="7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q75</w:t>
            </w:r>
          </w:p>
        </w:tc>
        <w:tc>
          <w:tcPr>
            <w:tcW w:type="dxa" w:w="2564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0,470 (0,010)</w:t>
            </w:r>
          </w:p>
        </w:tc>
        <w:tc>
          <w:tcPr>
            <w:tcW w:type="dxa" w:w="197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75,5 (1,1)</w:t>
            </w:r>
          </w:p>
        </w:tc>
        <w:tc>
          <w:tcPr>
            <w:tcW w:type="dxa" w:w="197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24,5 (0,4)</w:t>
            </w:r>
          </w:p>
        </w:tc>
        <w:tc>
          <w:tcPr>
            <w:tcW w:type="dxa" w:w="177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7.694.198</w:t>
            </w:r>
          </w:p>
        </w:tc>
      </w:tr>
      <w:tr>
        <w:tc>
          <w:tcPr>
            <w:tcW w:type="dxa" w:w="789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q90</w:t>
            </w:r>
          </w:p>
        </w:tc>
        <w:tc>
          <w:tcPr>
            <w:tcW w:type="dxa" w:w="2564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0,483 (0,011)</w:t>
            </w:r>
          </w:p>
        </w:tc>
        <w:tc>
          <w:tcPr>
            <w:tcW w:type="dxa" w:w="1972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87,1 (1,9)</w:t>
            </w:r>
          </w:p>
        </w:tc>
        <w:tc>
          <w:tcPr>
            <w:tcW w:type="dxa" w:w="1972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12,9 (0,9)</w:t>
            </w:r>
          </w:p>
        </w:tc>
        <w:tc>
          <w:tcPr>
            <w:tcW w:type="dxa" w:w="1775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7.694.198</w:t>
            </w:r>
          </w:p>
        </w:tc>
      </w:tr>
    </w:tbl>
    <w:bookmarkEnd w:id="66"/>
    <w:p>
      <w:pPr>
        <w:pStyle w:val="BodyText"/>
        <w:spacing w:line="240" w:lineRule="auto" w:before="40" w:after="240"/>
        <w:ind w:firstLine="0"/>
        <w:jc w:val="both"/>
      </w:pPr>
      <w:r>
        <w:rPr>
          <w:rFonts w:ascii="Arial" w:hAnsi="Arial"/>
          <w:sz w:val="22"/>
        </w:rPr>
        <w:t xml:space="preserve">Fonte: Resultados originais da pesquisa.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A Figura 6 põe os dois ângulos lado a lado.</w:t>
      </w:r>
    </w:p>
    <w:bookmarkStart w:id="70" w:name="fig:qr_rif"/>
    <w:p>
      <w:pPr>
        <w:pStyle w:val="CaptionedFigure"/>
      </w:pPr>
      <w:r>
        <w:rPr>
          <w:rFonts w:ascii="Arial" w:hAnsi="Arial"/>
          <w:sz w:val="22"/>
        </w:rPr>
        <w:drawing>
          <wp:inline>
            <wp:extent cx="5638038" cy="2163165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outputs/figures/fig_qr_rif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8038" cy="21631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line="240" w:lineRule="auto" w:before="240" w:after="40"/>
        <w:ind w:firstLine="0"/>
        <w:jc w:val="both"/>
      </w:pPr>
      <w:r>
        <w:rPr>
          <w:rFonts w:ascii="Arial" w:hAnsi="Arial"/>
          <w:sz w:val="22"/>
        </w:rPr>
        <w:t xml:space="preserve">Figura 6. Teto de vidro e piso pegajoso são o mesmo fenômeno visto de dois ângulos. À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esquerda, a penalidade em quantis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condicionais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cresce rumo ao topo (faixa: IC 95%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por bootstrap em blocos de UPA); à direita, a parcela não explicada dos quantis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incondicionais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da renda é maior na base.</w:t>
      </w:r>
    </w:p>
    <w:bookmarkEnd w:id="70"/>
    <w:p>
      <w:pPr>
        <w:pStyle w:val="BodyText"/>
        <w:spacing w:line="240" w:lineRule="auto" w:before="40" w:after="240"/>
        <w:ind w:firstLine="0"/>
        <w:jc w:val="both"/>
      </w:pPr>
      <w:r>
        <w:rPr>
          <w:rFonts w:ascii="Arial" w:hAnsi="Arial"/>
          <w:sz w:val="22"/>
        </w:rPr>
        <w:t xml:space="preserve">Fonte: Resultados originais da pesquisa</w:t>
      </w:r>
    </w:p>
    <w:p>
      <w:pPr>
        <w:pStyle w:val="BodyText"/>
        <w:spacing w:line="240" w:lineRule="auto" w:before="40" w:after="240"/>
        <w:ind w:firstLine="0"/>
        <w:jc w:val="both"/>
      </w:pPr>
      <w:r>
        <w:rPr>
          <w:rFonts w:ascii="Arial" w:hAnsi="Arial"/>
          <w:sz w:val="22"/>
        </w:rPr>
        <w:t xml:space="preserve">Nota: como ler a Figura 6: à esquerda, cada ponto é a penalidade racial estimada num quantil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condicional</w:t>
      </w:r>
      <w:r>
        <w:rPr>
          <w:rFonts w:ascii="Arial" w:hAnsi="Arial"/>
          <w:sz w:val="22"/>
        </w:rPr>
        <w:t xml:space="preserve"> </w:t>
      </w:r>
      <m:oMath>
        <m:r>
          <m:t>τ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(eixo vertical em log-pontos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×</m:t>
        </m:r>
        <m:r>
          <m:t>100</m:t>
        </m:r>
      </m:oMath>
      <w:r>
        <w:rPr>
          <w:rFonts w:ascii="Arial" w:hAnsi="Arial"/>
          <w:sz w:val="22"/>
        </w:rPr>
        <w:t xml:space="preserve">), e a faixa é o intervalo de 95% por bootstrap em blocos de UPA. À direita, cada barra é um quantil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incondicional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da renda e soma 100%: a parte azul é a parcela não explicada, com o valor escrito dentro.</w:t>
      </w:r>
    </w:p>
    <w:bookmarkEnd w:id="71"/>
    <w:bookmarkStart w:id="78" w:name="subsec:glmm_resultados"/>
    <w:p>
      <w:pPr>
        <w:pStyle w:val="Ttulo2"/>
        <w:spacing w:line="240" w:lineRule="auto" w:before="240" w:after="120"/>
        <w:ind w:firstLine="0"/>
        <w:jc w:val="left"/>
      </w:pPr>
      <w:r>
        <w:rPr>
          <w:rFonts w:ascii="Arial" w:hAnsi="Arial"/>
          <w:sz w:val="22"/>
        </w:rPr>
        <w:t xml:space="preserve">GLMM logístico: o teto de vidro no acesso</w:t>
      </w:r>
    </w:p>
    <w:p>
      <w:pPr>
        <w:pStyle w:val="FirstParagraph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O modelo logístico multinível (</w:t>
      </w:r>
      <w:r>
        <w:rPr>
          <w:rStyle w:val="VerbatimChar"/>
          <w:rFonts w:ascii="Arial" w:hAnsi="Arial"/>
          <w:sz w:val="22"/>
        </w:rPr>
        <w:t xml:space="preserve">lme4::glmer</w:t>
      </w:r>
      <w:r>
        <w:rPr>
          <w:rFonts w:ascii="Arial" w:hAnsi="Arial"/>
          <w:sz w:val="22"/>
        </w:rPr>
        <w:t xml:space="preserve">, intercepto aleatório de UPA 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efeitos fixos de UF, estimado por Laplace na população completa) modela a probabilidade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 três desfechos — cargo qualificado (CBO 1–4), renda no top 20% e no top 10% —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em quatro degraus paralelos aos do HLM: M1 individual, M2 + contexto do bairro, M3 +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vínculo (formalidade, setor público, conta própria, doméstico —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bad controls</w:t>
      </w:r>
      <w:r>
        <w:rPr>
          <w:rFonts w:ascii="Arial" w:hAnsi="Arial"/>
          <w:sz w:val="22"/>
        </w:rPr>
        <w:t xml:space="preserve">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logo limite inferior) e M4 + interação</w:t>
      </w:r>
      <w:r>
        <w:rPr>
          <w:rFonts w:ascii="Arial" w:hAnsi="Arial"/>
          <w:sz w:val="22"/>
        </w:rPr>
        <w:t xml:space="preserve"> </w:t>
      </w:r>
      <w:r>
        <w:rPr>
          <w:rStyle w:val="VerbatimChar"/>
          <w:rFonts w:ascii="Arial" w:hAnsi="Arial"/>
          <w:sz w:val="22"/>
        </w:rPr>
        <w:t xml:space="preserve">negro</w:t>
      </w:r>
      <m:oMath>
        <m:r>
          <m:rPr>
            <m:sty m:val="p"/>
          </m:rPr>
          <m:t>×</m:t>
        </m:r>
      </m:oMath>
      <w:r>
        <w:rPr>
          <w:rFonts w:ascii="Arial" w:hAnsi="Arial"/>
          <w:sz w:val="22"/>
        </w:rPr>
        <w:t xml:space="preserve">credencial.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Tabela 10 traz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odds ratios</w:t>
      </w:r>
      <w:r>
        <w:rPr>
          <w:rFonts w:ascii="Arial" w:hAnsi="Arial"/>
          <w:sz w:val="22"/>
        </w:rPr>
        <w:t xml:space="preserve">, efeitos marginais, ICC 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E-values; a Tabela 11, o ajuste e o desempenho de classificação.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O acesso também é</w:t>
      </w:r>
      <w:r>
        <w:rPr>
          <w:rFonts w:ascii="Arial" w:hAnsi="Arial"/>
          <w:b/>
          <w:bCs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“bairro”</w:t>
      </w:r>
      <w:r>
        <w:rPr>
          <w:rFonts w:ascii="Arial" w:hAnsi="Arial"/>
          <w:b/>
          <w:bCs/>
          <w:sz w:val="22"/>
        </w:rPr>
        <w:t xml:space="preserve">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No M1, a correlação intraclasse latente é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0,198 para o cargo qualificado e 0,350 para o top 10%: entre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20% e 35% da variância latente do acesso está entre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bairros. O teste de razão de verossimilhança do M2 contra o logit sem efeito aleatório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(LR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=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411.007 para o cargo; 337.418 para o top 10%, 1 g.l.,</w:t>
      </w:r>
      <w:r>
        <w:rPr>
          <w:rFonts w:ascii="Arial" w:hAnsi="Arial"/>
          <w:sz w:val="22"/>
        </w:rPr>
        <w:t xml:space="preserve"> </w:t>
      </w:r>
      <m:oMath>
        <m:r>
          <m:t>p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001</m:t>
        </m:r>
      </m:oMath>
      <w:r>
        <w:rPr>
          <w:rFonts w:ascii="Arial" w:hAnsi="Arial"/>
          <w:sz w:val="22"/>
        </w:rPr>
        <w:t xml:space="preserve">)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mostra que o efeito aleatório de UPA é indispensável — o logit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pooled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trataria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como independentes pessoas do mesmo mercado local.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A porta é mais estreita para negros — e mais ainda no topo.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No M2,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controlados escolaridade, sexo, idade, horas, estado e contexto do bairro, a chance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um trabalhador negro ocupar cargo qualificado é OR </w:t>
      </w:r>
      <m:oMath>
        <m:r>
          <m:rPr>
            <m:sty m:val="p"/>
          </m:rPr>
          <m:t>=</m:t>
        </m:r>
      </m:oMath>
      <w:r>
        <w:rPr>
          <w:rFonts w:ascii="Arial" w:hAnsi="Arial"/>
          <w:sz w:val="22"/>
        </w:rPr>
        <w:t xml:space="preserve"> 0,699 (IC 95%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0,696–0,702) da de um branco do mesmo bairro —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30% menos</w:t>
      </w:r>
      <w:r>
        <w:rPr>
          <w:rFonts w:ascii="Arial" w:hAnsi="Arial"/>
          <w:b/>
          <w:bCs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chance</w:t>
      </w:r>
      <w:r>
        <w:rPr>
          <w:rFonts w:ascii="Arial" w:hAnsi="Arial"/>
          <w:sz w:val="22"/>
        </w:rPr>
        <w:t xml:space="preserve">, ou 5,5 pontos percentuais de probabilidade. No top 20% da renda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OR é 0,688 e no top 10%, 0,654 (35% menos chance):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teto se aperta à medida que se sobe. Nota: OR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&lt;</m:t>
        </m:r>
        <m:r>
          <m:t>1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é desvantagem; o AME traduz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 OR em probabilidade e é a medida a reter (MHE, cap. 3).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Vínculo e credencial não desfazem a barreira.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Descontar o vínculo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empregatício (M3) muda pouco o OR do cargo qualificado (0,691) e do top 10%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(0,656): a barreira não é um artefato da informalidade. No M4, a interação com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 credencial é OR </w:t>
      </w:r>
      <m:oMath>
        <m:r>
          <m:rPr>
            <m:sty m:val="p"/>
          </m:rPr>
          <m:t>=</m:t>
        </m:r>
      </m:oMath>
      <w:r>
        <w:rPr>
          <w:rFonts w:ascii="Arial" w:hAnsi="Arial"/>
          <w:sz w:val="22"/>
        </w:rPr>
        <w:t xml:space="preserve"> 1,069 para o superior completo e 1,060 para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 pós-graduação: o diploma atenua a penalidade sem eliminá-la, e o OR combinado do negro com superior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completo é 0,735 — a credencial não neutraliza a barreira de acesso. A Figura 7 reúne as razões de chance dos três desfechos e dos modelos de cada um.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Ajuste e classificação.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 M2 discrimina bem os desfechos: AUC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0,831 (com efeitos aleatórios) e 0,790 (só efeitos fixos) para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cargo qualificado; no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cutoff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 Youden (0,30) a sensibilidade é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0,82 e a especificidade 0,68. O teste de Hosmer–Lemeshow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rejeita a calibração perfeita em todos os degraus — inevitável com</w:t>
      </w:r>
      <w:r>
        <w:rPr>
          <w:rFonts w:ascii="Arial" w:hAnsi="Arial"/>
          <w:sz w:val="22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,</m:t>
        </m:r>
        <m:r>
          <m:t>7</m:t>
        </m:r>
      </m:oMath>
      <w:r>
        <w:rPr>
          <w:rFonts w:ascii="Arial" w:hAnsi="Arial"/>
          <w:sz w:val="22"/>
        </w:rPr>
        <w:t xml:space="preserve"> milhões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(MHE, cap. 8) —, mas a estatística cai a cerca de metade quando se acrescenta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vínculo (M3), sinal de calibração melhor; entre M1 e M2 ela praticamente não muda. O logit com efeitos fixos de UF e erro-padrão agrupado por UPA (última coluna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da Tabela 10) reproduz os OR do GLMM: a conclusão não depende 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hipótese de efeitos aleatórios.</w:t>
      </w:r>
    </w:p>
    <w:bookmarkStart w:id="75" w:name="fig:glmm_or"/>
    <w:p>
      <w:pPr>
        <w:pStyle w:val="CaptionedFigure"/>
      </w:pPr>
      <w:r>
        <w:rPr>
          <w:rFonts w:ascii="Arial" w:hAnsi="Arial"/>
          <w:sz w:val="22"/>
        </w:rPr>
        <w:drawing>
          <wp:inline>
            <wp:extent cx="5465445" cy="2536151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outputs/figures/fig_glmm_or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5445" cy="25361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line="240" w:lineRule="auto" w:before="240" w:after="40"/>
        <w:ind w:firstLine="0"/>
        <w:jc w:val="both"/>
      </w:pPr>
      <w:r>
        <w:rPr>
          <w:rFonts w:ascii="Arial" w:hAnsi="Arial"/>
          <w:sz w:val="22"/>
        </w:rPr>
        <w:t xml:space="preserve">Figura 7. A porta é mais estreita para trabalhadores negros — e estreita ainda mais no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topo da renda. Razão de chances de acesso (negro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vs.</w:t>
      </w:r>
      <w:r>
        <w:rPr>
          <w:rFonts w:ascii="Arial" w:hAnsi="Arial"/>
          <w:sz w:val="22"/>
        </w:rPr>
        <w:t xml:space="preserve"> branco do mesmo bairro) com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IC 95%, por desfecho e degrau; em azul, o modelo com contexto de bairro (M2).</w:t>
      </w:r>
    </w:p>
    <w:bookmarkEnd w:id="75"/>
    <w:p>
      <w:pPr>
        <w:pStyle w:val="BodyText"/>
        <w:spacing w:line="240" w:lineRule="auto" w:before="40" w:after="240"/>
        <w:ind w:firstLine="0"/>
        <w:jc w:val="both"/>
      </w:pPr>
      <w:r>
        <w:rPr>
          <w:rFonts w:ascii="Arial" w:hAnsi="Arial"/>
          <w:sz w:val="22"/>
        </w:rPr>
        <w:t xml:space="preserve">Fonte: Resultados originais da pesquisa</w:t>
      </w:r>
    </w:p>
    <w:p>
      <w:pPr>
        <w:pStyle w:val="BodyText"/>
        <w:spacing w:line="240" w:lineRule="auto" w:before="40" w:after="240"/>
        <w:ind w:firstLine="0"/>
        <w:jc w:val="both"/>
      </w:pPr>
      <w:r>
        <w:rPr>
          <w:rFonts w:ascii="Arial" w:hAnsi="Arial"/>
          <w:sz w:val="22"/>
        </w:rPr>
        <w:t xml:space="preserve">Nota: como ler a Figura 7: cada ponto é uma razão de chances e a linha horizontal, seu intervalo de confiança de 95%; a linha tracejada em 1 marca a paridade, de modo que quanto mais à esquerda, maior a desvantagem. Os blocos são os três desfechos e, dentro de cada um, os modelos; em azul, o M2, que compara pessoas do mesmo bairro.</w:t>
      </w:r>
    </w:p>
    <w:bookmarkStart w:id="76" w:name="tab:glmm_glassceil"/>
    <w:p>
      <w:pPr>
        <w:pStyle w:val="TableCaption"/>
        <w:spacing w:line="240" w:lineRule="auto" w:before="240" w:after="40"/>
        <w:ind w:firstLine="0"/>
        <w:jc w:val="both"/>
      </w:pPr>
      <w:r>
        <w:rPr>
          <w:rFonts w:ascii="Arial" w:hAnsi="Arial"/>
          <w:sz w:val="22"/>
        </w:rPr>
        <w:t xml:space="preserve">Tabela 10. GLMM logístico (lme4::</w:t>
      </w:r>
      <w:r>
        <w:rPr>
          <w:rStyle w:val="VerbatimChar"/>
          <w:rFonts w:ascii="Arial" w:hAnsi="Arial"/>
          <w:sz w:val="22"/>
        </w:rPr>
        <w:t xml:space="preserve">glmer</w:t>
      </w:r>
      <w:r>
        <w:rPr>
          <w:rFonts w:ascii="Arial" w:hAnsi="Arial"/>
          <w:sz w:val="22"/>
        </w:rPr>
        <w:t xml:space="preserve">, intercepto aleatório de UPA e efeitos fixos de UF) — teto de vidro ocupacional e salarial.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i/>
          <w:iCs/>
          <w:sz w:val="22"/>
        </w:rPr>
        <w:t xml:space="preserve">Odds ratio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do coeficiente</w:t>
      </w:r>
      <w:r>
        <w:rPr>
          <w:rFonts w:ascii="Arial" w:hAnsi="Arial"/>
          <w:sz w:val="22"/>
        </w:rPr>
        <w:t xml:space="preserve"> </w:t>
      </w:r>
      <w:r>
        <w:rPr>
          <w:rStyle w:val="VerbatimChar"/>
          <w:rFonts w:ascii="Arial" w:hAnsi="Arial"/>
          <w:sz w:val="22"/>
        </w:rPr>
        <w:t xml:space="preserve">negro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com IC 95%, efeito marginal médio (AME: diferença média de probabilidade predita, em pontos percentuais), ICC da UPA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=</m:t>
        </m:r>
        <m:sSup>
          <m:e>
            <m:r>
              <m:t>τ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τ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π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 E-value (VanderWeele &amp; Ding, 2017). Coluna final: OR do logit com efeitos fixos de UF e erro-padrão agrupado por UPA (robustez). População completa da PEA com renda positiva (</w:t>
      </w:r>
      <m:oMath>
        <m:r>
          <m:t>N</m:t>
        </m:r>
        <m:r>
          <m:rPr>
            <m:sty m:val="p"/>
          </m:rPr>
          <m:t>=</m:t>
        </m:r>
        <m:r>
          <m:t>7.694</m:t>
        </m:r>
        <m:r>
          <m:t>.198</m:t>
        </m:r>
      </m:oMath>
      <w:r>
        <w:rPr>
          <w:rFonts w:ascii="Arial" w:hAnsi="Arial"/>
          <w:sz w:val="22"/>
        </w:rPr>
        <w:t xml:space="preserve">; 40.969 UPAs). M3 acrescenta o vínculo (formalidade, setor público, conta própria, doméstico), que é desfecho da própria discriminação: limite inferior. Todos os OR com</w:t>
      </w:r>
      <w:r>
        <w:rPr>
          <w:rFonts w:ascii="Arial" w:hAnsi="Arial"/>
          <w:sz w:val="22"/>
        </w:rPr>
        <w:t xml:space="preserve"> </w:t>
      </w:r>
      <m:oMath>
        <m:r>
          <m:t>p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001</m:t>
        </m:r>
      </m:oMath>
      <w:r>
        <w:rPr>
          <w:rFonts w:ascii="Arial" w:hAnsi="Arial"/>
          <w:sz w:val="22"/>
        </w:rPr>
        <w:t xml:space="preserve">; com</w:t>
      </w:r>
      <w:r>
        <w:rPr>
          <w:rFonts w:ascii="Arial" w:hAnsi="Arial"/>
          <w:sz w:val="22"/>
        </w:rPr>
        <w:t xml:space="preserve"> </w:t>
      </w:r>
      <m:oMath>
        <m:r>
          <m:t>N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desta ordem, a inferência relevante está nos IC e nos E-values.</w:t>
      </w:r>
    </w:p>
    <w:tbl>
      <w:tblPr>
        <w:tblStyle w:val="Table"/>
        <w:tblW w:type="auto" w:w="0"/>
        <w:tblLayout w:type="fixed"/>
        <w:tblLook w:firstRow="1" w:lastRow="0" w:firstColumn="0" w:lastColumn="0" w:noHBand="0" w:noVBand="0" w:val="0020"/>
        <w:tblCaption w:val="Tabela 10. GLMM logístico (lme4::glmer, intercepto aleatório de UPA e efeitos fixos de UF) — teto de vidro ocupacional e salarial. Odds ratio do coeficiente negro com IC 95%, efeito marginal médio (AME: diferença média de probabilidade predita, em pontos percentuais), ICC da UPA =\tau^2/(\tau^2+\pi^2/3) e E-value (VanderWeele &amp; Ding, 2017). Coluna final: OR do logit com efeitos fixos de UF e erro-padrão agrupado por UPA (robustez). População completa da PEA com renda positiva (N = 7.694.198; 40.969 UPAs). M3 acrescenta o vínculo (formalidade, setor público, conta própria, doméstico), que é desfecho da própria discriminação: limite inferior. Todos os OR com p&lt;0{,}001; com N desta ordem, a inferência relevante está nos IC e nos E-values.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681"/>
        <w:gridCol w:w="2731"/>
        <w:gridCol w:w="2101"/>
        <w:gridCol w:w="525"/>
        <w:gridCol w:w="525"/>
        <w:gridCol w:w="491"/>
        <w:gridCol w:w="491"/>
        <w:gridCol w:w="525"/>
      </w:tblGrid>
      <w:tr>
        <w:trPr>
          <w:tblHeader w:val="on"/>
        </w:trPr>
        <w:tc>
          <w:tcPr>
            <w:tcW w:type="dxa" w:w="1681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Desfecho</w:t>
            </w:r>
          </w:p>
        </w:tc>
        <w:tc>
          <w:tcPr>
            <w:tcW w:type="dxa" w:w="2731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Modelo</w:t>
            </w:r>
          </w:p>
        </w:tc>
        <w:tc>
          <w:tcPr>
            <w:tcW w:type="dxa" w:w="2101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OR (IC 95%)</w:t>
            </w:r>
          </w:p>
        </w:tc>
        <w:tc>
          <w:tcPr>
            <w:tcW w:type="dxa" w:w="525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AME (p.p.)</w:t>
            </w:r>
          </w:p>
        </w:tc>
        <w:tc>
          <w:tcPr>
            <w:tcW w:type="dxa" w:w="525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ICC</w:t>
            </w:r>
            <m:oMath>
              <m:sSub>
                <m:e>
                  <m:r>
                    <m:t>​</m:t>
                  </m:r>
                </m:e>
                <m:sub>
                  <m:r>
                    <m:rPr>
                      <m:nor/>
                      <m:sty m:val="p"/>
                    </m:rPr>
                    <m:t>UPA</m:t>
                  </m:r>
                </m:sub>
              </m:sSub>
            </m:oMath>
          </w:p>
        </w:tc>
        <w:tc>
          <w:tcPr>
            <w:tcW w:type="dxa" w:w="491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E-value</w:t>
            </w:r>
          </w:p>
        </w:tc>
        <w:tc>
          <w:tcPr>
            <w:tcW w:type="dxa" w:w="491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E-value (IC)</w:t>
            </w:r>
          </w:p>
        </w:tc>
        <w:tc>
          <w:tcPr>
            <w:tcW w:type="dxa" w:w="525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OR logit-FE</w:t>
            </w:r>
          </w:p>
        </w:tc>
      </w:tr>
      <w:tr>
        <w:tc>
          <w:tcPr>
            <w:tcW w:type="dxa" w:w="1681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Cargo qualificado (CBO 1–4)</w:t>
            </w:r>
          </w:p>
        </w:tc>
        <w:tc>
          <w:tcPr>
            <w:tcW w:type="dxa" w:w="2731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M1 individual + UF</w:t>
            </w:r>
          </w:p>
        </w:tc>
        <w:tc>
          <w:tcPr>
            <w:tcW w:type="dxa" w:w="2101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0,691 [0,688; 0,694]</w:t>
            </w:r>
          </w:p>
        </w:tc>
        <w:tc>
          <w:tcPr>
            <w:tcW w:type="dxa" w:w="52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−5,68</w:t>
            </w:r>
          </w:p>
        </w:tc>
        <w:tc>
          <w:tcPr>
            <w:tcW w:type="dxa" w:w="52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0,198</w:t>
            </w:r>
          </w:p>
        </w:tc>
        <w:tc>
          <w:tcPr>
            <w:tcW w:type="dxa" w:w="491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2,25</w:t>
            </w:r>
          </w:p>
        </w:tc>
        <w:tc>
          <w:tcPr>
            <w:tcW w:type="dxa" w:w="491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2,24</w:t>
            </w:r>
          </w:p>
        </w:tc>
        <w:tc>
          <w:tcPr>
            <w:tcW w:type="dxa" w:w="52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0,555</w:t>
            </w:r>
          </w:p>
        </w:tc>
      </w:tr>
      <w:tr>
        <w:tc>
          <w:tcPr>
            <w:tcW w:type="dxa" w:w="1681"/>
          </w:tcPr>
          <w:p>
            <w:pPr>
              <w:pStyle w:val="Compact"/>
              <w:spacing w:line="240" w:lineRule="auto" w:after="0"/>
              <w:ind w:firstLine="0"/>
              <w:jc w:val="left"/>
            </w:pPr>
          </w:p>
        </w:tc>
        <w:tc>
          <w:tcPr>
            <w:tcW w:type="dxa" w:w="2731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M2 + contexto do bairro</w:t>
            </w:r>
          </w:p>
        </w:tc>
        <w:tc>
          <w:tcPr>
            <w:tcW w:type="dxa" w:w="2101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0,699 [0,696; 0,702]</w:t>
            </w:r>
          </w:p>
        </w:tc>
        <w:tc>
          <w:tcPr>
            <w:tcW w:type="dxa" w:w="52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−5,49</w:t>
            </w:r>
          </w:p>
        </w:tc>
        <w:tc>
          <w:tcPr>
            <w:tcW w:type="dxa" w:w="52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0,159</w:t>
            </w:r>
          </w:p>
        </w:tc>
        <w:tc>
          <w:tcPr>
            <w:tcW w:type="dxa" w:w="491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2,21</w:t>
            </w:r>
          </w:p>
        </w:tc>
        <w:tc>
          <w:tcPr>
            <w:tcW w:type="dxa" w:w="491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2,20</w:t>
            </w:r>
          </w:p>
        </w:tc>
        <w:tc>
          <w:tcPr>
            <w:tcW w:type="dxa" w:w="52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0,705</w:t>
            </w:r>
          </w:p>
        </w:tc>
      </w:tr>
      <w:tr>
        <w:tc>
          <w:tcPr>
            <w:tcW w:type="dxa" w:w="1681"/>
          </w:tcPr>
          <w:p>
            <w:pPr>
              <w:pStyle w:val="Compact"/>
              <w:spacing w:line="240" w:lineRule="auto" w:after="0"/>
              <w:ind w:firstLine="0"/>
              <w:jc w:val="left"/>
            </w:pPr>
          </w:p>
        </w:tc>
        <w:tc>
          <w:tcPr>
            <w:tcW w:type="dxa" w:w="2731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M3 + vínculo (limite inf.)</w:t>
            </w:r>
          </w:p>
        </w:tc>
        <w:tc>
          <w:tcPr>
            <w:tcW w:type="dxa" w:w="2101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0,691 [0,688; 0,694]</w:t>
            </w:r>
          </w:p>
        </w:tc>
        <w:tc>
          <w:tcPr>
            <w:tcW w:type="dxa" w:w="52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−4,79</w:t>
            </w:r>
          </w:p>
        </w:tc>
        <w:tc>
          <w:tcPr>
            <w:tcW w:type="dxa" w:w="52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0,162</w:t>
            </w:r>
          </w:p>
        </w:tc>
        <w:tc>
          <w:tcPr>
            <w:tcW w:type="dxa" w:w="491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2,25</w:t>
            </w:r>
          </w:p>
        </w:tc>
        <w:tc>
          <w:tcPr>
            <w:tcW w:type="dxa" w:w="491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2,24</w:t>
            </w:r>
          </w:p>
        </w:tc>
        <w:tc>
          <w:tcPr>
            <w:tcW w:type="dxa" w:w="52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0,705</w:t>
            </w:r>
          </w:p>
        </w:tc>
      </w:tr>
      <w:tr>
        <w:tc>
          <w:tcPr>
            <w:tcW w:type="dxa" w:w="1681"/>
          </w:tcPr>
          <w:p>
            <w:pPr>
              <w:pStyle w:val="Compact"/>
              <w:spacing w:line="240" w:lineRule="auto" w:after="0"/>
              <w:ind w:firstLine="0"/>
              <w:jc w:val="left"/>
            </w:pPr>
          </w:p>
        </w:tc>
        <w:tc>
          <w:tcPr>
            <w:tcW w:type="dxa" w:w="2731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M4 + negro</w:t>
            </w:r>
            <m:oMath>
              <m:r>
                <m:rPr>
                  <m:sty m:val="p"/>
                </m:rPr>
                <m:t>×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credencial</w:t>
            </w:r>
          </w:p>
        </w:tc>
        <w:tc>
          <w:tcPr>
            <w:tcW w:type="dxa" w:w="2101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0,688 [0,684; 0,691]</w:t>
            </w:r>
          </w:p>
        </w:tc>
        <w:tc>
          <w:tcPr>
            <w:tcW w:type="dxa" w:w="52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−4,79</w:t>
            </w:r>
          </w:p>
        </w:tc>
        <w:tc>
          <w:tcPr>
            <w:tcW w:type="dxa" w:w="52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0,162</w:t>
            </w:r>
          </w:p>
        </w:tc>
        <w:tc>
          <w:tcPr>
            <w:tcW w:type="dxa" w:w="491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2,27</w:t>
            </w:r>
          </w:p>
        </w:tc>
        <w:tc>
          <w:tcPr>
            <w:tcW w:type="dxa" w:w="491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2,25</w:t>
            </w:r>
          </w:p>
        </w:tc>
        <w:tc>
          <w:tcPr>
            <w:tcW w:type="dxa" w:w="52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0,699</w:t>
            </w:r>
          </w:p>
        </w:tc>
      </w:tr>
      <w:tr>
        <w:tc>
          <w:tcPr>
            <w:tcW w:type="dxa" w:w="1681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Top 20% de renda</w:t>
            </w:r>
          </w:p>
        </w:tc>
        <w:tc>
          <w:tcPr>
            <w:tcW w:type="dxa" w:w="2731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M1 individual + UF</w:t>
            </w:r>
          </w:p>
        </w:tc>
        <w:tc>
          <w:tcPr>
            <w:tcW w:type="dxa" w:w="2101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0,680 [0,677; 0,683]</w:t>
            </w:r>
          </w:p>
        </w:tc>
        <w:tc>
          <w:tcPr>
            <w:tcW w:type="dxa" w:w="52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−4,89</w:t>
            </w:r>
          </w:p>
        </w:tc>
        <w:tc>
          <w:tcPr>
            <w:tcW w:type="dxa" w:w="52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0,281</w:t>
            </w:r>
          </w:p>
        </w:tc>
        <w:tc>
          <w:tcPr>
            <w:tcW w:type="dxa" w:w="491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2,30</w:t>
            </w:r>
          </w:p>
        </w:tc>
        <w:tc>
          <w:tcPr>
            <w:tcW w:type="dxa" w:w="491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2,29</w:t>
            </w:r>
          </w:p>
        </w:tc>
        <w:tc>
          <w:tcPr>
            <w:tcW w:type="dxa" w:w="52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0,540</w:t>
            </w:r>
          </w:p>
        </w:tc>
      </w:tr>
      <w:tr>
        <w:tc>
          <w:tcPr>
            <w:tcW w:type="dxa" w:w="1681"/>
          </w:tcPr>
          <w:p>
            <w:pPr>
              <w:pStyle w:val="Compact"/>
              <w:spacing w:line="240" w:lineRule="auto" w:after="0"/>
              <w:ind w:firstLine="0"/>
              <w:jc w:val="left"/>
            </w:pPr>
          </w:p>
        </w:tc>
        <w:tc>
          <w:tcPr>
            <w:tcW w:type="dxa" w:w="2731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M2 + contexto do bairro</w:t>
            </w:r>
          </w:p>
        </w:tc>
        <w:tc>
          <w:tcPr>
            <w:tcW w:type="dxa" w:w="2101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0,688 [0,685; 0,691]</w:t>
            </w:r>
          </w:p>
        </w:tc>
        <w:tc>
          <w:tcPr>
            <w:tcW w:type="dxa" w:w="52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−4,74</w:t>
            </w:r>
          </w:p>
        </w:tc>
        <w:tc>
          <w:tcPr>
            <w:tcW w:type="dxa" w:w="52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0,219</w:t>
            </w:r>
          </w:p>
        </w:tc>
        <w:tc>
          <w:tcPr>
            <w:tcW w:type="dxa" w:w="491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2,27</w:t>
            </w:r>
          </w:p>
        </w:tc>
        <w:tc>
          <w:tcPr>
            <w:tcW w:type="dxa" w:w="491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2,25</w:t>
            </w:r>
          </w:p>
        </w:tc>
        <w:tc>
          <w:tcPr>
            <w:tcW w:type="dxa" w:w="52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0,691</w:t>
            </w:r>
          </w:p>
        </w:tc>
      </w:tr>
      <w:tr>
        <w:tc>
          <w:tcPr>
            <w:tcW w:type="dxa" w:w="1681"/>
          </w:tcPr>
          <w:p>
            <w:pPr>
              <w:pStyle w:val="Compact"/>
              <w:spacing w:line="240" w:lineRule="auto" w:after="0"/>
              <w:ind w:firstLine="0"/>
              <w:jc w:val="left"/>
            </w:pPr>
          </w:p>
        </w:tc>
        <w:tc>
          <w:tcPr>
            <w:tcW w:type="dxa" w:w="2731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M3 + vínculo (limite inf.)</w:t>
            </w:r>
          </w:p>
        </w:tc>
        <w:tc>
          <w:tcPr>
            <w:tcW w:type="dxa" w:w="2101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0,690 [0,687; 0,693]</w:t>
            </w:r>
          </w:p>
        </w:tc>
        <w:tc>
          <w:tcPr>
            <w:tcW w:type="dxa" w:w="52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−4,43</w:t>
            </w:r>
          </w:p>
        </w:tc>
        <w:tc>
          <w:tcPr>
            <w:tcW w:type="dxa" w:w="52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0,227</w:t>
            </w:r>
          </w:p>
        </w:tc>
        <w:tc>
          <w:tcPr>
            <w:tcW w:type="dxa" w:w="491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2,26</w:t>
            </w:r>
          </w:p>
        </w:tc>
        <w:tc>
          <w:tcPr>
            <w:tcW w:type="dxa" w:w="491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2,24</w:t>
            </w:r>
          </w:p>
        </w:tc>
        <w:tc>
          <w:tcPr>
            <w:tcW w:type="dxa" w:w="52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0,691</w:t>
            </w:r>
          </w:p>
        </w:tc>
      </w:tr>
      <w:tr>
        <w:tc>
          <w:tcPr>
            <w:tcW w:type="dxa" w:w="1681"/>
          </w:tcPr>
          <w:p>
            <w:pPr>
              <w:pStyle w:val="Compact"/>
              <w:spacing w:line="240" w:lineRule="auto" w:after="0"/>
              <w:ind w:firstLine="0"/>
              <w:jc w:val="left"/>
            </w:pPr>
          </w:p>
        </w:tc>
        <w:tc>
          <w:tcPr>
            <w:tcW w:type="dxa" w:w="2731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M4 + negro</w:t>
            </w:r>
            <m:oMath>
              <m:r>
                <m:rPr>
                  <m:sty m:val="p"/>
                </m:rPr>
                <m:t>×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credencial</w:t>
            </w:r>
          </w:p>
        </w:tc>
        <w:tc>
          <w:tcPr>
            <w:tcW w:type="dxa" w:w="2101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0,689 [0,685; 0,692]</w:t>
            </w:r>
          </w:p>
        </w:tc>
        <w:tc>
          <w:tcPr>
            <w:tcW w:type="dxa" w:w="52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−4,43</w:t>
            </w:r>
          </w:p>
        </w:tc>
        <w:tc>
          <w:tcPr>
            <w:tcW w:type="dxa" w:w="52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0,227</w:t>
            </w:r>
          </w:p>
        </w:tc>
        <w:tc>
          <w:tcPr>
            <w:tcW w:type="dxa" w:w="491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2,26</w:t>
            </w:r>
          </w:p>
        </w:tc>
        <w:tc>
          <w:tcPr>
            <w:tcW w:type="dxa" w:w="491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2,25</w:t>
            </w:r>
          </w:p>
        </w:tc>
        <w:tc>
          <w:tcPr>
            <w:tcW w:type="dxa" w:w="52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0,694</w:t>
            </w:r>
          </w:p>
        </w:tc>
      </w:tr>
      <w:tr>
        <w:tc>
          <w:tcPr>
            <w:tcW w:type="dxa" w:w="1681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Top 10% de renda</w:t>
            </w:r>
          </w:p>
        </w:tc>
        <w:tc>
          <w:tcPr>
            <w:tcW w:type="dxa" w:w="2731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M1 individual + UF</w:t>
            </w:r>
          </w:p>
        </w:tc>
        <w:tc>
          <w:tcPr>
            <w:tcW w:type="dxa" w:w="2101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0,643 [0,639; 0,647]</w:t>
            </w:r>
          </w:p>
        </w:tc>
        <w:tc>
          <w:tcPr>
            <w:tcW w:type="dxa" w:w="52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−3,10</w:t>
            </w:r>
          </w:p>
        </w:tc>
        <w:tc>
          <w:tcPr>
            <w:tcW w:type="dxa" w:w="52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0,350</w:t>
            </w:r>
          </w:p>
        </w:tc>
        <w:tc>
          <w:tcPr>
            <w:tcW w:type="dxa" w:w="491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2,49</w:t>
            </w:r>
          </w:p>
        </w:tc>
        <w:tc>
          <w:tcPr>
            <w:tcW w:type="dxa" w:w="491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2,46</w:t>
            </w:r>
          </w:p>
        </w:tc>
        <w:tc>
          <w:tcPr>
            <w:tcW w:type="dxa" w:w="52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0,457</w:t>
            </w:r>
          </w:p>
        </w:tc>
      </w:tr>
      <w:tr>
        <w:tc>
          <w:tcPr>
            <w:tcW w:type="dxa" w:w="1681"/>
          </w:tcPr>
          <w:p>
            <w:pPr>
              <w:pStyle w:val="Compact"/>
              <w:spacing w:line="240" w:lineRule="auto" w:after="0"/>
              <w:ind w:firstLine="0"/>
              <w:jc w:val="left"/>
            </w:pPr>
          </w:p>
        </w:tc>
        <w:tc>
          <w:tcPr>
            <w:tcW w:type="dxa" w:w="2731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M2 + contexto do bairro</w:t>
            </w:r>
          </w:p>
        </w:tc>
        <w:tc>
          <w:tcPr>
            <w:tcW w:type="dxa" w:w="2101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0,654 [0,650; 0,659]</w:t>
            </w:r>
          </w:p>
        </w:tc>
        <w:tc>
          <w:tcPr>
            <w:tcW w:type="dxa" w:w="52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−2,97</w:t>
            </w:r>
          </w:p>
        </w:tc>
        <w:tc>
          <w:tcPr>
            <w:tcW w:type="dxa" w:w="52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0,262</w:t>
            </w:r>
          </w:p>
        </w:tc>
        <w:tc>
          <w:tcPr>
            <w:tcW w:type="dxa" w:w="491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2,43</w:t>
            </w:r>
          </w:p>
        </w:tc>
        <w:tc>
          <w:tcPr>
            <w:tcW w:type="dxa" w:w="491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2,41</w:t>
            </w:r>
          </w:p>
        </w:tc>
        <w:tc>
          <w:tcPr>
            <w:tcW w:type="dxa" w:w="52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0,656</w:t>
            </w:r>
          </w:p>
        </w:tc>
      </w:tr>
      <w:tr>
        <w:tc>
          <w:tcPr>
            <w:tcW w:type="dxa" w:w="1681"/>
          </w:tcPr>
          <w:p>
            <w:pPr>
              <w:pStyle w:val="Compact"/>
              <w:spacing w:line="240" w:lineRule="auto" w:after="0"/>
              <w:ind w:firstLine="0"/>
              <w:jc w:val="left"/>
            </w:pPr>
          </w:p>
        </w:tc>
        <w:tc>
          <w:tcPr>
            <w:tcW w:type="dxa" w:w="2731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M3 + vínculo (limite inf.)</w:t>
            </w:r>
          </w:p>
        </w:tc>
        <w:tc>
          <w:tcPr>
            <w:tcW w:type="dxa" w:w="2101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0,656 [0,651; 0,660]</w:t>
            </w:r>
          </w:p>
        </w:tc>
        <w:tc>
          <w:tcPr>
            <w:tcW w:type="dxa" w:w="52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−2,80</w:t>
            </w:r>
          </w:p>
        </w:tc>
        <w:tc>
          <w:tcPr>
            <w:tcW w:type="dxa" w:w="52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0,265</w:t>
            </w:r>
          </w:p>
        </w:tc>
        <w:tc>
          <w:tcPr>
            <w:tcW w:type="dxa" w:w="491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2,42</w:t>
            </w:r>
          </w:p>
        </w:tc>
        <w:tc>
          <w:tcPr>
            <w:tcW w:type="dxa" w:w="491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2,40</w:t>
            </w:r>
          </w:p>
        </w:tc>
        <w:tc>
          <w:tcPr>
            <w:tcW w:type="dxa" w:w="52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0,656</w:t>
            </w:r>
          </w:p>
        </w:tc>
      </w:tr>
      <w:tr>
        <w:tc>
          <w:tcPr>
            <w:tcW w:type="dxa" w:w="1681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left"/>
            </w:pPr>
          </w:p>
        </w:tc>
        <w:tc>
          <w:tcPr>
            <w:tcW w:type="dxa" w:w="2731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M4 + negro</w:t>
            </w:r>
            <m:oMath>
              <m:r>
                <m:rPr>
                  <m:sty m:val="p"/>
                </m:rPr>
                <m:t>×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credencial</w:t>
            </w:r>
          </w:p>
        </w:tc>
        <w:tc>
          <w:tcPr>
            <w:tcW w:type="dxa" w:w="2101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0,661 [0,657; 0,666]</w:t>
            </w:r>
          </w:p>
        </w:tc>
        <w:tc>
          <w:tcPr>
            <w:tcW w:type="dxa" w:w="525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−2,80</w:t>
            </w:r>
          </w:p>
        </w:tc>
        <w:tc>
          <w:tcPr>
            <w:tcW w:type="dxa" w:w="525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0,265</w:t>
            </w:r>
          </w:p>
        </w:tc>
        <w:tc>
          <w:tcPr>
            <w:tcW w:type="dxa" w:w="491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2,39</w:t>
            </w:r>
          </w:p>
        </w:tc>
        <w:tc>
          <w:tcPr>
            <w:tcW w:type="dxa" w:w="491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2,37</w:t>
            </w:r>
          </w:p>
        </w:tc>
        <w:tc>
          <w:tcPr>
            <w:tcW w:type="dxa" w:w="525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0,664</w:t>
            </w:r>
          </w:p>
        </w:tc>
      </w:tr>
    </w:tbl>
    <w:bookmarkEnd w:id="76"/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: OR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&lt;</m:t>
        </m:r>
        <m:r>
          <m:t>1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= menor chance de acesso para trabalhadores negros do que para brancos de mesmo perfil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i/>
          <w:iCs/>
          <w:sz w:val="22"/>
        </w:rPr>
        <w:t xml:space="preserve">e do mesmo bairro</w:t>
      </w:r>
      <w:r>
        <w:rPr>
          <w:rFonts w:ascii="Arial" w:hAnsi="Arial"/>
          <w:sz w:val="22"/>
        </w:rPr>
        <w:t xml:space="preserve">; quanto mais perto de zero, maior a barreira. O E-value é a força mínima de associação (razão de risco) que um confundidor não observado precisaria ter com a raça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i/>
          <w:iCs/>
          <w:sz w:val="22"/>
        </w:rPr>
        <w:t xml:space="preserve">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com o desfecho para anular o OR; o E-value (IC) faz o mesmo para o limite do intervalo. A coluna logit-FE mostra que a conclusão não depende da hipótese de efeitos aleatórios.</w:t>
      </w:r>
    </w:p>
    <w:p>
      <w:pPr>
        <w:pStyle w:val="BodyText"/>
        <w:spacing w:line="240" w:lineRule="auto" w:before="40" w:after="240"/>
        <w:ind w:firstLine="0"/>
        <w:jc w:val="both"/>
      </w:pPr>
      <w:r>
        <w:rPr>
          <w:rFonts w:ascii="Arial" w:hAnsi="Arial"/>
          <w:sz w:val="22"/>
        </w:rPr>
        <w:t xml:space="preserve">Fonte: Resultados originais da pesquisa.</w:t>
      </w:r>
    </w:p>
    <w:bookmarkStart w:id="77" w:name="tab:glmm_ajuste"/>
    <w:p>
      <w:pPr>
        <w:pStyle w:val="TableCaption"/>
        <w:spacing w:line="240" w:lineRule="auto" w:before="240" w:after="40"/>
        <w:ind w:firstLine="0"/>
        <w:jc w:val="both"/>
      </w:pPr>
      <w:r>
        <w:rPr>
          <w:rFonts w:ascii="Arial" w:hAnsi="Arial"/>
          <w:sz w:val="22"/>
        </w:rPr>
        <w:t xml:space="preserve">Tabela 11. GLMM logístico — ajuste e desempenho de classificação por degrau. LR vs. pooled: teste de razão de verossimilhança do M2 contra o logit sem efeito aleatório (fronteira,</w:t>
      </w:r>
      <w:r>
        <w:rPr>
          <w:rFonts w:ascii="Arial" w:hAnsi="Arial"/>
          <w:sz w:val="22"/>
        </w:rPr>
        <w:t xml:space="preserve"> </w:t>
      </w:r>
      <m:oMath>
        <m:r>
          <m:t>p</m:t>
        </m:r>
        <m:r>
          <m:rPr>
            <m:sty m:val="p"/>
          </m:rPr>
          <m:t>/</m:t>
        </m:r>
        <m:r>
          <m:t>2</m:t>
        </m:r>
      </m:oMath>
      <w:r>
        <w:rPr>
          <w:rFonts w:ascii="Arial" w:hAnsi="Arial"/>
          <w:sz w:val="22"/>
        </w:rPr>
        <w:t xml:space="preserve">); AUC com efeitos aleatórios (ajuste na amostra) e só com efeitos fixos;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i/>
          <w:iCs/>
          <w:sz w:val="22"/>
        </w:rPr>
        <w:t xml:space="preserve">cutoff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 Youden (maximiza sensibilidade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+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especificidade) com as taxas correspondentes; Hosmer–Lemeshow em 10 decis. Com</w:t>
      </w:r>
      <w:r>
        <w:rPr>
          <w:rFonts w:ascii="Arial" w:hAnsi="Arial"/>
          <w:sz w:val="22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,</m:t>
        </m:r>
        <m:r>
          <m:t>7</m:t>
        </m:r>
      </m:oMath>
      <w:r>
        <w:rPr>
          <w:rFonts w:ascii="Arial" w:hAnsi="Arial"/>
          <w:sz w:val="22"/>
        </w:rPr>
        <w:t xml:space="preserve"> milhões qualquer desvio de calibração é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“significativo”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— o</w:t>
      </w:r>
      <w:r>
        <w:rPr>
          <w:rFonts w:ascii="Arial" w:hAnsi="Arial"/>
          <w:sz w:val="22"/>
        </w:rP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deve ser lido como magnitude relativa entre degraus, não como teste (MHE, cap. 8).</w:t>
      </w:r>
    </w:p>
    <w:tbl>
      <w:tblPr>
        <w:tblStyle w:val="Table"/>
        <w:tblW w:type="auto" w:w="0"/>
        <w:tblLayout w:type="fixed"/>
        <w:tblLook w:firstRow="1" w:lastRow="0" w:firstColumn="0" w:lastColumn="0" w:noHBand="0" w:noVBand="0" w:val="0020"/>
        <w:tblCaption w:val="Tabela 11. GLMM logístico — ajuste e desempenho de classificação por degrau. LR vs. pooled: teste de razão de verossimilhança do M2 contra o logit sem efeito aleatório (fronteira, p/2); AUC com efeitos aleatórios (ajuste na amostra) e só com efeitos fixos; cutoff de Youden (maximiza sensibilidade + especificidade) com as taxas correspondentes; Hosmer–Lemeshow em 10 decis. Com N = 7{,}7 milhões qualquer desvio de calibração é “significativo” — o \chi^2 deve ser lido como magnitude relativa entre degraus, não como teste (MHE, cap. 8).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498"/>
        <w:gridCol w:w="2434"/>
        <w:gridCol w:w="842"/>
        <w:gridCol w:w="842"/>
        <w:gridCol w:w="655"/>
        <w:gridCol w:w="489"/>
        <w:gridCol w:w="489"/>
        <w:gridCol w:w="489"/>
        <w:gridCol w:w="842"/>
        <w:gridCol w:w="489"/>
      </w:tblGrid>
      <w:tr>
        <w:trPr>
          <w:tblHeader w:val="on"/>
        </w:trPr>
        <w:tc>
          <w:tcPr>
            <w:tcW w:type="dxa" w:w="1498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Desfecho</w:t>
            </w:r>
          </w:p>
        </w:tc>
        <w:tc>
          <w:tcPr>
            <w:tcW w:type="dxa" w:w="2434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Modelo</w:t>
            </w:r>
          </w:p>
        </w:tc>
        <w:tc>
          <w:tcPr>
            <w:tcW w:type="dxa" w:w="842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LL</w:t>
            </w:r>
          </w:p>
        </w:tc>
        <w:tc>
          <w:tcPr>
            <w:tcW w:type="dxa" w:w="842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AIC</w:t>
            </w:r>
          </w:p>
        </w:tc>
        <w:tc>
          <w:tcPr>
            <w:tcW w:type="dxa" w:w="655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LR vs. pooled</w:t>
            </w:r>
          </w:p>
        </w:tc>
        <w:tc>
          <w:tcPr>
            <w:tcW w:type="dxa" w:w="489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AUC (RE)</w:t>
            </w:r>
          </w:p>
        </w:tc>
        <w:tc>
          <w:tcPr>
            <w:tcW w:type="dxa" w:w="489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AUC (FE)</w:t>
            </w:r>
          </w:p>
        </w:tc>
        <w:tc>
          <w:tcPr>
            <w:tcW w:type="dxa" w:w="489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Cutoff</w:t>
            </w:r>
          </w:p>
        </w:tc>
        <w:tc>
          <w:tcPr>
            <w:tcW w:type="dxa" w:w="842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Sens./Espec.</w:t>
            </w:r>
          </w:p>
        </w:tc>
        <w:tc>
          <w:tcPr>
            <w:tcW w:type="dxa" w:w="489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HL</w:t>
            </w:r>
            <w:r>
              <w:rPr>
                <w:rFonts w:ascii="Arial" w:hAnsi="Arial"/>
                <w:b w:val="0"/>
                <w:sz w:val="22"/>
              </w:rP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  <w:tr>
        <w:tc>
          <w:tcPr>
            <w:tcW w:type="dxa" w:w="1498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Cargo qualificado (CBO 1–4)</w:t>
            </w:r>
          </w:p>
        </w:tc>
        <w:tc>
          <w:tcPr>
            <w:tcW w:type="dxa" w:w="243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M1 individual + UF</w:t>
            </w:r>
          </w:p>
        </w:tc>
        <w:tc>
          <w:tcPr>
            <w:tcW w:type="dxa" w:w="84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7.068.424</w:t>
            </w:r>
          </w:p>
        </w:tc>
        <w:tc>
          <w:tcPr>
            <w:tcW w:type="dxa" w:w="84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7.068.498</w:t>
            </w:r>
          </w:p>
        </w:tc>
        <w:tc>
          <w:tcPr>
            <w:tcW w:type="dxa" w:w="655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0,831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0,766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0,30</w:t>
            </w:r>
          </w:p>
        </w:tc>
        <w:tc>
          <w:tcPr>
            <w:tcW w:type="dxa" w:w="842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0,82/0,68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8.378</w:t>
            </w:r>
          </w:p>
        </w:tc>
      </w:tr>
      <w:tr>
        <w:tc>
          <w:tcPr>
            <w:tcW w:type="dxa" w:w="1498"/>
          </w:tcPr>
          <w:p>
            <w:pPr>
              <w:pStyle w:val="Compact"/>
              <w:spacing w:line="240" w:lineRule="auto" w:after="0"/>
              <w:ind w:firstLine="0"/>
              <w:jc w:val="left"/>
            </w:pPr>
          </w:p>
        </w:tc>
        <w:tc>
          <w:tcPr>
            <w:tcW w:type="dxa" w:w="243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M2 + contexto do bairro</w:t>
            </w:r>
          </w:p>
        </w:tc>
        <w:tc>
          <w:tcPr>
            <w:tcW w:type="dxa" w:w="84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7.059.978</w:t>
            </w:r>
          </w:p>
        </w:tc>
        <w:tc>
          <w:tcPr>
            <w:tcW w:type="dxa" w:w="84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7.060.058</w:t>
            </w:r>
          </w:p>
        </w:tc>
        <w:tc>
          <w:tcPr>
            <w:tcW w:type="dxa" w:w="65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411.007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0,831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0,790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0,30</w:t>
            </w:r>
          </w:p>
        </w:tc>
        <w:tc>
          <w:tcPr>
            <w:tcW w:type="dxa" w:w="842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0,82/0,68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8.576</w:t>
            </w:r>
          </w:p>
        </w:tc>
      </w:tr>
      <w:tr>
        <w:tc>
          <w:tcPr>
            <w:tcW w:type="dxa" w:w="1498"/>
          </w:tcPr>
          <w:p>
            <w:pPr>
              <w:pStyle w:val="Compact"/>
              <w:spacing w:line="240" w:lineRule="auto" w:after="0"/>
              <w:ind w:firstLine="0"/>
              <w:jc w:val="left"/>
            </w:pPr>
          </w:p>
        </w:tc>
        <w:tc>
          <w:tcPr>
            <w:tcW w:type="dxa" w:w="243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M3 + vínculo (limite inf.)</w:t>
            </w:r>
          </w:p>
        </w:tc>
        <w:tc>
          <w:tcPr>
            <w:tcW w:type="dxa" w:w="84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6.089.887</w:t>
            </w:r>
          </w:p>
        </w:tc>
        <w:tc>
          <w:tcPr>
            <w:tcW w:type="dxa" w:w="84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6.089.975</w:t>
            </w:r>
          </w:p>
        </w:tc>
        <w:tc>
          <w:tcPr>
            <w:tcW w:type="dxa" w:w="655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0,882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0,856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0,31</w:t>
            </w:r>
          </w:p>
        </w:tc>
        <w:tc>
          <w:tcPr>
            <w:tcW w:type="dxa" w:w="842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0,83/0,77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5.269</w:t>
            </w:r>
          </w:p>
        </w:tc>
      </w:tr>
      <w:tr>
        <w:tc>
          <w:tcPr>
            <w:tcW w:type="dxa" w:w="1498"/>
          </w:tcPr>
          <w:p>
            <w:pPr>
              <w:pStyle w:val="Compact"/>
              <w:spacing w:line="240" w:lineRule="auto" w:after="0"/>
              <w:ind w:firstLine="0"/>
              <w:jc w:val="left"/>
            </w:pPr>
          </w:p>
        </w:tc>
        <w:tc>
          <w:tcPr>
            <w:tcW w:type="dxa" w:w="243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M4 + negro</w:t>
            </w:r>
            <m:oMath>
              <m:r>
                <m:rPr>
                  <m:sty m:val="p"/>
                </m:rPr>
                <m:t>×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credencial</w:t>
            </w:r>
          </w:p>
        </w:tc>
        <w:tc>
          <w:tcPr>
            <w:tcW w:type="dxa" w:w="84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6.089.819</w:t>
            </w:r>
          </w:p>
        </w:tc>
        <w:tc>
          <w:tcPr>
            <w:tcW w:type="dxa" w:w="84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6.089.911</w:t>
            </w:r>
          </w:p>
        </w:tc>
        <w:tc>
          <w:tcPr>
            <w:tcW w:type="dxa" w:w="655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0,882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0,856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0,31</w:t>
            </w:r>
          </w:p>
        </w:tc>
        <w:tc>
          <w:tcPr>
            <w:tcW w:type="dxa" w:w="842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0,83/0,77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5.178</w:t>
            </w:r>
          </w:p>
        </w:tc>
      </w:tr>
      <w:tr>
        <w:tc>
          <w:tcPr>
            <w:tcW w:type="dxa" w:w="1498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Top 20% de renda</w:t>
            </w:r>
          </w:p>
        </w:tc>
        <w:tc>
          <w:tcPr>
            <w:tcW w:type="dxa" w:w="243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M1 individual + UF</w:t>
            </w:r>
          </w:p>
        </w:tc>
        <w:tc>
          <w:tcPr>
            <w:tcW w:type="dxa" w:w="84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6.104.884</w:t>
            </w:r>
          </w:p>
        </w:tc>
        <w:tc>
          <w:tcPr>
            <w:tcW w:type="dxa" w:w="84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6.104.958</w:t>
            </w:r>
          </w:p>
        </w:tc>
        <w:tc>
          <w:tcPr>
            <w:tcW w:type="dxa" w:w="655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0,844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0,770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0,22</w:t>
            </w:r>
          </w:p>
        </w:tc>
        <w:tc>
          <w:tcPr>
            <w:tcW w:type="dxa" w:w="842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0,78/0,74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4.038</w:t>
            </w:r>
          </w:p>
        </w:tc>
      </w:tr>
      <w:tr>
        <w:tc>
          <w:tcPr>
            <w:tcW w:type="dxa" w:w="1498"/>
          </w:tcPr>
          <w:p>
            <w:pPr>
              <w:pStyle w:val="Compact"/>
              <w:spacing w:line="240" w:lineRule="auto" w:after="0"/>
              <w:ind w:firstLine="0"/>
              <w:jc w:val="left"/>
            </w:pPr>
          </w:p>
        </w:tc>
        <w:tc>
          <w:tcPr>
            <w:tcW w:type="dxa" w:w="243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M2 + contexto do bairro</w:t>
            </w:r>
          </w:p>
        </w:tc>
        <w:tc>
          <w:tcPr>
            <w:tcW w:type="dxa" w:w="84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6.094.129</w:t>
            </w:r>
          </w:p>
        </w:tc>
        <w:tc>
          <w:tcPr>
            <w:tcW w:type="dxa" w:w="84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6.094.209</w:t>
            </w:r>
          </w:p>
        </w:tc>
        <w:tc>
          <w:tcPr>
            <w:tcW w:type="dxa" w:w="65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469.691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0,844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0,798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0,22</w:t>
            </w:r>
          </w:p>
        </w:tc>
        <w:tc>
          <w:tcPr>
            <w:tcW w:type="dxa" w:w="842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0,78/0,74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4.070</w:t>
            </w:r>
          </w:p>
        </w:tc>
      </w:tr>
      <w:tr>
        <w:tc>
          <w:tcPr>
            <w:tcW w:type="dxa" w:w="1498"/>
          </w:tcPr>
          <w:p>
            <w:pPr>
              <w:pStyle w:val="Compact"/>
              <w:spacing w:line="240" w:lineRule="auto" w:after="0"/>
              <w:ind w:firstLine="0"/>
              <w:jc w:val="left"/>
            </w:pPr>
          </w:p>
        </w:tc>
        <w:tc>
          <w:tcPr>
            <w:tcW w:type="dxa" w:w="243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M3 + vínculo (limite inf.)</w:t>
            </w:r>
          </w:p>
        </w:tc>
        <w:tc>
          <w:tcPr>
            <w:tcW w:type="dxa" w:w="84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5.779.565</w:t>
            </w:r>
          </w:p>
        </w:tc>
        <w:tc>
          <w:tcPr>
            <w:tcW w:type="dxa" w:w="84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5.779.653</w:t>
            </w:r>
          </w:p>
        </w:tc>
        <w:tc>
          <w:tcPr>
            <w:tcW w:type="dxa" w:w="655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0,862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0,821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0,22</w:t>
            </w:r>
          </w:p>
        </w:tc>
        <w:tc>
          <w:tcPr>
            <w:tcW w:type="dxa" w:w="842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0,79/0,76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1.584</w:t>
            </w:r>
          </w:p>
        </w:tc>
      </w:tr>
      <w:tr>
        <w:tc>
          <w:tcPr>
            <w:tcW w:type="dxa" w:w="1498"/>
          </w:tcPr>
          <w:p>
            <w:pPr>
              <w:pStyle w:val="Compact"/>
              <w:spacing w:line="240" w:lineRule="auto" w:after="0"/>
              <w:ind w:firstLine="0"/>
              <w:jc w:val="left"/>
            </w:pPr>
          </w:p>
        </w:tc>
        <w:tc>
          <w:tcPr>
            <w:tcW w:type="dxa" w:w="243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M4 + negro</w:t>
            </w:r>
            <m:oMath>
              <m:r>
                <m:rPr>
                  <m:sty m:val="p"/>
                </m:rPr>
                <m:t>×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credencial</w:t>
            </w:r>
          </w:p>
        </w:tc>
        <w:tc>
          <w:tcPr>
            <w:tcW w:type="dxa" w:w="84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5.779.560</w:t>
            </w:r>
          </w:p>
        </w:tc>
        <w:tc>
          <w:tcPr>
            <w:tcW w:type="dxa" w:w="84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5.779.652</w:t>
            </w:r>
          </w:p>
        </w:tc>
        <w:tc>
          <w:tcPr>
            <w:tcW w:type="dxa" w:w="655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0,862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0,821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0,23</w:t>
            </w:r>
          </w:p>
        </w:tc>
        <w:tc>
          <w:tcPr>
            <w:tcW w:type="dxa" w:w="842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0,78/0,77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1.597</w:t>
            </w:r>
          </w:p>
        </w:tc>
      </w:tr>
      <w:tr>
        <w:tc>
          <w:tcPr>
            <w:tcW w:type="dxa" w:w="1498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Top 10% de renda</w:t>
            </w:r>
          </w:p>
        </w:tc>
        <w:tc>
          <w:tcPr>
            <w:tcW w:type="dxa" w:w="243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M1 individual + UF</w:t>
            </w:r>
          </w:p>
        </w:tc>
        <w:tc>
          <w:tcPr>
            <w:tcW w:type="dxa" w:w="84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3.713.826</w:t>
            </w:r>
          </w:p>
        </w:tc>
        <w:tc>
          <w:tcPr>
            <w:tcW w:type="dxa" w:w="84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3.713.900</w:t>
            </w:r>
          </w:p>
        </w:tc>
        <w:tc>
          <w:tcPr>
            <w:tcW w:type="dxa" w:w="655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0,878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0,788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0,10</w:t>
            </w:r>
          </w:p>
        </w:tc>
        <w:tc>
          <w:tcPr>
            <w:tcW w:type="dxa" w:w="842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0,82/0,77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4.049</w:t>
            </w:r>
          </w:p>
        </w:tc>
      </w:tr>
      <w:tr>
        <w:tc>
          <w:tcPr>
            <w:tcW w:type="dxa" w:w="1498"/>
          </w:tcPr>
          <w:p>
            <w:pPr>
              <w:pStyle w:val="Compact"/>
              <w:spacing w:line="240" w:lineRule="auto" w:after="0"/>
              <w:ind w:firstLine="0"/>
              <w:jc w:val="left"/>
            </w:pPr>
          </w:p>
        </w:tc>
        <w:tc>
          <w:tcPr>
            <w:tcW w:type="dxa" w:w="243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M2 + contexto do bairro</w:t>
            </w:r>
          </w:p>
        </w:tc>
        <w:tc>
          <w:tcPr>
            <w:tcW w:type="dxa" w:w="84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3.702.360</w:t>
            </w:r>
          </w:p>
        </w:tc>
        <w:tc>
          <w:tcPr>
            <w:tcW w:type="dxa" w:w="84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3.702.440</w:t>
            </w:r>
          </w:p>
        </w:tc>
        <w:tc>
          <w:tcPr>
            <w:tcW w:type="dxa" w:w="65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337.418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0,878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0,830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0,10</w:t>
            </w:r>
          </w:p>
        </w:tc>
        <w:tc>
          <w:tcPr>
            <w:tcW w:type="dxa" w:w="842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0,82/0,77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3.949</w:t>
            </w:r>
          </w:p>
        </w:tc>
      </w:tr>
      <w:tr>
        <w:tc>
          <w:tcPr>
            <w:tcW w:type="dxa" w:w="1498"/>
          </w:tcPr>
          <w:p>
            <w:pPr>
              <w:pStyle w:val="Compact"/>
              <w:spacing w:line="240" w:lineRule="auto" w:after="0"/>
              <w:ind w:firstLine="0"/>
              <w:jc w:val="left"/>
            </w:pPr>
          </w:p>
        </w:tc>
        <w:tc>
          <w:tcPr>
            <w:tcW w:type="dxa" w:w="243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M3 + vínculo (limite inf.)</w:t>
            </w:r>
          </w:p>
        </w:tc>
        <w:tc>
          <w:tcPr>
            <w:tcW w:type="dxa" w:w="84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3.502.169</w:t>
            </w:r>
          </w:p>
        </w:tc>
        <w:tc>
          <w:tcPr>
            <w:tcW w:type="dxa" w:w="84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3.502.257</w:t>
            </w:r>
          </w:p>
        </w:tc>
        <w:tc>
          <w:tcPr>
            <w:tcW w:type="dxa" w:w="655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0,893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0,852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0,11</w:t>
            </w:r>
          </w:p>
        </w:tc>
        <w:tc>
          <w:tcPr>
            <w:tcW w:type="dxa" w:w="842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0,82/0,80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1.934</w:t>
            </w:r>
          </w:p>
        </w:tc>
      </w:tr>
      <w:tr>
        <w:tc>
          <w:tcPr>
            <w:tcW w:type="dxa" w:w="1498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left"/>
            </w:pPr>
          </w:p>
        </w:tc>
        <w:tc>
          <w:tcPr>
            <w:tcW w:type="dxa" w:w="2434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M4 + negro</w:t>
            </w:r>
            <m:oMath>
              <m:r>
                <m:rPr>
                  <m:sty m:val="p"/>
                </m:rPr>
                <m:t>×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credencial</w:t>
            </w:r>
          </w:p>
        </w:tc>
        <w:tc>
          <w:tcPr>
            <w:tcW w:type="dxa" w:w="842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3.502.075</w:t>
            </w:r>
          </w:p>
        </w:tc>
        <w:tc>
          <w:tcPr>
            <w:tcW w:type="dxa" w:w="842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3.502.167</w:t>
            </w:r>
          </w:p>
        </w:tc>
        <w:tc>
          <w:tcPr>
            <w:tcW w:type="dxa" w:w="655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489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0,893</w:t>
            </w:r>
          </w:p>
        </w:tc>
        <w:tc>
          <w:tcPr>
            <w:tcW w:type="dxa" w:w="489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0,852</w:t>
            </w:r>
          </w:p>
        </w:tc>
        <w:tc>
          <w:tcPr>
            <w:tcW w:type="dxa" w:w="489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0,11</w:t>
            </w:r>
          </w:p>
        </w:tc>
        <w:tc>
          <w:tcPr>
            <w:tcW w:type="dxa" w:w="842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0,82/0,80</w:t>
            </w:r>
          </w:p>
        </w:tc>
        <w:tc>
          <w:tcPr>
            <w:tcW w:type="dxa" w:w="489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1.869</w:t>
            </w:r>
          </w:p>
        </w:tc>
      </w:tr>
    </w:tbl>
    <w:bookmarkEnd w:id="77"/>
    <w:p>
      <w:pPr>
        <w:pStyle w:val="BodyText"/>
        <w:spacing w:line="240" w:lineRule="auto" w:before="40" w:after="240"/>
        <w:ind w:firstLine="0"/>
        <w:jc w:val="both"/>
      </w:pPr>
      <w:r>
        <w:rPr>
          <w:rFonts w:ascii="Arial" w:hAnsi="Arial"/>
          <w:sz w:val="22"/>
        </w:rPr>
        <w:t xml:space="preserve">Fonte: Resultados originais da pesquisa.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A Tabela 12 decompõe o diferencial de cada grupo contra o homem branco.</w:t>
      </w:r>
    </w:p>
    <w:bookmarkEnd w:id="78"/>
    <w:bookmarkStart w:id="85" w:name="X1df7cc4eb0c7cc9fb7ddad12c1316189c49cc50"/>
    <w:p>
      <w:pPr>
        <w:pStyle w:val="Ttulo2"/>
        <w:spacing w:line="240" w:lineRule="auto" w:before="240" w:after="120"/>
        <w:ind w:firstLine="0"/>
        <w:jc w:val="left"/>
      </w:pPr>
      <w:r>
        <w:rPr>
          <w:rFonts w:ascii="Arial" w:hAnsi="Arial"/>
          <w:sz w:val="22"/>
        </w:rPr>
        <w:t xml:space="preserve">Interseccionalidade: raça e gênero no acesso e no topo</w:t>
      </w:r>
    </w:p>
    <w:bookmarkStart w:id="79" w:name="tab:interseccional"/>
    <w:p>
      <w:pPr>
        <w:pStyle w:val="TableCaption"/>
        <w:spacing w:line="240" w:lineRule="auto" w:before="240" w:after="40"/>
        <w:ind w:firstLine="0"/>
        <w:jc w:val="both"/>
      </w:pPr>
      <w:r>
        <w:rPr>
          <w:rFonts w:ascii="Arial" w:hAnsi="Arial"/>
          <w:sz w:val="22"/>
        </w:rPr>
        <w:t xml:space="preserve">Tabela 12. Decomposição interseccional (raça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×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gênero) do gap de rendimento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i/>
          <w:iCs/>
          <w:sz w:val="22"/>
        </w:rPr>
        <w:t xml:space="preserve">vs.</w:t>
      </w:r>
      <w:r>
        <w:rPr>
          <w:rFonts w:ascii="Arial" w:hAnsi="Arial"/>
          <w:sz w:val="22"/>
        </w:rPr>
        <w:t xml:space="preserve"> o Homem Branco (grupo de referência). Dotações: parcela explicada por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características observáveis; Retornos: parcela não explicada (discriminação). Penalidade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extra: o quanto o gap da Mulher Negra excede a soma das penalidades de raça e de gênero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isoladas (efeito interseccional puro, Crenshaw, 1989). PNAD Contínua, população completa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</w:t>
      </w:r>
      <m:oMath>
        <m:r>
          <m:t>N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do grupo de referência — homens brancos — na última linha da nota). Entre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parênteses: erro-padrão por bootstrap em blocos por UPA.</w:t>
      </w:r>
    </w:p>
    <w:tbl>
      <w:tblPr>
        <w:tblStyle w:val="Table"/>
        <w:tblW w:type="auto" w:w="0"/>
        <w:tblLayout w:type="fixed"/>
        <w:tblLook w:firstRow="1" w:lastRow="0" w:firstColumn="0" w:lastColumn="0" w:noHBand="0" w:noVBand="0" w:val="0020"/>
        <w:tblCaption w:val="Tabela 12. Decomposição interseccional (raça \times gênero) do gap de rendimento vs. o Homem Branco (grupo de referência). Dotações: parcela explicada por características observáveis; Retornos: parcela não explicada (discriminação). Penalidade extra: o quanto o gap da Mulher Negra excede a soma das penalidades de raça e de gênero isoladas (efeito interseccional puro, Crenshaw, 1989). PNAD Contínua, população completa (N do grupo de referência — homens brancos — na última linha da nota). Entre parênteses: erro-padrão por bootstrap em blocos por UPA.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512"/>
        <w:gridCol w:w="1512"/>
        <w:gridCol w:w="1396"/>
        <w:gridCol w:w="1396"/>
        <w:gridCol w:w="2210"/>
        <w:gridCol w:w="1047"/>
      </w:tblGrid>
      <w:tr>
        <w:trPr>
          <w:tblHeader w:val="on"/>
        </w:trPr>
        <w:tc>
          <w:tcPr>
            <w:tcW w:type="dxa" w:w="1512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Grupo</w:t>
            </w:r>
          </w:p>
        </w:tc>
        <w:tc>
          <w:tcPr>
            <w:tcW w:type="dxa" w:w="1512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Gap vs HB (%)</w:t>
            </w:r>
          </w:p>
        </w:tc>
        <w:tc>
          <w:tcPr>
            <w:tcW w:type="dxa" w:w="1396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Dotações (%)</w:t>
            </w:r>
          </w:p>
        </w:tc>
        <w:tc>
          <w:tcPr>
            <w:tcW w:type="dxa" w:w="1396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Retornos (%)</w:t>
            </w:r>
          </w:p>
        </w:tc>
        <w:tc>
          <w:tcPr>
            <w:tcW w:type="dxa" w:w="2210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Penal. extra (p.p.)</w:t>
            </w:r>
          </w:p>
        </w:tc>
        <w:tc>
          <w:tcPr>
            <w:tcW w:type="dxa" w:w="1047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m:oMath>
              <m:r>
                <m:t>N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 </w:t>
            </w:r>
            <w:r>
              <w:rPr>
                <w:rFonts w:ascii="Arial" w:hAnsi="Arial"/>
                <w:b w:val="0"/>
                <w:sz w:val="22"/>
              </w:rPr>
              <w:t xml:space="preserve">do grupo</w:t>
            </w:r>
          </w:p>
        </w:tc>
      </w:tr>
      <w:tr>
        <w:tc>
          <w:tcPr>
            <w:tcW w:type="dxa" w:w="1512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Mulher Branca</w:t>
            </w:r>
          </w:p>
        </w:tc>
        <w:tc>
          <w:tcPr>
            <w:tcW w:type="dxa" w:w="151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19,7 (0,2)</w:t>
            </w:r>
          </w:p>
        </w:tc>
        <w:tc>
          <w:tcPr>
            <w:tcW w:type="dxa" w:w="139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−51,9 (1,0)</w:t>
            </w:r>
          </w:p>
        </w:tc>
        <w:tc>
          <w:tcPr>
            <w:tcW w:type="dxa" w:w="139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151,9 (1,0)</w:t>
            </w:r>
          </w:p>
        </w:tc>
        <w:tc>
          <w:tcPr>
            <w:tcW w:type="dxa" w:w="2210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047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1.423.994</w:t>
            </w:r>
          </w:p>
        </w:tc>
      </w:tr>
      <w:tr>
        <w:tc>
          <w:tcPr>
            <w:tcW w:type="dxa" w:w="1512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Homem Negro</w:t>
            </w:r>
          </w:p>
        </w:tc>
        <w:tc>
          <w:tcPr>
            <w:tcW w:type="dxa" w:w="151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56,3 (0,6)</w:t>
            </w:r>
          </w:p>
        </w:tc>
        <w:tc>
          <w:tcPr>
            <w:tcW w:type="dxa" w:w="139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73,9 (0,4)</w:t>
            </w:r>
          </w:p>
        </w:tc>
        <w:tc>
          <w:tcPr>
            <w:tcW w:type="dxa" w:w="139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26,1 (0,4)</w:t>
            </w:r>
          </w:p>
        </w:tc>
        <w:tc>
          <w:tcPr>
            <w:tcW w:type="dxa" w:w="2210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047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2.664.739</w:t>
            </w:r>
          </w:p>
        </w:tc>
      </w:tr>
      <w:tr>
        <w:tc>
          <w:tcPr>
            <w:tcW w:type="dxa" w:w="1512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Mulher Negra</w:t>
            </w:r>
          </w:p>
        </w:tc>
        <w:tc>
          <w:tcPr>
            <w:tcW w:type="dxa" w:w="1512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80,6 (0,6)</w:t>
            </w:r>
          </w:p>
        </w:tc>
        <w:tc>
          <w:tcPr>
            <w:tcW w:type="dxa" w:w="1396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35,3 (0,4)</w:t>
            </w:r>
          </w:p>
        </w:tc>
        <w:tc>
          <w:tcPr>
            <w:tcW w:type="dxa" w:w="1396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64,7 (0,4)</w:t>
            </w:r>
          </w:p>
        </w:tc>
        <w:tc>
          <w:tcPr>
            <w:tcW w:type="dxa" w:w="2210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4,6</w:t>
            </w:r>
          </w:p>
        </w:tc>
        <w:tc>
          <w:tcPr>
            <w:tcW w:type="dxa" w:w="1047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1.769.943</w:t>
            </w:r>
          </w:p>
        </w:tc>
      </w:tr>
    </w:tbl>
    <w:bookmarkEnd w:id="79"/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: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“Gap vs HB”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é a desvantagem de renda de cada grupo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i/>
          <w:iCs/>
          <w:sz w:val="22"/>
        </w:rPr>
        <w:t xml:space="preserve">vs.</w:t>
      </w:r>
      <w:r>
        <w:rPr>
          <w:rFonts w:ascii="Arial" w:hAnsi="Arial"/>
          <w:sz w:val="22"/>
        </w:rPr>
        <w:t xml:space="preserve"> o Homem Branco; Dotações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+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Retornos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=</m:t>
        </m:r>
        <m:r>
          <m:t>100</m:t>
        </m:r>
        <m:r>
          <m:rPr>
            <m:sty m:val="p"/>
          </m:rPr>
          <m:t>%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do gap. A Mulher Negra tem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maior gap e ainda uma penalidade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i/>
          <w:iCs/>
          <w:sz w:val="22"/>
        </w:rPr>
        <w:t xml:space="preserve">extra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que não se reduz à soma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“ser negro”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“ser mulher”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— a marca da interseccionalidade. O sinal negativo das dotações da Mulher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Branca indica que suas características observáveis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i/>
          <w:iCs/>
          <w:sz w:val="22"/>
        </w:rPr>
        <w:t xml:space="preserve">superam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as do homem branco: todo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 gap vem de retornos diferenciais. Grupo de referência: 1.835.522 homens brancos.</w:t>
      </w:r>
    </w:p>
    <w:p>
      <w:pPr>
        <w:pStyle w:val="BodyText"/>
        <w:spacing w:line="240" w:lineRule="auto" w:before="40" w:after="240"/>
        <w:ind w:firstLine="0"/>
        <w:jc w:val="both"/>
      </w:pPr>
      <w:r>
        <w:rPr>
          <w:rFonts w:ascii="Arial" w:hAnsi="Arial"/>
          <w:sz w:val="22"/>
        </w:rPr>
        <w:t xml:space="preserve">Fonte: Resultados originais da pesquisa.</w:t>
      </w:r>
    </w:p>
    <w:p>
      <w:pPr>
        <w:pStyle w:val="BodyText"/>
      </w:pPr>
      <w:bookmarkStart w:id="80" w:name="subsec:interseccional"/>
      <w:bookmarkEnd w:id="80"/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Os modelos anteriores tratam raça e gênero de forma aditiva. Uma leitura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interseccional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pergunta se a desvantagem de ser negra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mulher é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soma das partes. Reespecificamos o GLMM de acesso com um fator de quatro grupos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</w:t>
      </w:r>
      <w:r>
        <w:rPr>
          <w:rStyle w:val="VerbatimChar"/>
          <w:rFonts w:ascii="Arial" w:hAnsi="Arial"/>
          <w:sz w:val="22"/>
        </w:rPr>
        <w:t xml:space="preserve">grupo_rg</w:t>
      </w:r>
      <w:r>
        <w:rPr>
          <w:rFonts w:ascii="Arial" w:hAnsi="Arial"/>
          <w:sz w:val="22"/>
        </w:rPr>
        <w:t xml:space="preserve">: homem branco [referência], mulher branca, homem negro, mulher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negra) e a interação</w:t>
      </w:r>
      <w:r>
        <w:rPr>
          <w:rFonts w:ascii="Arial" w:hAnsi="Arial"/>
          <w:sz w:val="22"/>
        </w:rPr>
        <w:t xml:space="preserve"> </w:t>
      </w:r>
      <w:r>
        <w:rPr>
          <w:rStyle w:val="VerbatimChar"/>
          <w:rFonts w:ascii="Arial" w:hAnsi="Arial"/>
          <w:sz w:val="22"/>
        </w:rPr>
        <w:t xml:space="preserve">negro</w:t>
      </w:r>
      <m:oMath>
        <m:r>
          <m:rPr>
            <m:sty m:val="p"/>
          </m:rPr>
          <m:t>×</m:t>
        </m:r>
      </m:oMath>
      <w:r>
        <w:rPr>
          <w:rStyle w:val="VerbatimChar"/>
          <w:rFonts w:ascii="Arial" w:hAnsi="Arial"/>
          <w:sz w:val="22"/>
        </w:rPr>
        <w:t xml:space="preserve">sexo_fem</w:t>
      </w:r>
      <w:r>
        <w:rPr>
          <w:rFonts w:ascii="Arial" w:hAnsi="Arial"/>
          <w:sz w:val="22"/>
        </w:rPr>
        <w:t xml:space="preserve">, em três desfechos: acesso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ocupação qualificada (CBO 1–4), renda no top 20% e no top 10%. A Tabela 12 traz a decomposição de Oaxaca–Blinder dos quatro grupos contra o homem branco, e a Figura 8, as razões de chance nos três desfechos.</w:t>
      </w:r>
    </w:p>
    <w:bookmarkStart w:id="84" w:name="fig:interseccional"/>
    <w:p>
      <w:pPr>
        <w:pStyle w:val="CaptionedFigure"/>
      </w:pPr>
      <w:r>
        <w:rPr>
          <w:rFonts w:ascii="Arial" w:hAnsi="Arial"/>
          <w:sz w:val="22"/>
        </w:rPr>
        <w:drawing>
          <wp:inline>
            <wp:extent cx="4717542" cy="3119503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outputs/figures/grupo_rg_interseccional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7542" cy="31195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line="240" w:lineRule="auto" w:before="240" w:after="40"/>
        <w:ind w:firstLine="0"/>
        <w:jc w:val="both"/>
      </w:pPr>
      <w:r>
        <w:rPr>
          <w:rFonts w:ascii="Arial" w:hAnsi="Arial"/>
          <w:sz w:val="22"/>
        </w:rPr>
        <w:t xml:space="preserve">Figura 8. A mulher negra entra na categoria, mas não chega ao topo: razões de chance dos quatro grupos raça</w:t>
      </w:r>
      <m:oMath>
        <m:r>
          <m:rPr>
            <m:sty m:val="p"/>
          </m:rPr>
          <m:t>×</m:t>
        </m:r>
      </m:oMath>
      <w:r>
        <w:rPr>
          <w:rFonts w:ascii="Arial" w:hAnsi="Arial"/>
          <w:sz w:val="22"/>
        </w:rPr>
        <w:t xml:space="preserve">gênero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vs.</w:t>
      </w:r>
      <w:r>
        <w:rPr>
          <w:rFonts w:ascii="Arial" w:hAnsi="Arial"/>
          <w:sz w:val="22"/>
        </w:rPr>
        <w:t xml:space="preserve"> homem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branco, em três desfechos. A mulher negra é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alçada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no acesso à categoria,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mas torna-se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mais excluída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no topo da renda.</w:t>
      </w:r>
    </w:p>
    <w:bookmarkEnd w:id="84"/>
    <w:p>
      <w:pPr>
        <w:pStyle w:val="BodyText"/>
        <w:spacing w:line="240" w:lineRule="auto" w:before="40" w:after="240"/>
        <w:ind w:firstLine="0"/>
        <w:jc w:val="both"/>
      </w:pPr>
      <w:r>
        <w:rPr>
          <w:rFonts w:ascii="Arial" w:hAnsi="Arial"/>
          <w:sz w:val="22"/>
        </w:rPr>
        <w:t xml:space="preserve">Fonte: Resultados originais da pesquisa</w:t>
      </w:r>
    </w:p>
    <w:p>
      <w:pPr>
        <w:pStyle w:val="BodyText"/>
        <w:spacing w:line="240" w:lineRule="auto" w:before="40" w:after="240"/>
        <w:ind w:firstLine="0"/>
        <w:jc w:val="both"/>
      </w:pPr>
      <w:r>
        <w:rPr>
          <w:rFonts w:ascii="Arial" w:hAnsi="Arial"/>
          <w:sz w:val="22"/>
        </w:rPr>
        <w:t xml:space="preserve">Nota: como ler a Figura 8: cada barra é um grupo raça</w:t>
      </w:r>
      <m:oMath>
        <m:r>
          <m:rPr>
            <m:sty m:val="p"/>
          </m:rPr>
          <m:t>×</m:t>
        </m:r>
      </m:oMath>
      <w:r>
        <w:rPr>
          <w:rFonts w:ascii="Arial" w:hAnsi="Arial"/>
          <w:sz w:val="22"/>
        </w:rPr>
        <w:t xml:space="preserve">gênero; a altura é o gap vs. o homem branco — a mulher negra acumula as duas penalidades.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O resultado revela uma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inversão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(Figura 8). No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acesso à categoria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qualificada, a mulher negra tem OR </w:t>
      </w:r>
      <m:oMath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33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—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acima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do homem branco —, porque o efeito de gênero é positivo nesse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desfecho (profissões credenciadas feminizadas, em CBO 1–4); o grupo mais penalizado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é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homem negro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(OR 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65</m:t>
        </m:r>
      </m:oMath>
      <w:r>
        <w:rPr>
          <w:rFonts w:ascii="Arial" w:hAnsi="Arial"/>
          <w:sz w:val="22"/>
        </w:rPr>
        <w:t xml:space="preserve">). No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topo da renda</w:t>
      </w:r>
      <w:r>
        <w:rPr>
          <w:rFonts w:ascii="Arial" w:hAnsi="Arial"/>
          <w:sz w:val="22"/>
        </w:rPr>
        <w:t xml:space="preserve">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porém, o quadro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inverte</w:t>
      </w:r>
      <w:r>
        <w:rPr>
          <w:rFonts w:ascii="Arial" w:hAnsi="Arial"/>
          <w:sz w:val="22"/>
        </w:rPr>
        <w:t xml:space="preserve">: a mulher negra passa a ser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mais excluída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 todos — OR 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34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no decil superior, abaixo da mulher branca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49</m:t>
        </m:r>
      </m:oMath>
      <w:r>
        <w:rPr>
          <w:rFonts w:ascii="Arial" w:hAnsi="Arial"/>
          <w:sz w:val="22"/>
        </w:rPr>
        <w:t xml:space="preserve">) e do homem negro (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65</m:t>
        </m:r>
      </m:oMath>
      <w:r>
        <w:rPr>
          <w:rFonts w:ascii="Arial" w:hAnsi="Arial"/>
          <w:sz w:val="22"/>
        </w:rPr>
        <w:t xml:space="preserve">).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interação</w:t>
      </w:r>
      <w:r>
        <w:rPr>
          <w:rFonts w:ascii="Arial" w:hAnsi="Arial"/>
          <w:sz w:val="22"/>
        </w:rPr>
        <w:t xml:space="preserve"> </w:t>
      </w:r>
      <w:r>
        <w:rPr>
          <w:rStyle w:val="VerbatimChar"/>
          <w:rFonts w:ascii="Arial" w:hAnsi="Arial"/>
          <w:sz w:val="22"/>
        </w:rPr>
        <w:t xml:space="preserve">negro</w:t>
      </w:r>
      <m:oMath>
        <m:r>
          <m:rPr>
            <m:sty m:val="p"/>
          </m:rPr>
          <m:t>×</m:t>
        </m:r>
      </m:oMath>
      <w:r>
        <w:rPr>
          <w:rStyle w:val="VerbatimChar"/>
          <w:rFonts w:ascii="Arial" w:hAnsi="Arial"/>
          <w:sz w:val="22"/>
        </w:rPr>
        <w:t xml:space="preserve">sexo_fem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é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sub-aditiva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em todos os desfechos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(OR </w:t>
      </w:r>
      <m:oMath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14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no acesso;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07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no top 10%):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 penalidade racial é ligeiramente menor entre mulheres, mas isso não impede que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mulher negra acumule a barreira racial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 teto de vidro de gênero exatamente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onde mais importa para a ascensão — o topo da distribuição.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Esse achado refina a tese central: o teto de vidro não é racial nem sexualmente neutro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— recai com força máxima sobre a mulher negra, que pode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entrar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em ocupações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qualificadas, mas é sistematicamente barrada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chegar ao topo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da remuneração.</w:t>
      </w:r>
    </w:p>
    <w:bookmarkEnd w:id="85"/>
    <w:bookmarkStart w:id="87" w:name="subsec:vif"/>
    <w:p>
      <w:pPr>
        <w:pStyle w:val="Ttulo2"/>
        <w:spacing w:line="240" w:lineRule="auto" w:before="240" w:after="120"/>
        <w:ind w:firstLine="0"/>
        <w:jc w:val="left"/>
      </w:pPr>
      <w:r>
        <w:rPr>
          <w:rFonts w:ascii="Arial" w:hAnsi="Arial"/>
          <w:sz w:val="22"/>
        </w:rPr>
        <w:t xml:space="preserve">Multicolinearidade do Modelo M4: Análise VIF</w:t>
      </w:r>
    </w:p>
    <w:p>
      <w:pPr>
        <w:pStyle w:val="FirstParagraph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Para verificar se a inclusão simultânea dos 9 dummies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CBO e das variáveis de vínculo empregatício (</w:t>
      </w:r>
      <w:r>
        <w:rPr>
          <w:rStyle w:val="VerbatimChar"/>
          <w:rFonts w:ascii="Arial" w:hAnsi="Arial"/>
          <w:sz w:val="22"/>
        </w:rPr>
        <w:t xml:space="preserve">emprego_formal</w:t>
      </w:r>
      <w:r>
        <w:rPr>
          <w:rFonts w:ascii="Arial" w:hAnsi="Arial"/>
          <w:sz w:val="22"/>
        </w:rPr>
        <w:t xml:space="preserve">,</w:t>
      </w:r>
      <w:r>
        <w:rPr>
          <w:rFonts w:ascii="Arial" w:hAnsi="Arial"/>
          <w:sz w:val="22"/>
        </w:rPr>
        <w:t xml:space="preserve"> </w:t>
      </w:r>
      <w:r>
        <w:rPr>
          <w:rStyle w:val="VerbatimChar"/>
          <w:rFonts w:ascii="Arial" w:hAnsi="Arial"/>
          <w:sz w:val="22"/>
        </w:rPr>
        <w:t xml:space="preserve">conta_propria</w:t>
      </w:r>
      <w:r>
        <w:rPr>
          <w:rFonts w:ascii="Arial" w:hAnsi="Arial"/>
          <w:sz w:val="22"/>
        </w:rPr>
        <w:t xml:space="preserve">,</w:t>
      </w:r>
      <w:r>
        <w:rPr>
          <w:rFonts w:ascii="Arial" w:hAnsi="Arial"/>
          <w:sz w:val="22"/>
        </w:rPr>
        <w:t xml:space="preserve"> </w:t>
      </w:r>
      <w:r>
        <w:rPr>
          <w:rStyle w:val="VerbatimChar"/>
          <w:rFonts w:ascii="Arial" w:hAnsi="Arial"/>
          <w:sz w:val="22"/>
        </w:rPr>
        <w:t xml:space="preserve">trab_domestico</w:t>
      </w:r>
      <w:r>
        <w:rPr>
          <w:rFonts w:ascii="Arial" w:hAnsi="Arial"/>
          <w:sz w:val="22"/>
        </w:rPr>
        <w:t xml:space="preserve">) introduz colinearidade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problemática no Modelo M4, calculou-se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Variance Inflation Factor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(VIF)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sobre subsample de 200.000 observações da PEA com renda positiva.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Dos</w:t>
      </w:r>
      <w:r>
        <w:rPr>
          <w:rFonts w:ascii="Arial" w:hAnsi="Arial"/>
          <w:sz w:val="22"/>
        </w:rPr>
        <w:t xml:space="preserve"> </w:t>
      </w:r>
      <m:oMath>
        <m:r>
          <m:t>24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preditores analisados, VIF máximo </w:t>
      </w:r>
      <m:oMath>
        <m:r>
          <m:rPr>
            <m:sty m:val="p"/>
          </m:rPr>
          <m:t>=</m:t>
        </m:r>
        <m:r>
          <m:t>22</m:t>
        </m:r>
        <m:r>
          <m:rPr>
            <m:sty m:val="p"/>
          </m:rPr>
          <m:t>,</m:t>
        </m:r>
        <m:r>
          <m:t>25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(Educ.: não registrada); 2 variável crítica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(VIF </w:t>
      </w:r>
      <m:oMath>
        <m:r>
          <m:rPr>
            <m:sty m:val="p"/>
          </m:rPr>
          <m:t>&gt;</m:t>
        </m:r>
        <m:r>
          <m:t>10</m:t>
        </m:r>
      </m:oMath>
      <w:r>
        <w:rPr>
          <w:rFonts w:ascii="Arial" w:hAnsi="Arial"/>
          <w:sz w:val="22"/>
        </w:rPr>
        <w:t xml:space="preserve">); 1 variável alta (</w:t>
      </w:r>
      <m:oMath>
        <m:r>
          <m:t>5</m:t>
        </m:r>
      </m:oMath>
      <w:r>
        <w:rPr>
          <w:rFonts w:ascii="Arial" w:hAnsi="Arial"/>
          <w:sz w:val="22"/>
        </w:rPr>
        <w:t xml:space="preserve">–</w:t>
      </w:r>
      <m:oMath>
        <m:r>
          <m:t>10</m:t>
        </m:r>
      </m:oMath>
      <w:r>
        <w:rPr>
          <w:rFonts w:ascii="Arial" w:hAnsi="Arial"/>
          <w:sz w:val="22"/>
        </w:rPr>
        <w:t xml:space="preserve">);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1 variável moderada (</w:t>
      </w:r>
      <m:oMath>
        <m:r>
          <m:t>2</m:t>
        </m:r>
      </m:oMath>
      <w:r>
        <w:rPr>
          <w:rFonts w:ascii="Arial" w:hAnsi="Arial"/>
          <w:sz w:val="22"/>
        </w:rPr>
        <w:t xml:space="preserve">–</w:t>
      </w:r>
      <m:oMath>
        <m:r>
          <m:t>5</m:t>
        </m:r>
      </m:oMath>
      <w:r>
        <w:rPr>
          <w:rFonts w:ascii="Arial" w:hAnsi="Arial"/>
          <w:sz w:val="22"/>
        </w:rPr>
        <w:t xml:space="preserve">);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20 variáveis baixas (</w:t>
      </w:r>
      <m:oMath>
        <m:r>
          <m:rPr>
            <m:sty m:val="p"/>
          </m:rPr>
          <m:t>&lt;</m:t>
        </m:r>
        <m:r>
          <m:t>2</m:t>
        </m:r>
      </m:oMath>
      <w:r>
        <w:rPr>
          <w:rFonts w:ascii="Arial" w:hAnsi="Arial"/>
          <w:sz w:val="22"/>
        </w:rPr>
        <w:t xml:space="preserve">).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Os dois VIF acima de 10 são</w:t>
      </w:r>
      <w:r>
        <w:rPr>
          <w:rFonts w:ascii="Arial" w:hAnsi="Arial"/>
          <w:sz w:val="22"/>
        </w:rPr>
        <w:t xml:space="preserve"> </w:t>
      </w:r>
      <w:r>
        <w:rPr>
          <w:rStyle w:val="VerbatimChar"/>
          <w:rFonts w:ascii="Arial" w:hAnsi="Arial"/>
          <w:sz w:val="22"/>
        </w:rPr>
        <w:t xml:space="preserve">educ_missing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(22,25) e</w:t>
      </w:r>
      <w:r>
        <w:rPr>
          <w:rFonts w:ascii="Arial" w:hAnsi="Arial"/>
          <w:sz w:val="22"/>
        </w:rPr>
        <w:t xml:space="preserve"> </w:t>
      </w:r>
      <w:r>
        <w:rPr>
          <w:rStyle w:val="VerbatimChar"/>
          <w:rFonts w:ascii="Arial" w:hAnsi="Arial"/>
          <w:sz w:val="22"/>
        </w:rPr>
        <w:t xml:space="preserve">educ_superior_completo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(19,45) — colinearidade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por construção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dentro do bloco educacional, já que o indicador de escolaridade não registrada é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quase o complemento das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dummies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 conclusão (Fávero &amp; Belfiore,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cap. 12). Ela infla o erro-padrão dos retornos educacionais, que por isso são lidos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com cautela, mas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não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contamina o coeficiente de interesse: o VIF de</w:t>
      </w:r>
      <w:r>
        <w:rPr>
          <w:rFonts w:ascii="Arial" w:hAnsi="Arial"/>
          <w:sz w:val="22"/>
        </w:rPr>
        <w:t xml:space="preserve"> </w:t>
      </w:r>
      <w:r>
        <w:rPr>
          <w:rStyle w:val="VerbatimChar"/>
          <w:rFonts w:ascii="Arial" w:hAnsi="Arial"/>
          <w:sz w:val="22"/>
        </w:rPr>
        <w:t xml:space="preserve">negro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é 1,37 e o das variáveis de contexto da UPA fica abaixo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1,8. Entre 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dummies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 CBO e as variáveis de vínculo —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colinearidade que se temia no M4 — o VIF máximo é 2,09. A especificação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do M4 dispensa, portanto, ortogonalização ou eliminação de preditores; o que ela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não dispensa é a ressalva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bad control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(ver a seção Modelos Hierárquicos Lineares).</w:t>
      </w:r>
    </w:p>
    <w:p>
      <w:pPr>
        <w:pStyle w:val="BodyText"/>
      </w:pPr>
      <w:bookmarkStart w:id="86" w:name="sec:discussao"/>
      <w:bookmarkEnd w:id="86"/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Nota terminológica.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Três conceitos próximos, mas distintos, percorrem este trabalho e não devem ser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confundidos.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Mediação contextual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(HLM) é a fração do gap bruto que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desaparece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ao se controlar o local de moradia (UPA/UF) — mede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quanto da penalidade racial transita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pelo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território.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Efeito dotação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(Oaxaca–Blinder) é a parcela do gap atribuível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diferenças nas características observáveis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entre brancos e negros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(escolaridade, ocupação, contexto), por oposição ao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efeito retornos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(preços diferenciais pagos às mesmas características).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Gap líquido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é o diferencial que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persiste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após o controle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capital humano e contexto (M3): 10,2%.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Gap residual pós-ocupação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é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que resta ao se controlar também ocupação e formalidade (M4): 7,0% — um limite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inferior, pois a ocupação é ela própria resultado da barreira de acesso. Em suma: a mediação contextual responde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“por onde passa o gap”</w:t>
      </w:r>
      <w:r>
        <w:rPr>
          <w:rFonts w:ascii="Arial" w:hAnsi="Arial"/>
          <w:sz w:val="22"/>
        </w:rPr>
        <w:t xml:space="preserve">; a decomposição de dotações,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“de que ele é feito”</w:t>
      </w:r>
      <w:r>
        <w:rPr>
          <w:rFonts w:ascii="Arial" w:hAnsi="Arial"/>
          <w:sz w:val="22"/>
        </w:rPr>
        <w:t xml:space="preserve">; e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gap líquido,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“o que sobra sem explicação”</w:t>
      </w:r>
      <w:r>
        <w:rPr>
          <w:rFonts w:ascii="Arial" w:hAnsi="Arial"/>
          <w:sz w:val="22"/>
        </w:rPr>
        <w:t xml:space="preserve">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Da diagnose às políticas.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 diagnóstico das duas barreiras revela gargalos simultâneos — exclusão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acesso às ocupações qualificadas e penalidade salarial que persiste dentro delas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— que se reforçam mutuamente. A consequência para o desenho de políticas é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direta: nenhuma intervenção unidimensional (só cotas de acesso, só fiscalização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salarial, só escolaridade) atinge as duas barreiras ao mesmo tempo; a magnitude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relativa de cada uma, estimada aqui, é o insumo para priorizá-las.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O que este trabalho acrescenta ao debate.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Hasenbalg (1979)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identificou a discriminação racial como estrutural,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sem poder quantificar mecanismos em escala nacional.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Henriques (2001)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documentou o gap educacional racial, mas não separou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 efeito educacional do de redes e contexto.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Soares (2009)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estimou, com dados de 2006, que cerca de 50% do gap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salarial seria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“inexplicado”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— interpretado como discriminação direta.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Este trabalho, com dados de 2016–2025 e metodologias não disponíveis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 Soares, decompõe essa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caixa preta</w:t>
      </w:r>
      <w:r>
        <w:rPr>
          <w:rFonts w:ascii="Arial" w:hAnsi="Arial"/>
          <w:sz w:val="22"/>
        </w:rPr>
        <w:t xml:space="preserve">. Na especificação comparável à dele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(capital humano e contexto, sem ocupação), 28,4% do gap bruto são retornos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diferenciais — limite inferior da discriminação direta — e 71,6% são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diferenças de dotações; quando a ocupação é tratada como dotação, o não explicado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cai para 16,2%, e 83,8% passam a ser dotações — mas essas dotações são, elas mesmas,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produto da barreira de acesso às ocupações qualificadas (GLMM), que este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trabalho quantifica em conjunto com a penalidade salarial.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 contribuição central não é mostrar que o gap existe — isso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literatura já sabia desde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Hasenbalg (1979)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—,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mas demonstrar que ele é sustentado por um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sistema combinado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em que discriminação de acesso, segregação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residencial e penalidade salarial se reforçam mutuamente, tornando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insuficientes políticas focadas em um único mecanismo.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Diálogo com o quadro macro recente do IBGE.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Os resultados convergem com o retrato macroestrutural mais recente. A melhora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multidimensional captada pela POF não eliminou o gap racial de qualidade de vida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(0</w:t>
      </w:r>
      <w:r>
        <w:rPr>
          <w:rFonts w:ascii="Arial" w:hAnsi="Arial"/>
          <w:sz w:val="22"/>
        </w:rPr>
        <w:t xml:space="preserve">,</w:t>
      </w:r>
      <w:r>
        <w:rPr>
          <w:rFonts w:ascii="Arial" w:hAnsi="Arial"/>
          <w:sz w:val="22"/>
        </w:rPr>
        <w:t xml:space="preserve">183 para chefes pretos/pardos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vs.</w:t>
      </w:r>
      <w:r>
        <w:rPr>
          <w:rFonts w:ascii="Arial" w:hAnsi="Arial"/>
          <w:sz w:val="22"/>
        </w:rPr>
        <w:t xml:space="preserve"> 0</w:t>
      </w:r>
      <w:r>
        <w:rPr>
          <w:rFonts w:ascii="Arial" w:hAnsi="Arial"/>
          <w:sz w:val="22"/>
        </w:rPr>
        <w:t xml:space="preserve">,</w:t>
      </w:r>
      <w:r>
        <w:rPr>
          <w:rFonts w:ascii="Arial" w:hAnsi="Arial"/>
          <w:sz w:val="22"/>
        </w:rPr>
        <w:t xml:space="preserve">122 para brancos), e a renda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voltou a concentrar-se no topo em 2025 (Gini do rendimento domiciliar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per capita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 0</w:t>
      </w:r>
      <w:r>
        <w:rPr>
          <w:rFonts w:ascii="Arial" w:hAnsi="Arial"/>
          <w:sz w:val="22"/>
        </w:rPr>
        <w:t xml:space="preserve">,</w:t>
      </w:r>
      <w:r>
        <w:rPr>
          <w:rFonts w:ascii="Arial" w:hAnsi="Arial"/>
          <w:sz w:val="22"/>
        </w:rPr>
        <w:t xml:space="preserve">491) </w:t>
      </w:r>
      <w:r>
        <w:rPr>
          <w:rFonts w:ascii="Arial" w:hAnsi="Arial"/>
          <w:sz w:val="22"/>
        </w:rPr>
        <w:t xml:space="preserve">(IBGE, 2019, 2025)</w:t>
      </w:r>
      <w:r>
        <w:rPr>
          <w:rFonts w:ascii="Arial" w:hAnsi="Arial"/>
          <w:sz w:val="22"/>
        </w:rPr>
        <w:t xml:space="preserve">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Cabe uma ressalva metodológica: o Gini estimado neste trabalho refere-se ao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rendimento do trabalho entre ocupados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(em torno de 0</w:t>
      </w:r>
      <w:r>
        <w:rPr>
          <w:rFonts w:ascii="Arial" w:hAnsi="Arial"/>
          <w:sz w:val="22"/>
        </w:rPr>
        <w:t xml:space="preserve">,</w:t>
      </w:r>
      <w:r>
        <w:rPr>
          <w:rFonts w:ascii="Arial" w:hAnsi="Arial"/>
          <w:sz w:val="22"/>
        </w:rPr>
        <w:t xml:space="preserve">48), conceito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distinto do Gini domiciliar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per capita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 todas as fontes do IBGE —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níveis próximos, mas medidas diferentes que podem divergir em tendência, pois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alta de 2025 é puxada por renda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não</w:t>
      </w:r>
      <w:r>
        <w:rPr>
          <w:rFonts w:ascii="Arial" w:hAnsi="Arial"/>
          <w:sz w:val="22"/>
        </w:rPr>
        <w:t xml:space="preserve">-trabalho do topo, que não transita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pelo rendimento dos ocupados. Nesse mesmo conceito, a desigualdade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interna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é maior entre brancos (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485</m:t>
        </m:r>
      </m:oMath>
      <w:r>
        <w:rPr>
          <w:rFonts w:ascii="Arial" w:hAnsi="Arial"/>
          <w:sz w:val="22"/>
        </w:rPr>
        <w:t xml:space="preserve">) do que entre negros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449</m:t>
        </m:r>
      </m:oMath>
      <w:r>
        <w:rPr>
          <w:rFonts w:ascii="Arial" w:hAnsi="Arial"/>
          <w:sz w:val="22"/>
        </w:rPr>
        <w:t xml:space="preserve">) — não por equidade, mas por confinamento dos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negros ao piso da distribuição, o reverso distribucional do teto de vidro.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 contraste territorial reforça a tese: o Distrito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Federal, de maior renda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per capita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do país, é também a UF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maior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penalidade racial salarial em nossos modelos regionais — riqueza média elevada 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desigualdade racial aguda coexistem no mesmo território.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Triangulação com o Índice de Progresso Social (IPS).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 IPS municipal (Imazon e parceiros, 2026) — que avalia a qualidade de vida dos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5.570 municípios brasileiros a partir de 57 indicadores sociais e ambientais —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oferece corroboração externa e multidimensional do eixo territorial desta tese.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Uma integração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fina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com o nosso proxy de bairro (UPA) é, contudo,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inviável: o painel público da PNAD não divulga o município (apenas UF e a situação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capital/RM/interior), e o IPS é municipal — portanto mais agregado que a UPA, que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é sub-municipal. O IPS, assim, não valida o achado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bairro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(situa-se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acima dele na escala), mas ecoa o gradiente macro: as regiões de menor progresso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social (Norte e Nordeste) coincidem com as de maior penalidade racial em nossos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modelos. Empregamo-lo, portanto, como evidência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convergente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do caráter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territorial da desigualdade — não como fonte de dados integrada, e ressalvando que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 IPS mede progresso social geral, não desigualdade racial.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A segregação residencial como multiplicador da desigualdade.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 achado mais robusto desta análise é que 47,0% do gap salarial racial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condicional a capital humano é mediado pelo bairro de moradia — muito além do que modelos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cross-sectionais típicos, que ignoram a estrutura aninhada dos dados,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seriam capazes de estimar. O coeficiente contextual</w:t>
      </w:r>
      <w:r>
        <w:rPr>
          <w:rFonts w:ascii="Arial" w:hAnsi="Arial"/>
          <w:sz w:val="22"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γ</m:t>
                </m:r>
              </m:e>
            </m:acc>
          </m:e>
          <m:sub>
            <m:r>
              <m:t>01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2189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por desvio-padrão da proporção de negros na UPA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indica que a penalidade de viver em bairro segregado é da mesma ordem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 grandeza da própria penalidade individual de ser negro — e que 36,9%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da variância do rendimento está entre bairros, não entre pessoas.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Isso sugere que políticas de redistribuição de renda que não enfrentem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 segregação residencial terão eficácia limitada sobre o gap racial.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Subvalorização do capital humano negro.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 decomposição de Oaxaca–Blinder atribui 28,4% do gap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retornos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diferenciais — as mesmas características de capital humano e contexto rendem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menos a trabalhadores negros — e ainda 16,2% quando a própria posição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ocupacional é descontada; a decomposição RIF mostra que essa parcela chega a 35%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na base da distribuição. O GLMM acrescenta que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credencial educacional não neutraliza a barreira de acesso (OR de</w:t>
      </w:r>
      <w:r>
        <w:rPr>
          <w:rFonts w:ascii="Arial" w:hAnsi="Arial"/>
          <w:sz w:val="22"/>
        </w:rPr>
        <w:t xml:space="preserve"> </w:t>
      </w:r>
      <w:r>
        <w:rPr>
          <w:rStyle w:val="VerbatimChar"/>
          <w:rFonts w:ascii="Arial" w:hAnsi="Arial"/>
          <w:sz w:val="22"/>
        </w:rPr>
        <w:t xml:space="preserve">negro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próximo de 0,7 mesmo entre os mais escolarizados). Juntas, essas evidências indicam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um duplo obstáculo ao retorno educacional: além da penalidade direta mensurada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pelo HLM, o acesso desigual às ocupações que convertem credenciais em renda.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Granovetter (1973)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oferece o mecanismo plausível — redes de indicação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que não cruzam fronteiras sociais —, hipótese que este trabalho não testa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diretamente e que fica como agenda.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Persistência da discriminação direta.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 gap líquido de 10,2%, estimado após controlar por todos os vetores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 transmissão contextual, representa um piso para a discriminação direta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não explicada por diferenças observáveis. Os valores SHAP reforçam essa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interpretação: a variável racial mantém o 11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lugar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na importância preditiva do XGBoost mesmo quando o modelo tem acesso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completo às variáveis educacionais, demográficas e contextuais.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Essa evidência é consistente com os experimentos de auditoria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Pager (2007)</w:t>
      </w:r>
      <w:r>
        <w:rPr>
          <w:rFonts w:ascii="Arial" w:hAnsi="Arial"/>
          <w:sz w:val="22"/>
        </w:rPr>
        <w:t xml:space="preserve">, que demonstram experimentalmente a discriminação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racial em processos seletivos.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Lenta convergência racial.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 redução de apenas 2,4%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do gap em dez anos — equivalente a 0,001 ponto de log-rendimento por ano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</w:t>
      </w:r>
      <m:oMath>
        <m:r>
          <m:t>δ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000847</m:t>
        </m:r>
      </m:oMath>
      <w:r>
        <w:rPr>
          <w:rFonts w:ascii="Arial" w:hAnsi="Arial"/>
          <w:sz w:val="22"/>
        </w:rPr>
        <w:t xml:space="preserve">,</w:t>
      </w:r>
      <w:r>
        <w:rPr>
          <w:rFonts w:ascii="Arial" w:hAnsi="Arial"/>
          <w:sz w:val="22"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077</m:t>
        </m:r>
      </m:oMath>
      <w:r>
        <w:rPr>
          <w:rFonts w:ascii="Arial" w:hAnsi="Arial"/>
          <w:sz w:val="22"/>
        </w:rPr>
        <w:t xml:space="preserve">, WLS 2016–2025)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— sugere que, ao ritmo atual, a convergência racial levaria mais de um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século para eliminar o diferencial observado em 2016.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Essa constatação não trivializa avanços recentes em políticas de cotas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 acesso ao ensino superior, mas evidencia que reformas no campo 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educação, sem intervenção simultânea nos mecanismos de segregação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residencial e de acesso às redes profissionais, são insuficientes.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Ancoragem em políticas públicas existentes.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As barreiras estimadas não são abstrações: cada uma corresponde a um instrumento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jurídico-institucional já existente no Brasil, cuja intensificação ou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aperfeiçoamento os resultados sugerem.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barreira de acesso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(GLMM, OR 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699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para CBO 1–4 no modelo com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contexto) dialoga diretamente com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Lei 12.990/2014</w:t>
      </w:r>
      <w:r>
        <w:rPr>
          <w:rFonts w:ascii="Arial" w:hAnsi="Arial"/>
          <w:sz w:val="22"/>
        </w:rPr>
        <w:t xml:space="preserve">, que reserva 20% das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vagas em concursos públicos federais a candidatos negros, e cujo escopo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diagnóstico sugere ampliar para níveis hierárquicos superiores — onde o teto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vidro é mais severo (OR(top 10%) 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654</m:t>
        </m:r>
      </m:oMath>
      <w:r>
        <w:rPr>
          <w:rFonts w:ascii="Arial" w:hAnsi="Arial"/>
          <w:sz w:val="22"/>
        </w:rPr>
        <w:t xml:space="preserve">).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qualificação e o acesso ao ensino superior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correspondem ao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Prouni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 ao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Fies</w:t>
      </w:r>
      <w:r>
        <w:rPr>
          <w:rFonts w:ascii="Arial" w:hAnsi="Arial"/>
          <w:sz w:val="22"/>
        </w:rPr>
        <w:t xml:space="preserve">, bem como ao legado do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PRONATEC</w:t>
      </w:r>
      <w:r>
        <w:rPr>
          <w:rFonts w:ascii="Arial" w:hAnsi="Arial"/>
          <w:sz w:val="22"/>
        </w:rPr>
        <w:t xml:space="preserve">;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achado de que as mesmas credenciais rendem menos a trabalhadores negros (efeito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retornos da decomposição de Oaxaca–Blinder) indica que tais programas precisam ser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combinados a mecanismos de inserção ocupacional, sob pena de retorno marginal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decrescente.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combate à discriminação direta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encontra base na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Lei 9.029/1995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(que proíbe práticas discriminatórias na relação de trabalho) e no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Estatuto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da Igualdade Racial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</w:t>
      </w:r>
      <w:r>
        <w:rPr>
          <w:rFonts w:ascii="Arial" w:hAnsi="Arial"/>
          <w:sz w:val="22"/>
        </w:rPr>
        <w:t xml:space="preserve">Lei 12.288/2010</w:t>
      </w:r>
      <w:r>
        <w:rPr>
          <w:rFonts w:ascii="Arial" w:hAnsi="Arial"/>
          <w:sz w:val="22"/>
        </w:rPr>
        <w:t xml:space="preserve">), cuja fiscalização o gap líquido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10,2% — e a penalidade de 7,0% que persiste dentro da mesma ocupação —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justifica reforçar.</w:t>
      </w:r>
    </w:p>
    <w:bookmarkEnd w:id="87"/>
    <w:bookmarkStart w:id="88" w:name="limitações-e-escopo-de-validade"/>
    <w:p>
      <w:pPr>
        <w:pStyle w:val="Ttulo2"/>
        <w:spacing w:line="240" w:lineRule="auto" w:before="240" w:after="120"/>
        <w:ind w:firstLine="0"/>
        <w:jc w:val="left"/>
      </w:pPr>
      <w:r>
        <w:rPr>
          <w:rFonts w:ascii="Arial" w:hAnsi="Arial"/>
          <w:sz w:val="22"/>
        </w:rPr>
        <w:t xml:space="preserve">Limitações e escopo de validade</w:t>
      </w:r>
    </w:p>
    <w:p>
      <w:pPr>
        <w:pStyle w:val="FirstParagraph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Natureza inferencial</w:t>
      </w:r>
      <w:r>
        <w:rPr>
          <w:rFonts w:ascii="Arial" w:hAnsi="Arial"/>
          <w:b/>
          <w:bCs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vs.</w:t>
      </w:r>
      <w:r>
        <w:rPr>
          <w:rFonts w:ascii="Arial" w:hAnsi="Arial"/>
          <w:b/>
          <w:bCs/>
          <w:sz w:val="22"/>
        </w:rPr>
        <w:t xml:space="preserve"> preditiva dos modelos.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Os resultados devem ser lidos sob dois regimes epistemológicos distintos.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Os modelos HLM, a decomposição de Oaxaca–Blinder, a regressão quantílica 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 modelo logístico de acesso produzem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estimativas de associação condicional</w:t>
      </w:r>
      <w:r>
        <w:rPr>
          <w:rFonts w:ascii="Arial" w:hAnsi="Arial"/>
          <w:sz w:val="22"/>
        </w:rPr>
        <w:t xml:space="preserve">: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medem o diferencial racial que persiste após o controle de covariáveis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observáveis, sob o pressuposto de seleção em observáveis. Não constituem, por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si sós, prova de causalidade no sentido contrafactual, pois não derivam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desenho experimental ou quase-experimental. Já o XGBoost e os valores SHAP têm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finalidade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preditiva e interpretativa</w:t>
      </w:r>
      <w:r>
        <w:rPr>
          <w:rFonts w:ascii="Arial" w:hAnsi="Arial"/>
          <w:sz w:val="22"/>
        </w:rPr>
        <w:t xml:space="preserve">: quantificam a contribuição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cada variável para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previsão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do rendimento — não o efeito causal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 manipulá-la. A convergência entre os dois regimes (a raça permanece preditora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 primeira ordem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mantém coeficiente negativo significante sob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controle exaustivo) é o que confere robustez ao diagnóstico; ainda assim,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linguagem causal foi deliberadamente evitada.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Cobertura da variável de escolaridade.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 escolaridade detalhada (</w:t>
      </w:r>
      <w:r>
        <w:rPr>
          <w:rStyle w:val="VerbatimChar"/>
          <w:rFonts w:ascii="Arial" w:hAnsi="Arial"/>
          <w:sz w:val="22"/>
        </w:rPr>
        <w:t xml:space="preserve">educ_cat</w:t>
      </w:r>
      <w:r>
        <w:rPr>
          <w:rFonts w:ascii="Arial" w:hAnsi="Arial"/>
          <w:sz w:val="22"/>
        </w:rPr>
        <w:t xml:space="preserve">) está registrada para cerca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31% da PEA no painel público utilizado. Para preservar o</w:t>
      </w:r>
      <w:r>
        <w:rPr>
          <w:rFonts w:ascii="Arial" w:hAnsi="Arial"/>
          <w:sz w:val="22"/>
        </w:rPr>
        <w:t xml:space="preserve"> </w:t>
      </w:r>
      <m:oMath>
        <m:r>
          <m:t>N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completo, 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níveis de instrução entram como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dummies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 conclusão acompanhadas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um indicador explícito de não-registro (</w:t>
      </w:r>
      <w:r>
        <w:rPr>
          <w:rStyle w:val="VerbatimChar"/>
          <w:rFonts w:ascii="Arial" w:hAnsi="Arial"/>
          <w:sz w:val="22"/>
        </w:rPr>
        <w:t xml:space="preserve">educ_missing</w:t>
      </w:r>
      <w:r>
        <w:rPr>
          <w:rFonts w:ascii="Arial" w:hAnsi="Arial"/>
          <w:sz w:val="22"/>
        </w:rPr>
        <w:t xml:space="preserve">), de modo que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categoria de referência não confunda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“baixa escolaridade”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“dado ausente”</w:t>
      </w:r>
      <w:r>
        <w:rPr>
          <w:rFonts w:ascii="Arial" w:hAnsi="Arial"/>
          <w:sz w:val="22"/>
        </w:rPr>
        <w:t xml:space="preserve">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Testes de sensibilidade mostram que o coeficiente racial é estável a essa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especificação (variação inferior a 1%); ainda assim, os retornos educacionais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devem ser interpretados com a cautela própria de uma variável parcialmente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observada.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Condicionar em quem tem renda positiva.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Todos os modelos de rendimento são estimados entre ocupados com renda positiva. Isso é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condicionar no desfecho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</w:t>
      </w:r>
      <w:r>
        <w:rPr>
          <w:rFonts w:ascii="Arial" w:hAnsi="Arial"/>
          <w:sz w:val="22"/>
        </w:rPr>
        <w:t xml:space="preserve">Angrist; Pischke (2009)</w:t>
      </w:r>
      <w:r>
        <w:rPr>
          <w:rFonts w:ascii="Arial" w:hAnsi="Arial"/>
          <w:sz w:val="22"/>
        </w:rPr>
        <w:t xml:space="preserve">, cap. 3): se a discriminação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também reduz a probabilidade de estar ocupado, o gap salarial condicional mistura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efeito sobre o salário com a seleção de quem permanece na amostra. A direção provável do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viés é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subestimação</w:t>
      </w:r>
      <w:r>
        <w:rPr>
          <w:rFonts w:ascii="Arial" w:hAnsi="Arial"/>
          <w:sz w:val="22"/>
        </w:rPr>
        <w:t xml:space="preserve">: se os trabalhadores negros que conseguem se manter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ocupados são positivamente selecionados em atributos não observados, o gap entre 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observados é menor que o gap potencial na população. O modelo logístico de acesso trata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diretamente a outra metade do problema — a probabilidade de chegar à ocupação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qualificada — e a correção de Heckman, estimada na versão estendida deste trabalho,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indicou seleção não nula (</w:t>
      </w:r>
      <m:oMath>
        <m:acc>
          <m:accPr>
            <m:chr m:val="̂"/>
          </m:accPr>
          <m:e>
            <m:r>
              <m:t>λ</m:t>
            </m:r>
          </m:e>
        </m:acc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significativo), com o coeficiente racial estável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em sinal e ordem de grandeza. A leitura correta é, portanto: o gap líquido aqui reportado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é o gap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entre ocupados</w:t>
      </w:r>
      <w:r>
        <w:rPr>
          <w:rFonts w:ascii="Arial" w:hAnsi="Arial"/>
          <w:sz w:val="22"/>
        </w:rPr>
        <w:t xml:space="preserve">, não o gap potencial de toda a população em idade ativa.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As hipóteses, uma a uma, e o que acontece se falharem.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Seguindo a recomendação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“ser o próprio cético”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</w:t>
      </w:r>
      <w:r>
        <w:rPr>
          <w:rFonts w:ascii="Arial" w:hAnsi="Arial"/>
          <w:sz w:val="22"/>
        </w:rPr>
        <w:t xml:space="preserve">Angrist; Pischke (2009)</w:t>
      </w:r>
      <w:r>
        <w:rPr>
          <w:rFonts w:ascii="Arial" w:hAnsi="Arial"/>
          <w:sz w:val="22"/>
        </w:rPr>
        <w:t xml:space="preserve">, cap. 8):</w:t>
      </w:r>
    </w:p>
    <w:p>
      <w:pPr>
        <w:numPr>
          <w:ilvl w:val="0"/>
          <w:numId w:val="1001"/>
        </w:numPr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Seleção em observáveis (CIA).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 gap líquido só é o efeito do tratamento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diferencial se, condicional a</w:t>
      </w:r>
      <w:r>
        <w:rPr>
          <w:rFonts w:ascii="Arial" w:hAnsi="Arial"/>
          <w:sz w:val="22"/>
        </w:rPr>
        <w:t xml:space="preserve"> </w:t>
      </w:r>
      <m:oMath>
        <m:r>
          <m:t>X</m:t>
        </m:r>
      </m:oMath>
      <w:r>
        <w:rPr>
          <w:rFonts w:ascii="Arial" w:hAnsi="Arial"/>
          <w:sz w:val="22"/>
        </w:rPr>
        <w:t xml:space="preserve">, a raça for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“como se”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aleatória. Não é: qualidade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da escola, habilidade não medida e redes ficam fora. Se esses omitidos correlacionam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negativamente com ser negro e positivamente com renda, o coeficiente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superestima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 discriminação — por isso o gap líquido é apresentado como limite superior dessa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leitura, e o Konfound/E-value quantificam quanto de confundimento seria preciso.</w:t>
      </w:r>
    </w:p>
    <w:p>
      <w:pPr>
        <w:numPr>
          <w:ilvl w:val="0"/>
          <w:numId w:val="1001"/>
        </w:numPr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Bad controls</w:t>
      </w:r>
      <w:r>
        <w:rPr>
          <w:rFonts w:ascii="Arial" w:hAnsi="Arial"/>
          <w:b/>
          <w:bCs/>
          <w:sz w:val="22"/>
        </w:rPr>
        <w:t xml:space="preserve">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Ocupação, formalidade e horas são desfechos 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própria discriminação. Com eles (M4, Oaxaca-Blinder de acesso) o resultado é um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limite inferior descritivo</w:t>
      </w:r>
      <w:r>
        <w:rPr>
          <w:rFonts w:ascii="Arial" w:hAnsi="Arial"/>
          <w:sz w:val="22"/>
        </w:rPr>
        <w:t xml:space="preserve">: a parcela que opera pela porta de entrada some 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conta. Sem eles (M3, especificação (A) da Oaxaca-Blinder) tem-se o gap total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condicional a capital humano e bairro. As duas versões são reportadas lado a lado.</w:t>
      </w:r>
    </w:p>
    <w:p>
      <w:pPr>
        <w:numPr>
          <w:ilvl w:val="0"/>
          <w:numId w:val="1001"/>
        </w:numPr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Reflexo (Manski).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 renda média do bairro inclui o próprio indivíduo; usada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como preditor, é mecanicamente informativa. Nos modelos de acesso ela foi removida e,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no XGBoost, substituída pela média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leave-one-out</w:t>
      </w:r>
      <w:r>
        <w:rPr>
          <w:rFonts w:ascii="Arial" w:hAnsi="Arial"/>
          <w:sz w:val="22"/>
        </w:rPr>
        <w:t xml:space="preserve">; ainda assim, choques comuns ao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bairro impedem leitura causal do coeficiente contextual.</w:t>
      </w:r>
    </w:p>
    <w:p>
      <w:pPr>
        <w:numPr>
          <w:ilvl w:val="0"/>
          <w:numId w:val="1001"/>
        </w:numPr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Efeitos aleatórios.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 HLM e o GLMM supõem que o efeito de bairro não é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correlacionado com os regressores. Como contraprova, todos os coeficientes foram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reestimados com efeitos fixos de UF e erro-padrão agrupado por UPA, com as mesmas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conclusões (ver a seção Inferência).</w:t>
      </w:r>
    </w:p>
    <w:p>
      <w:pPr>
        <w:numPr>
          <w:ilvl w:val="0"/>
          <w:numId w:val="1001"/>
        </w:numPr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Pesos e desenho amostral.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As estimativas são não ponderadas: descrevem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regressão na amostra. A robustez ponderada pelo peso da PNAD muda o gap em menos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meio ponto percentual.</w:t>
      </w:r>
    </w:p>
    <w:p>
      <w:pPr>
        <w:numPr>
          <w:ilvl w:val="0"/>
          <w:numId w:val="1001"/>
        </w:numPr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Correlação intragrupo.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Ignorá-la subestimaria os erros-padrão (Moulton);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todos os modelos reportam erro-padrão agrupado por UPA ou o modelam por efeito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aleatório, e o agrupamento por UF usa</w:t>
      </w:r>
      <w:r>
        <w:rPr>
          <w:rFonts w:ascii="Arial" w:hAnsi="Arial"/>
          <w:sz w:val="22"/>
        </w:rPr>
        <w:t xml:space="preserve"> </w:t>
      </w:r>
      <m:oMath>
        <m:r>
          <m:t>t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com</w:t>
      </w:r>
      <w:r>
        <w:rPr>
          <w:rFonts w:ascii="Arial" w:hAnsi="Arial"/>
          <w:sz w:val="22"/>
        </w:rPr>
        <w:t xml:space="preserve"> </w:t>
      </w:r>
      <m:oMath>
        <m:r>
          <m:t>G</m:t>
        </m:r>
        <m:r>
          <m:rPr>
            <m:sty m:val="p"/>
          </m:rPr>
          <m:t>−</m:t>
        </m:r>
        <m:r>
          <m:t>1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graus de liberdade.</w:t>
      </w:r>
    </w:p>
    <w:p>
      <w:pPr>
        <w:numPr>
          <w:ilvl w:val="0"/>
          <w:numId w:val="1001"/>
        </w:numPr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Significância com</w:t>
      </w:r>
      <w:r>
        <w:rPr>
          <w:rFonts w:ascii="Arial" w:hAnsi="Arial"/>
          <w:b/>
          <w:bCs/>
          <w:sz w:val="22"/>
        </w:rPr>
        <w:t xml:space="preserve"> </w:t>
      </w:r>
      <m:oMath>
        <m:r>
          <m:t>N</m:t>
        </m:r>
      </m:oMath>
      <w:r>
        <w:rPr>
          <w:rFonts w:ascii="Arial" w:hAnsi="Arial"/>
          <w:b/>
          <w:bCs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grande.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Com 7,7 milhões de observações, quase tudo é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“significativo”</w:t>
      </w:r>
      <w:r>
        <w:rPr>
          <w:rFonts w:ascii="Arial" w:hAnsi="Arial"/>
          <w:sz w:val="22"/>
        </w:rPr>
        <w:t xml:space="preserve">; a leitura privilegia magnitude, intervalos de confiança e E-values,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não asteriscos.</w:t>
      </w:r>
    </w:p>
    <w:p>
      <w:pPr>
        <w:pStyle w:val="FirstParagraph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Desenho transversal e direções futuras.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 caráter transversal do painel público impede a análise de trajetórias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individuais; o painel rotativo completo com microdado identificado e a extensão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à RAIS permitiriam investigar mobilidade e o teto de vidro em cargos de liderança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com identificação de firma. A análise de redes de co-residência, a tipologia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por agrupamento e a priorização de políticas por pesquisa operacional,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desenvolvidas em versão estendida deste trabalho, ficam como agenda.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Declaração de uso de inteligência artificial.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Na elaboração deste trabalho foram utilizadas ferramentas de inteligência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artificial (Claude Code, da Anthropic) como apoio à implementação e depuração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código (Python e R), à geração de figuras e tabelas e à formatação dos documentos.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 concepção da pesquisa, a escolha das metodologias, a interpretação dos resultados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 a redação final são de responsabilidade do autor, que revisou, validou e responde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por todo o conteúdo.</w:t>
      </w:r>
    </w:p>
    <w:bookmarkEnd w:id="88"/>
    <w:bookmarkStart w:id="89" w:name="X6e5363a2ea64c40705be1be4ad3b57716cacb0d"/>
    <w:p>
      <w:pPr>
        <w:pStyle w:val="Ttulo2"/>
        <w:spacing w:line="240" w:lineRule="auto" w:before="240" w:after="120"/>
        <w:ind w:firstLine="0"/>
        <w:jc w:val="left"/>
      </w:pPr>
      <w:r>
        <w:rPr>
          <w:rFonts w:ascii="Arial" w:hAnsi="Arial"/>
          <w:sz w:val="22"/>
        </w:rPr>
        <w:t xml:space="preserve">Declaração de uso de inteligência artificial</w:t>
      </w:r>
    </w:p>
    <w:p>
      <w:pPr>
        <w:pStyle w:val="FirstParagraph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Na elaboração deste trabalho foram utilizadas ferramentas de inteligência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artificial (Claude Code, da Anthropic) como apoio à implementação e depuração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código (Python e R), à geração de figuras e tabelas e à formatação dos documentos.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 concepção da pesquisa, a escolha das metodologias, a interpretação dos resultados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 a redação final são de responsabilidade do autor, que revisou, validou e responde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por todo o conteúdo.</w:t>
      </w:r>
    </w:p>
    <w:bookmarkEnd w:id="89"/>
    <w:bookmarkEnd w:id="90"/>
    <w:bookmarkStart w:id="122" w:name="conclusão"/>
    <w:p>
      <w:pPr>
        <w:pStyle w:val="Heading1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Conclusão</w:t>
      </w:r>
    </w:p>
    <w:p>
      <w:pPr>
        <w:pStyle w:val="FirstParagraph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A desigualdade racial no mercado de trabalho brasileiro não se reduziu a um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desconto salarial isolado: operou como um sistema de barreiras em camadas, que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começou antes do primeiro salário e persistiu ao longo da trajetória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profissional. Comparados trabalhadores de mesma escolaridade, idade, sexo 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bairro, o diferencial de rendimento foi de 10,2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7,0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lida como limite inferior, já que a própria ocupação é resultado da barreira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acesso.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O achado mais relevante para o debate de políticas foi o da barreira de entrada.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Com o mesmo perfil observável e no mesmo bairro, trabalhadores negros tiveram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cerca de 30% menos chance de ocupar cargo qualificado e 35%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menos chance de alcançar o décimo superior da renda. Aumentar a escolaridade sem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intervir nos mecanismos de seleção e promoção produz, portanto, retorno marginal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decrescente: as credenciais existem, mas os canais que as convertem em mobilidade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permanecem estreitos.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O contexto de moradia respondeu por 47,0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agregado, o que indica que política de renda que ignore o território tem eficácia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limitada. A desvantagem da mulher negra excedeu em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4,6 pontos percentuais a soma das penalidades de raça 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 gênero isoladas, de modo que intervenções desenhadas para um eixo de cada vez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deixam de fora justamente quem está na interseção.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Os resultados são estimativas de associação condicional, e não de efeito causal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no sentido contrafactual. Ainda assim, a convergência de quatro métodos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independentes sobre a população completa, a magnitude dos diferenciais e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robustez a confundimento não observado sustentam o diagnóstico: a discriminação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operou sobretudo no acesso à ocupação, e políticas unidimensionais — centradas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apenas em escolaridade, apenas em fiscalização salarial ou apenas em cotas — são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insuficientes para desmontá-lo.</w:t>
      </w:r>
    </w:p>
    <w:bookmarkStart w:id="121" w:name="refs"/>
    <w:bookmarkStart w:id="91" w:name="ref-almeida2019"/>
    <w:p>
      <w:pPr>
        <w:pStyle w:val="Bibliography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ALMEIDA, Silvio Luiz de.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Racismo Estrutural</w:t>
      </w:r>
      <w:r>
        <w:rPr>
          <w:rFonts w:ascii="Arial" w:hAnsi="Arial"/>
          <w:sz w:val="22"/>
        </w:rPr>
        <w:t xml:space="preserve">. S</w:t>
      </w:r>
      <w:r>
        <w:rPr>
          <w:rFonts w:ascii="Arial" w:hAnsi="Arial"/>
          <w:sz w:val="22"/>
        </w:rPr>
        <w:t xml:space="preserve">ã</w:t>
      </w:r>
      <w:r>
        <w:rPr>
          <w:rFonts w:ascii="Arial" w:hAnsi="Arial"/>
          <w:sz w:val="22"/>
        </w:rPr>
        <w:t xml:space="preserve">o Paulo: Janda</w:t>
      </w:r>
      <w:r>
        <w:rPr>
          <w:rFonts w:ascii="Arial" w:hAnsi="Arial"/>
          <w:sz w:val="22"/>
        </w:rPr>
        <w:t xml:space="preserve">í</w:t>
      </w:r>
      <w:r>
        <w:rPr>
          <w:rFonts w:ascii="Arial" w:hAnsi="Arial"/>
          <w:sz w:val="22"/>
        </w:rPr>
        <w:t xml:space="preserve">ra, 2019.</w:t>
      </w:r>
    </w:p>
    <w:bookmarkEnd w:id="91"/>
    <w:bookmarkStart w:id="92" w:name="ref-angrist2009"/>
    <w:p>
      <w:pPr>
        <w:pStyle w:val="Bibliography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ANGRIST, Joshua D.; PISCHKE, Jörn-Steffen.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Mostly Harmless Econometrics: An Empiricist’s Companion</w:t>
      </w:r>
      <w:r>
        <w:rPr>
          <w:rFonts w:ascii="Arial" w:hAnsi="Arial"/>
          <w:sz w:val="22"/>
        </w:rPr>
        <w:t xml:space="preserve">. Princeton: Princeton University Press, 2009.</w:t>
      </w:r>
    </w:p>
    <w:bookmarkEnd w:id="92"/>
    <w:bookmarkStart w:id="93" w:name="ref-arrow1973"/>
    <w:p>
      <w:pPr>
        <w:pStyle w:val="Bibliography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ARROW, Kenneth J. The Theory of Discrimination.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i/>
          <w:iCs/>
          <w:sz w:val="22"/>
        </w:rPr>
        <w:t xml:space="preserve">In</w:t>
      </w:r>
      <w:r>
        <w:rPr>
          <w:rFonts w:ascii="Arial" w:hAnsi="Arial"/>
          <w:sz w:val="22"/>
        </w:rPr>
        <w:t xml:space="preserve">: ASHENFELTER, Orley; REES, Albert (Orgs.).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Discrimination in Labor Markets</w:t>
      </w:r>
      <w:r>
        <w:rPr>
          <w:rFonts w:ascii="Arial" w:hAnsi="Arial"/>
          <w:sz w:val="22"/>
        </w:rPr>
        <w:t xml:space="preserve">. Princeton, NJ: Princeton University Press, 1973. p. 3–33.</w:t>
      </w:r>
    </w:p>
    <w:bookmarkEnd w:id="93"/>
    <w:bookmarkStart w:id="94" w:name="ref-becker1957"/>
    <w:p>
      <w:pPr>
        <w:pStyle w:val="Bibliography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BECKER, Gary 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The Economics of Discrimination</w:t>
      </w:r>
      <w:r>
        <w:rPr>
          <w:rFonts w:ascii="Arial" w:hAnsi="Arial"/>
          <w:sz w:val="22"/>
        </w:rPr>
        <w:t xml:space="preserve">. Chicago: University of Chicago Press, 1957.</w:t>
      </w:r>
    </w:p>
    <w:bookmarkEnd w:id="94"/>
    <w:bookmarkStart w:id="95" w:name="ref-bickel2008"/>
    <w:p>
      <w:pPr>
        <w:pStyle w:val="Bibliography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BICKEL, Peter J.; SAKOV, Anat. On the Choice of</w:t>
      </w:r>
      <w:r>
        <w:rPr>
          <w:rFonts w:ascii="Arial" w:hAnsi="Arial"/>
          <w:sz w:val="22"/>
        </w:rPr>
        <w:t xml:space="preserve"> </w:t>
      </w:r>
      <m:oMath>
        <m:r>
          <m:t>m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 the</w:t>
      </w:r>
      <w:r>
        <w:rPr>
          <w:rFonts w:ascii="Arial" w:hAnsi="Arial"/>
          <w:sz w:val="22"/>
        </w:rPr>
        <w:t xml:space="preserve"> </w:t>
      </w:r>
      <m:oMath>
        <m:r>
          <m:t>m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out of</w:t>
      </w:r>
      <w:r>
        <w:rPr>
          <w:rFonts w:ascii="Arial" w:hAnsi="Arial"/>
          <w:sz w:val="22"/>
        </w:rPr>
        <w:t xml:space="preserve"> </w:t>
      </w:r>
      <m:oMath>
        <m:r>
          <m:t>n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Bootstrap and Confidence Bounds for Extrema.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Statistica Sinica</w:t>
      </w:r>
      <w:r>
        <w:rPr>
          <w:rFonts w:ascii="Arial" w:hAnsi="Arial"/>
          <w:sz w:val="22"/>
        </w:rPr>
        <w:t xml:space="preserve">, v. 18, n. 3, p. 967–985, 2008.</w:t>
      </w:r>
    </w:p>
    <w:bookmarkEnd w:id="95"/>
    <w:bookmarkStart w:id="96" w:name="ref-blinder1973"/>
    <w:p>
      <w:pPr>
        <w:pStyle w:val="Bibliography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BLINDER, Alan S. Wage Discrimination: Reduced Form and Structural Estimates.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Journal of Human Resources</w:t>
      </w:r>
      <w:r>
        <w:rPr>
          <w:rFonts w:ascii="Arial" w:hAnsi="Arial"/>
          <w:sz w:val="22"/>
        </w:rPr>
        <w:t xml:space="preserve">, v. 8, n. 4, p. 436–455, 1973.</w:t>
      </w:r>
    </w:p>
    <w:bookmarkEnd w:id="96"/>
    <w:bookmarkStart w:id="97" w:name="ref-breiman2001"/>
    <w:p>
      <w:pPr>
        <w:pStyle w:val="Bibliography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BREIMAN, Leo. Random Forests.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Machine Learning</w:t>
      </w:r>
      <w:r>
        <w:rPr>
          <w:rFonts w:ascii="Arial" w:hAnsi="Arial"/>
          <w:sz w:val="22"/>
        </w:rPr>
        <w:t xml:space="preserve">, v. 45, n. 1, p. 5–32, 2001.</w:t>
      </w:r>
    </w:p>
    <w:bookmarkEnd w:id="97"/>
    <w:bookmarkStart w:id="98" w:name="ref-cameron2008"/>
    <w:p>
      <w:pPr>
        <w:pStyle w:val="Bibliography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CAMERON, A. Colin; GELBACH, Jonah B.; MILLER, Douglas L. Bootstrap-Based Improvements for Inference with Clustered Errors.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The Review of Economics and Statistics</w:t>
      </w:r>
      <w:r>
        <w:rPr>
          <w:rFonts w:ascii="Arial" w:hAnsi="Arial"/>
          <w:sz w:val="22"/>
        </w:rPr>
        <w:t xml:space="preserve">, v. 90, n. 3, p. 414–427, 2008.</w:t>
      </w:r>
    </w:p>
    <w:bookmarkEnd w:id="98"/>
    <w:bookmarkStart w:id="99" w:name="ref-chen2016"/>
    <w:p>
      <w:pPr>
        <w:pStyle w:val="Bibliography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CHEN, Tianqi; GUESTRIN, Carlos.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XGBoost</w:t>
      </w:r>
      <w:r>
        <w:rPr>
          <w:rFonts w:ascii="Arial" w:hAnsi="Arial"/>
          <w:sz w:val="22"/>
        </w:rPr>
        <w:t xml:space="preserve">: A Scalable Tree Boosting System.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i/>
          <w:iCs/>
          <w:sz w:val="22"/>
        </w:rPr>
        <w:t xml:space="preserve">In</w:t>
      </w:r>
      <w:r>
        <w:rPr>
          <w:rFonts w:ascii="Arial" w:hAnsi="Arial"/>
          <w:sz w:val="22"/>
        </w:rPr>
        <w:t xml:space="preserve">: 2016.</w:t>
      </w:r>
    </w:p>
    <w:bookmarkEnd w:id="99"/>
    <w:bookmarkStart w:id="100" w:name="ref-duan1983"/>
    <w:p>
      <w:pPr>
        <w:pStyle w:val="Bibliography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DUAN, Naihua. Smearing Estimate: A Nonparametric Retransformation Method.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Journal of the American Statistical Association</w:t>
      </w:r>
      <w:r>
        <w:rPr>
          <w:rFonts w:ascii="Arial" w:hAnsi="Arial"/>
          <w:sz w:val="22"/>
        </w:rPr>
        <w:t xml:space="preserve">, v. 78, n. 383, p. 605–610, 1983.</w:t>
      </w:r>
    </w:p>
    <w:bookmarkEnd w:id="100"/>
    <w:bookmarkStart w:id="101" w:name="ref-firpo2018"/>
    <w:p>
      <w:pPr>
        <w:pStyle w:val="Bibliography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FIRPO, Sergio P.; FORTIN, Nicole M.; LEMIEUX, Thomas. Decomposing Wage Distributions Using Recentered Influence Function Regressions.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Econometrics</w:t>
      </w:r>
      <w:r>
        <w:rPr>
          <w:rFonts w:ascii="Arial" w:hAnsi="Arial"/>
          <w:sz w:val="22"/>
        </w:rPr>
        <w:t xml:space="preserve">, v. 6, n. 2, p. 28, 2018.</w:t>
      </w:r>
    </w:p>
    <w:bookmarkEnd w:id="101"/>
    <w:bookmarkStart w:id="102" w:name="ref-frank2013"/>
    <w:p>
      <w:pPr>
        <w:pStyle w:val="Bibliography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FRANK, Kenneth A.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i/>
          <w:iCs/>
          <w:sz w:val="22"/>
        </w:rPr>
        <w:t xml:space="preserve">et al.</w:t>
      </w:r>
      <w:r>
        <w:rPr>
          <w:rFonts w:ascii="Arial" w:hAnsi="Arial"/>
          <w:sz w:val="22"/>
        </w:rPr>
        <w:t xml:space="preserve"> What Would It Take to Change an Inference? Using Rubin’s Causal Model to Interpret the Robustness of Causal Inferences.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Educational Evaluation and Policy Analysis</w:t>
      </w:r>
      <w:r>
        <w:rPr>
          <w:rFonts w:ascii="Arial" w:hAnsi="Arial"/>
          <w:sz w:val="22"/>
        </w:rPr>
        <w:t xml:space="preserve">, v. 35, n. 4, p. 437–460, 2013.</w:t>
      </w:r>
    </w:p>
    <w:bookmarkEnd w:id="102"/>
    <w:bookmarkStart w:id="103" w:name="ref-granovetter1973"/>
    <w:p>
      <w:pPr>
        <w:pStyle w:val="Bibliography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GRANOVETTER, Mark S. The Strength of Weak Ties.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American Journal of Sociology</w:t>
      </w:r>
      <w:r>
        <w:rPr>
          <w:rFonts w:ascii="Arial" w:hAnsi="Arial"/>
          <w:sz w:val="22"/>
        </w:rPr>
        <w:t xml:space="preserve">, v. 78, n. 6, p. 1360–1380, 1973.</w:t>
      </w:r>
    </w:p>
    <w:bookmarkEnd w:id="103"/>
    <w:bookmarkStart w:id="104" w:name="ref-hasenbalg1979"/>
    <w:p>
      <w:pPr>
        <w:pStyle w:val="Bibliography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HASENBALG, Carlos.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Discriminação e Desigualdades Raciais no Brasil</w:t>
      </w:r>
      <w:r>
        <w:rPr>
          <w:rFonts w:ascii="Arial" w:hAnsi="Arial"/>
          <w:sz w:val="22"/>
        </w:rPr>
        <w:t xml:space="preserve">. Rio de Janeiro: Graal, 1979.</w:t>
      </w:r>
    </w:p>
    <w:bookmarkEnd w:id="104"/>
    <w:bookmarkStart w:id="105" w:name="ref-henriques2001"/>
    <w:p>
      <w:pPr>
        <w:pStyle w:val="Bibliography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HENRIQUES, Ricardo. Desigualdade Racial no Brasil: Evolução das Condições de Vida na Década de 90.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Texto para Discussão IPEA</w:t>
      </w:r>
      <w:r>
        <w:rPr>
          <w:rFonts w:ascii="Arial" w:hAnsi="Arial"/>
          <w:sz w:val="22"/>
        </w:rPr>
        <w:t xml:space="preserve">, n. 807, 2001.</w:t>
      </w:r>
    </w:p>
    <w:bookmarkEnd w:id="105"/>
    <w:bookmarkStart w:id="106" w:name="ref-ibge_pof_2019"/>
    <w:p>
      <w:pPr>
        <w:pStyle w:val="Bibliography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IBGE.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Pesquisa de Orçamentos Familiares 2017–2018: análise da qualidade de vida (Índice de Perda de Qualidade de Vida)</w:t>
      </w:r>
      <w:r>
        <w:rPr>
          <w:rFonts w:ascii="Arial" w:hAnsi="Arial"/>
          <w:sz w:val="22"/>
        </w:rPr>
        <w:t xml:space="preserve">. Rio de Janeiro: Instituto Brasileiro de Geografia e Estatística, 2019.</w:t>
      </w:r>
    </w:p>
    <w:bookmarkEnd w:id="106"/>
    <w:bookmarkStart w:id="107" w:name="ref-ibge_pnad_2023"/>
    <w:p>
      <w:pPr>
        <w:pStyle w:val="Bibliography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IBGE.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Pesquisa Nacional por Amostra de Domicílios Contínua: Notas Metodológicas</w:t>
      </w:r>
      <w:r>
        <w:rPr>
          <w:rFonts w:ascii="Arial" w:hAnsi="Arial"/>
          <w:sz w:val="22"/>
        </w:rPr>
        <w:t xml:space="preserve">. Rio de Janeiro: Instituto Brasileiro de Geografia e Estatística, 2023.</w:t>
      </w:r>
    </w:p>
    <w:bookmarkEnd w:id="107"/>
    <w:bookmarkStart w:id="108" w:name="ref-ibge_rendimentos_2025"/>
    <w:p>
      <w:pPr>
        <w:pStyle w:val="Bibliography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IBGE.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Pesquisa Nacional por Amostra de Domicílios Contínua: Rendimento de Todas as Fontes 2025</w:t>
      </w:r>
      <w:r>
        <w:rPr>
          <w:rFonts w:ascii="Arial" w:hAnsi="Arial"/>
          <w:sz w:val="22"/>
        </w:rPr>
        <w:t xml:space="preserve">. Rio de Janeiro: Instituto Brasileiro de Geografia e Estatística, 2025.</w:t>
      </w:r>
    </w:p>
    <w:bookmarkEnd w:id="108"/>
    <w:bookmarkStart w:id="109" w:name="ref-koenker1978"/>
    <w:p>
      <w:pPr>
        <w:pStyle w:val="Bibliography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KOENKER, Roger; BASSETT, Gilbert. Regression Quantiles.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Econometrica</w:t>
      </w:r>
      <w:r>
        <w:rPr>
          <w:rFonts w:ascii="Arial" w:hAnsi="Arial"/>
          <w:sz w:val="22"/>
        </w:rPr>
        <w:t xml:space="preserve">, v. 46, n. 1, p. 33–50, 1978.</w:t>
      </w:r>
    </w:p>
    <w:bookmarkEnd w:id="109"/>
    <w:bookmarkStart w:id="110" w:name="ref-lundberg2017"/>
    <w:p>
      <w:pPr>
        <w:pStyle w:val="Bibliography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LUNDBERG, Scott M.; LEE, Su-In. A Unified Approach to Interpreting Model Predictions.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Advances in Neural Information Processing Systems</w:t>
      </w:r>
      <w:r>
        <w:rPr>
          <w:rFonts w:ascii="Arial" w:hAnsi="Arial"/>
          <w:sz w:val="22"/>
        </w:rPr>
        <w:t xml:space="preserve">, v. 30, 2017.</w:t>
      </w:r>
    </w:p>
    <w:bookmarkEnd w:id="110"/>
    <w:bookmarkStart w:id="111" w:name="ref-manski1993"/>
    <w:p>
      <w:pPr>
        <w:pStyle w:val="Bibliography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MANSKI, Charles F. Identification of Endogenous Social Effects: The Reflection Problem.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Review of Economic Studies</w:t>
      </w:r>
      <w:r>
        <w:rPr>
          <w:rFonts w:ascii="Arial" w:hAnsi="Arial"/>
          <w:sz w:val="22"/>
        </w:rPr>
        <w:t xml:space="preserve">, v. 60, n. 3, p. 531–542, 1993.</w:t>
      </w:r>
    </w:p>
    <w:bookmarkEnd w:id="111"/>
    <w:bookmarkStart w:id="112" w:name="ref-marques2010"/>
    <w:p>
      <w:pPr>
        <w:pStyle w:val="Bibliography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MARQUES, Eduardo. Redes Sociais, Segregação e Pobreza em São Paulo.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Dados: Revista de Ciências Sociais</w:t>
      </w:r>
      <w:r>
        <w:rPr>
          <w:rFonts w:ascii="Arial" w:hAnsi="Arial"/>
          <w:sz w:val="22"/>
        </w:rPr>
        <w:t xml:space="preserve">, v. 53, n. 1, p. 5–50, 2010.</w:t>
      </w:r>
    </w:p>
    <w:bookmarkEnd w:id="112"/>
    <w:bookmarkStart w:id="113" w:name="ref-oaxaca1973"/>
    <w:p>
      <w:pPr>
        <w:pStyle w:val="Bibliography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OAXACA, Ronald. Male-Female Wage Differentials in Urban Labor Markets.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International Economic Review</w:t>
      </w:r>
      <w:r>
        <w:rPr>
          <w:rFonts w:ascii="Arial" w:hAnsi="Arial"/>
          <w:sz w:val="22"/>
        </w:rPr>
        <w:t xml:space="preserve">, v. 14, n. 3, p. 693–709, 1973.</w:t>
      </w:r>
    </w:p>
    <w:bookmarkEnd w:id="113"/>
    <w:bookmarkStart w:id="114" w:name="ref-oaxaca_ransom1999"/>
    <w:p>
      <w:pPr>
        <w:pStyle w:val="Bibliography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OAXACA, Ronald L.; RANSOM, Michael R. Identification in Detailed Wage Decompositions.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Review of Economics and Statistics</w:t>
      </w:r>
      <w:r>
        <w:rPr>
          <w:rFonts w:ascii="Arial" w:hAnsi="Arial"/>
          <w:sz w:val="22"/>
        </w:rPr>
        <w:t xml:space="preserve">, v. 81, n. 1, p. 154–157, 1999.</w:t>
      </w:r>
    </w:p>
    <w:bookmarkEnd w:id="114"/>
    <w:bookmarkStart w:id="115" w:name="ref-pager2007"/>
    <w:p>
      <w:pPr>
        <w:pStyle w:val="Bibliography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PAGER, Devah.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Marked: Race, Crime, and Finding Work in an Era of Mass Incarceration</w:t>
      </w:r>
      <w:r>
        <w:rPr>
          <w:rFonts w:ascii="Arial" w:hAnsi="Arial"/>
          <w:sz w:val="22"/>
        </w:rPr>
        <w:t xml:space="preserve">. Chicago: University of Chicago Press, 2007.</w:t>
      </w:r>
    </w:p>
    <w:bookmarkEnd w:id="115"/>
    <w:bookmarkStart w:id="116" w:name="ref-raudenbush2002"/>
    <w:p>
      <w:pPr>
        <w:pStyle w:val="Bibliography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RAUDENBUSH, Stephen W.; BRYK, Anthony 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Hierarchical Linear Models: Applications and Data Analysis Methods</w:t>
      </w:r>
      <w:r>
        <w:rPr>
          <w:rFonts w:ascii="Arial" w:hAnsi="Arial"/>
          <w:sz w:val="22"/>
        </w:rPr>
        <w:t xml:space="preserve">. 2. ed. Thousand Oaks, CA: Sage, 2002.</w:t>
      </w:r>
    </w:p>
    <w:bookmarkEnd w:id="116"/>
    <w:bookmarkStart w:id="117" w:name="ref-sampson1997"/>
    <w:p>
      <w:pPr>
        <w:pStyle w:val="Bibliography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SAMPSON, Robert J.; RAUDENBUSH, Stephen W.; EARLS, Felton. Neighborhoods and Violent Crime: A Multilevel Study of Collective Efficacy.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Science</w:t>
      </w:r>
      <w:r>
        <w:rPr>
          <w:rFonts w:ascii="Arial" w:hAnsi="Arial"/>
          <w:sz w:val="22"/>
        </w:rPr>
        <w:t xml:space="preserve">, v. 277, p. 918–924, 1997.</w:t>
      </w:r>
    </w:p>
    <w:bookmarkEnd w:id="117"/>
    <w:bookmarkStart w:id="118" w:name="ref-soares2009"/>
    <w:p>
      <w:pPr>
        <w:pStyle w:val="Bibliography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SOARES, Sergei. Desigualdade Racial de Renda no Brasil: 1976–2006.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Estudos Econômicos</w:t>
      </w:r>
      <w:r>
        <w:rPr>
          <w:rFonts w:ascii="Arial" w:hAnsi="Arial"/>
          <w:sz w:val="22"/>
        </w:rPr>
        <w:t xml:space="preserve">, v. 39, n. 4, p. 803–825, 2009.</w:t>
      </w:r>
    </w:p>
    <w:bookmarkEnd w:id="118"/>
    <w:bookmarkStart w:id="119" w:name="ref-vanderweele2017"/>
    <w:p>
      <w:pPr>
        <w:pStyle w:val="Bibliography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VANDERWEELE, Tyler J.; DING, Peng. Sensitivity Analysis in Observational Research: Introducing the E-Value.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Annals of Internal Medicine</w:t>
      </w:r>
      <w:r>
        <w:rPr>
          <w:rFonts w:ascii="Arial" w:hAnsi="Arial"/>
          <w:sz w:val="22"/>
        </w:rPr>
        <w:t xml:space="preserve">, v. 167, n. 4, p. 268–274, 2017.</w:t>
      </w:r>
    </w:p>
    <w:bookmarkEnd w:id="119"/>
    <w:bookmarkStart w:id="120" w:name="ref-wilson1987"/>
    <w:p>
      <w:pPr>
        <w:pStyle w:val="Bibliography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WILSON, William J.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The Truly Disadvantaged: The Inner City, the Underclass, and Public Policy</w:t>
      </w:r>
      <w:r>
        <w:rPr>
          <w:rFonts w:ascii="Arial" w:hAnsi="Arial"/>
          <w:sz w:val="22"/>
        </w:rPr>
        <w:t xml:space="preserve">. Chicago: University of Chicago Press, 1987.</w:t>
      </w:r>
    </w:p>
    <w:bookmarkEnd w:id="120"/>
    <w:bookmarkEnd w:id="121"/>
    <w:bookmarkEnd w:id="122"/>
    <w:sectPr w:rsidR="00FE14AF" w:rsidRPr="000B508B" w:rsidSect="00346452">
      <w:headerReference r:id="rId11" w:type="default"/>
      <w:footerReference r:id="rId12" w:type="default"/>
      <w:footerReference r:id="rId13" w:type="first"/>
      <w:pgSz w:code="9" w:h="16838" w:w="11906"/>
      <w:pgMar w:bottom="1417" w:footer="709" w:gutter="0" w:header="709" w:left="1417" w:right="1417" w:top="1417"/>
      <w:pgNumType w:start="1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MT">
    <w:altName w:val="Arial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310677" w14:textId="1EFF9085" w:rsidR="00EF1565" w:rsidRPr="00EF1565" w:rsidRDefault="00EF1565">
    <w:pPr>
      <w:pStyle w:val="Rodap"/>
      <w:jc w:val="right"/>
      <w:rPr>
        <w:sz w:val="18"/>
        <w:szCs w:val="18"/>
      </w:rPr>
    </w:pPr>
    <w:r w:rsidRPr="00EF1565">
      <w:rPr>
        <w:sz w:val="18"/>
        <w:szCs w:val="18"/>
      </w:rPr>
      <w:fldChar w:fldCharType="begin"/>
    </w:r>
    <w:r w:rsidRPr="00EF1565">
      <w:rPr>
        <w:sz w:val="18"/>
        <w:szCs w:val="18"/>
      </w:rPr>
      <w:instrText>PAGE   \* MERGEFORMAT</w:instrText>
    </w:r>
    <w:r w:rsidRPr="00EF1565">
      <w:rPr>
        <w:sz w:val="18"/>
        <w:szCs w:val="18"/>
      </w:rPr>
      <w:fldChar w:fldCharType="separate"/>
    </w:r>
    <w:r w:rsidR="00811DE0">
      <w:rPr>
        <w:noProof/>
        <w:sz w:val="18"/>
        <w:szCs w:val="18"/>
      </w:rPr>
      <w:t>4</w:t>
    </w:r>
    <w:r w:rsidRPr="00EF1565">
      <w:rPr>
        <w:sz w:val="18"/>
        <w:szCs w:val="18"/>
      </w:rPr>
      <w:fldChar w:fldCharType="end"/>
    </w:r>
  </w:p>
  <w:p w14:paraId="25D1DCB2" w14:textId="77777777" w:rsidR="00D92CD6" w:rsidRDefault="00D92CD6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DF588E" w14:textId="77777777" w:rsidR="0094025E" w:rsidRDefault="0094025E">
    <w:pPr>
      <w:pStyle w:val="Rodap"/>
      <w:jc w:val="right"/>
    </w:pPr>
  </w:p>
  <w:p w14:paraId="05550BF1" w14:textId="77777777" w:rsidR="0094025E" w:rsidRDefault="0094025E">
    <w:pPr>
      <w:pStyle w:val="Rodap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Os modelos têm o logaritmo do rendimento como variável dependente, de modo que o coeficiente está em log-pontos. A variação percentual correspondente é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β</m:t>
                </m:r>
              </m:e>
            </m:acc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100</m:t>
        </m:r>
      </m:oMath>
      <w:r>
        <w:t xml:space="preserve">, e não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×</m:t>
        </m:r>
        <m:r>
          <m:t>100</m:t>
        </m:r>
      </m:oMath>
      <w:r>
        <w:t xml:space="preserve">: para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2123</m:t>
        </m:r>
      </m:oMath>
      <w:r>
        <w:t xml:space="preserve">, por exemplo, tem-se</w:t>
      </w:r>
      <w:r>
        <w:t xml:space="preserve"> </w:t>
      </w:r>
      <m:oMath>
        <m:r>
          <m:rPr>
            <m:sty m:val="p"/>
          </m:rPr>
          <m:t>−</m:t>
        </m:r>
        <m:r>
          <m:t>19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%</m:t>
        </m:r>
      </m:oMath>
      <w:r>
        <w:t xml:space="preserve">, e não</w:t>
      </w:r>
      <w:r>
        <w:t xml:space="preserve"> </w:t>
      </w:r>
      <m:oMath>
        <m:r>
          <m:rPr>
            <m:sty m:val="p"/>
          </m:rPr>
          <m:t>−</m:t>
        </m:r>
        <m:r>
          <m:t>21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%</m:t>
        </m:r>
      </m:oMath>
      <w:r>
        <w:t xml:space="preserve">. As duas leituras se aproximam quando o coeficiente é pequeno e divergem à medida que ele cresce em módulo; todos os percentuais de gap deste trabalho usam a primeira forma.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B3056D" w14:textId="77777777" w:rsidR="00822646" w:rsidRPr="00D52F94" w:rsidRDefault="00822646" w:rsidP="0084737F">
    <w:pPr>
      <w:pStyle w:val="SemEspaamento"/>
      <w:ind w:right="3968"/>
      <w:rPr>
        <w:sz w:val="16"/>
        <w:szCs w:val="17"/>
      </w:rPr>
    </w:pPr>
    <w:r>
      <w:rPr>
        <w:noProof/>
      </w:rPr>
      <w:drawing>
        <wp:anchor distT="0" distB="0" distL="114300" distR="114300" simplePos="0" relativeHeight="251676672" behindDoc="0" locked="0" layoutInCell="1" allowOverlap="1" wp14:anchorId="15F5FC70" wp14:editId="18E219A0">
          <wp:simplePos x="0" y="0"/>
          <wp:positionH relativeFrom="margin">
            <wp:posOffset>5029200</wp:posOffset>
          </wp:positionH>
          <wp:positionV relativeFrom="paragraph">
            <wp:posOffset>-10160</wp:posOffset>
          </wp:positionV>
          <wp:extent cx="723900" cy="298450"/>
          <wp:effectExtent l="0" t="0" r="0" b="6350"/>
          <wp:wrapThrough wrapText="bothSides">
            <wp:wrapPolygon edited="0">
              <wp:start x="0" y="0"/>
              <wp:lineTo x="0" y="20681"/>
              <wp:lineTo x="21032" y="20681"/>
              <wp:lineTo x="21032" y="0"/>
              <wp:lineTo x="0" y="0"/>
            </wp:wrapPolygon>
          </wp:wrapThrough>
          <wp:docPr id="1803984902" name="Imagem 1803984902" descr="Desenho com traços pretos em fundo branco&#10;&#10;Descrição gerada automaticamente com confiança médi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67734149" name="Imagem 3" descr="Desenho com traços pretos em fundo branco&#10;&#10;Descrição gerada automaticamente com confiança média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23900" cy="2984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sz w:val="16"/>
        <w:szCs w:val="17"/>
      </w:rPr>
      <w:t>Trabalho</w:t>
    </w:r>
    <w:r w:rsidRPr="00D52F94">
      <w:rPr>
        <w:sz w:val="16"/>
        <w:szCs w:val="17"/>
      </w:rPr>
      <w:t xml:space="preserve"> </w:t>
    </w:r>
    <w:r>
      <w:rPr>
        <w:sz w:val="16"/>
        <w:szCs w:val="17"/>
      </w:rPr>
      <w:t xml:space="preserve">de Conclusão de Curso </w:t>
    </w:r>
    <w:r w:rsidRPr="00D52F94">
      <w:rPr>
        <w:sz w:val="16"/>
        <w:szCs w:val="17"/>
      </w:rPr>
      <w:t>apresentad</w:t>
    </w:r>
    <w:r>
      <w:rPr>
        <w:sz w:val="16"/>
        <w:szCs w:val="17"/>
      </w:rPr>
      <w:t>o</w:t>
    </w:r>
    <w:r w:rsidRPr="00D52F94">
      <w:rPr>
        <w:sz w:val="16"/>
        <w:szCs w:val="17"/>
      </w:rPr>
      <w:t xml:space="preserve"> para obtenção do título de especialista em</w:t>
    </w:r>
    <w:r>
      <w:rPr>
        <w:sz w:val="16"/>
        <w:szCs w:val="17"/>
      </w:rPr>
      <w:t xml:space="preserve"> _________ (Nome do curso) – ____ (ano da defesa)</w:t>
    </w:r>
    <w:r w:rsidRPr="004D48C1">
      <w:t xml:space="preserve"> </w:t>
    </w:r>
  </w:p>
  <w:p w14:paraId="73E404DB" w14:textId="77777777" w:rsidR="00822646" w:rsidRDefault="00822646" w:rsidP="0084737F">
    <w:pPr>
      <w:pStyle w:val="Cabealho"/>
      <w:tabs>
        <w:tab w:val="clear" w:pos="4252"/>
        <w:tab w:val="clear" w:pos="8504"/>
        <w:tab w:val="left" w:pos="1785"/>
      </w:tabs>
    </w:pPr>
    <w:r>
      <w:rPr>
        <w:noProof/>
        <w:lang w:eastAsia="pt-BR"/>
      </w:rPr>
      <mc:AlternateContent>
        <mc:Choice Requires="wps">
          <w:drawing>
            <wp:anchor distT="0" distB="0" distL="114300" distR="114300" simplePos="0" relativeHeight="251675648" behindDoc="0" locked="0" layoutInCell="1" allowOverlap="1" wp14:anchorId="34FDC6CC" wp14:editId="06C05861">
              <wp:simplePos x="0" y="0"/>
              <wp:positionH relativeFrom="margin">
                <wp:align>right</wp:align>
              </wp:positionH>
              <wp:positionV relativeFrom="paragraph">
                <wp:posOffset>106680</wp:posOffset>
              </wp:positionV>
              <wp:extent cx="5753100" cy="0"/>
              <wp:effectExtent l="0" t="0" r="0" b="0"/>
              <wp:wrapNone/>
              <wp:docPr id="844941520" name="Conector reto 84494152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5753100" cy="0"/>
                      </a:xfrm>
                      <a:prstGeom prst="line">
                        <a:avLst/>
                      </a:prstGeom>
                      <a:ln w="3175"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</a:ln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5F3A5B1A" id="Conector reto 844941520" o:spid="_x0000_s1026" style="position:absolute;flip:y;z-index:25167564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401.8pt,8.4pt" to="854.8pt,8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" strokecolor="#5a5a5a [2109]" strokeweight=".25pt">
              <w10:wrap anchorx="margin"/>
            </v:line>
          </w:pict>
        </mc:Fallback>
      </mc:AlternateContent>
    </w:r>
    <w:r>
      <w:tab/>
    </w:r>
  </w:p>
  <w:p w14:paraId="0D9B32BC" w14:textId="77777777" w:rsidR="00822646" w:rsidRPr="00D92CD6" w:rsidRDefault="00822646" w:rsidP="0084737F">
    <w:pPr>
      <w:pStyle w:val="Cabealho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585B6087"/>
    <w:multiLevelType w:val="hybridMultilevel"/>
    <w:tmpl w:val="9D705362"/>
    <w:lvl w:ilvl="0" w:tplc="01989CAA">
      <w:start w:val="1"/>
      <w:numFmt w:val="decimal"/>
      <w:lvlText w:val="%1."/>
      <w:lvlJc w:val="left"/>
      <w:pPr>
        <w:ind w:hanging="360" w:left="720"/>
      </w:pPr>
      <w:rPr>
        <w:rFonts w:hint="default"/>
        <w:b/>
      </w:rPr>
    </w:lvl>
    <w:lvl w:ilvl="1" w:tentative="1" w:tplc="04160019">
      <w:start w:val="1"/>
      <w:numFmt w:val="lowerLetter"/>
      <w:lvlText w:val="%2."/>
      <w:lvlJc w:val="left"/>
      <w:pPr>
        <w:ind w:hanging="360" w:left="1440"/>
      </w:pPr>
    </w:lvl>
    <w:lvl w:ilvl="2" w:tentative="1" w:tplc="0416001B">
      <w:start w:val="1"/>
      <w:numFmt w:val="lowerRoman"/>
      <w:lvlText w:val="%3."/>
      <w:lvlJc w:val="right"/>
      <w:pPr>
        <w:ind w:hanging="180" w:left="2160"/>
      </w:pPr>
    </w:lvl>
    <w:lvl w:ilvl="3" w:tentative="1" w:tplc="0416000F">
      <w:start w:val="1"/>
      <w:numFmt w:val="decimal"/>
      <w:lvlText w:val="%4."/>
      <w:lvlJc w:val="left"/>
      <w:pPr>
        <w:ind w:hanging="360" w:left="2880"/>
      </w:pPr>
    </w:lvl>
    <w:lvl w:ilvl="4" w:tentative="1" w:tplc="04160019">
      <w:start w:val="1"/>
      <w:numFmt w:val="lowerLetter"/>
      <w:lvlText w:val="%5."/>
      <w:lvlJc w:val="left"/>
      <w:pPr>
        <w:ind w:hanging="360" w:left="3600"/>
      </w:pPr>
    </w:lvl>
    <w:lvl w:ilvl="5" w:tentative="1" w:tplc="0416001B">
      <w:start w:val="1"/>
      <w:numFmt w:val="lowerRoman"/>
      <w:lvlText w:val="%6."/>
      <w:lvlJc w:val="right"/>
      <w:pPr>
        <w:ind w:hanging="180" w:left="4320"/>
      </w:pPr>
    </w:lvl>
    <w:lvl w:ilvl="6" w:tentative="1" w:tplc="0416000F">
      <w:start w:val="1"/>
      <w:numFmt w:val="decimal"/>
      <w:lvlText w:val="%7."/>
      <w:lvlJc w:val="left"/>
      <w:pPr>
        <w:ind w:hanging="360" w:left="5040"/>
      </w:pPr>
    </w:lvl>
    <w:lvl w:ilvl="7" w:tentative="1" w:tplc="04160019">
      <w:start w:val="1"/>
      <w:numFmt w:val="lowerLetter"/>
      <w:lvlText w:val="%8."/>
      <w:lvlJc w:val="left"/>
      <w:pPr>
        <w:ind w:hanging="360" w:left="5760"/>
      </w:pPr>
    </w:lvl>
    <w:lvl w:ilvl="8" w:tentative="1" w:tplc="0416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77147F67"/>
    <w:multiLevelType w:val="multilevel"/>
    <w:tmpl w:val="0409001F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574"/>
      </w:pPr>
    </w:lvl>
    <w:lvl w:ilvl="2">
      <w:start w:val="1"/>
      <w:numFmt w:val="decimal"/>
      <w:lvlText w:val="%1.%2.%3."/>
      <w:lvlJc w:val="left"/>
      <w:pPr>
        <w:ind w:hanging="504" w:left="646"/>
      </w:pPr>
    </w:lvl>
    <w:lvl w:ilvl="3">
      <w:start w:val="1"/>
      <w:numFmt w:val="decimal"/>
      <w:lvlText w:val="%1.%2.%3.%4."/>
      <w:lvlJc w:val="left"/>
      <w:pPr>
        <w:ind w:hanging="648" w:left="932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16cid:durableId="71783379" w:numId="1">
    <w:abstractNumId w:val="1"/>
  </w:num>
  <w:num w16cid:durableId="1546257329" w:numId="2">
    <w:abstractNumId w:val="0"/>
  </w: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08"/>
  <w:hyphenationZone w:val="425"/>
  <w:drawingGridHorizontalSpacing w:val="110"/>
  <w:drawingGridVerticalSpacing w:val="360"/>
  <w:displayHorizontalDrawingGridEvery w:val="2"/>
  <w:displayVerticalDrawingGridEvery w:val="2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F5FEB"/>
    <w:rsid w:val="00002D22"/>
    <w:rsid w:val="00002FED"/>
    <w:rsid w:val="0000516E"/>
    <w:rsid w:val="00005FB7"/>
    <w:rsid w:val="00010625"/>
    <w:rsid w:val="000121A2"/>
    <w:rsid w:val="000129BF"/>
    <w:rsid w:val="00015A3B"/>
    <w:rsid w:val="000318BF"/>
    <w:rsid w:val="0003392C"/>
    <w:rsid w:val="00033ABE"/>
    <w:rsid w:val="000379B9"/>
    <w:rsid w:val="000414DF"/>
    <w:rsid w:val="00042541"/>
    <w:rsid w:val="000558A6"/>
    <w:rsid w:val="000569A1"/>
    <w:rsid w:val="0006184C"/>
    <w:rsid w:val="000639C7"/>
    <w:rsid w:val="0006582A"/>
    <w:rsid w:val="00080BC8"/>
    <w:rsid w:val="000A1F2D"/>
    <w:rsid w:val="000A23B0"/>
    <w:rsid w:val="000A46BE"/>
    <w:rsid w:val="000A64CD"/>
    <w:rsid w:val="000A7332"/>
    <w:rsid w:val="000B508B"/>
    <w:rsid w:val="000B6C41"/>
    <w:rsid w:val="000C043D"/>
    <w:rsid w:val="000C3C52"/>
    <w:rsid w:val="000C5E50"/>
    <w:rsid w:val="000D65A6"/>
    <w:rsid w:val="000D7128"/>
    <w:rsid w:val="000E6826"/>
    <w:rsid w:val="000F06D0"/>
    <w:rsid w:val="000F3312"/>
    <w:rsid w:val="000F7383"/>
    <w:rsid w:val="0010264C"/>
    <w:rsid w:val="00103C8C"/>
    <w:rsid w:val="0010566C"/>
    <w:rsid w:val="00106E6C"/>
    <w:rsid w:val="00111217"/>
    <w:rsid w:val="001179F3"/>
    <w:rsid w:val="00123A50"/>
    <w:rsid w:val="001349B7"/>
    <w:rsid w:val="00135FFB"/>
    <w:rsid w:val="0014260C"/>
    <w:rsid w:val="0014711C"/>
    <w:rsid w:val="0015596D"/>
    <w:rsid w:val="00155FEB"/>
    <w:rsid w:val="001650D8"/>
    <w:rsid w:val="00173435"/>
    <w:rsid w:val="0017695E"/>
    <w:rsid w:val="0018079B"/>
    <w:rsid w:val="00183B05"/>
    <w:rsid w:val="00187D7A"/>
    <w:rsid w:val="0019516C"/>
    <w:rsid w:val="00196DB1"/>
    <w:rsid w:val="001A2B26"/>
    <w:rsid w:val="001A3AE9"/>
    <w:rsid w:val="001B0BBE"/>
    <w:rsid w:val="001B29CD"/>
    <w:rsid w:val="001B7001"/>
    <w:rsid w:val="001B7C5F"/>
    <w:rsid w:val="001D44F5"/>
    <w:rsid w:val="001E108A"/>
    <w:rsid w:val="001E6121"/>
    <w:rsid w:val="001E6B8D"/>
    <w:rsid w:val="001F0A4F"/>
    <w:rsid w:val="001F5096"/>
    <w:rsid w:val="001F677B"/>
    <w:rsid w:val="002013ED"/>
    <w:rsid w:val="002138F6"/>
    <w:rsid w:val="00214A52"/>
    <w:rsid w:val="00221EC9"/>
    <w:rsid w:val="00222913"/>
    <w:rsid w:val="00222FB8"/>
    <w:rsid w:val="00225427"/>
    <w:rsid w:val="0023417B"/>
    <w:rsid w:val="00244168"/>
    <w:rsid w:val="00244916"/>
    <w:rsid w:val="00246075"/>
    <w:rsid w:val="00247798"/>
    <w:rsid w:val="00247EAC"/>
    <w:rsid w:val="00250606"/>
    <w:rsid w:val="0025090A"/>
    <w:rsid w:val="00254CD6"/>
    <w:rsid w:val="0026130F"/>
    <w:rsid w:val="00262449"/>
    <w:rsid w:val="0026400A"/>
    <w:rsid w:val="00266914"/>
    <w:rsid w:val="00273955"/>
    <w:rsid w:val="00281B98"/>
    <w:rsid w:val="00282166"/>
    <w:rsid w:val="00286FB4"/>
    <w:rsid w:val="002875D3"/>
    <w:rsid w:val="00295E7E"/>
    <w:rsid w:val="00296614"/>
    <w:rsid w:val="002B5BAD"/>
    <w:rsid w:val="002B7B5A"/>
    <w:rsid w:val="002D0A4C"/>
    <w:rsid w:val="002D35E9"/>
    <w:rsid w:val="002D3B35"/>
    <w:rsid w:val="002D6078"/>
    <w:rsid w:val="002D6AF2"/>
    <w:rsid w:val="002D778A"/>
    <w:rsid w:val="002E3D0D"/>
    <w:rsid w:val="002F1330"/>
    <w:rsid w:val="002F2245"/>
    <w:rsid w:val="002F3830"/>
    <w:rsid w:val="00302BCD"/>
    <w:rsid w:val="003073AE"/>
    <w:rsid w:val="00311C33"/>
    <w:rsid w:val="0031459B"/>
    <w:rsid w:val="00320448"/>
    <w:rsid w:val="00323A4C"/>
    <w:rsid w:val="00325B43"/>
    <w:rsid w:val="00326CAE"/>
    <w:rsid w:val="00330DB8"/>
    <w:rsid w:val="00331021"/>
    <w:rsid w:val="0033468D"/>
    <w:rsid w:val="00346452"/>
    <w:rsid w:val="0035192B"/>
    <w:rsid w:val="00351961"/>
    <w:rsid w:val="003542E3"/>
    <w:rsid w:val="00362B83"/>
    <w:rsid w:val="00363932"/>
    <w:rsid w:val="00364D20"/>
    <w:rsid w:val="00364EBE"/>
    <w:rsid w:val="003664E8"/>
    <w:rsid w:val="003675AB"/>
    <w:rsid w:val="003678EC"/>
    <w:rsid w:val="0037116D"/>
    <w:rsid w:val="003724DA"/>
    <w:rsid w:val="00376C38"/>
    <w:rsid w:val="0038279B"/>
    <w:rsid w:val="00382BEB"/>
    <w:rsid w:val="00383658"/>
    <w:rsid w:val="003923FF"/>
    <w:rsid w:val="003A2BF8"/>
    <w:rsid w:val="003A50AD"/>
    <w:rsid w:val="003A6B04"/>
    <w:rsid w:val="003B3E2D"/>
    <w:rsid w:val="003C0770"/>
    <w:rsid w:val="003C0DDD"/>
    <w:rsid w:val="003C1B38"/>
    <w:rsid w:val="003C65F6"/>
    <w:rsid w:val="003C7E8D"/>
    <w:rsid w:val="003E150B"/>
    <w:rsid w:val="003E36CE"/>
    <w:rsid w:val="003E5D40"/>
    <w:rsid w:val="003E64D0"/>
    <w:rsid w:val="003F02C0"/>
    <w:rsid w:val="003F1EED"/>
    <w:rsid w:val="003F72AE"/>
    <w:rsid w:val="003F77A8"/>
    <w:rsid w:val="00402E00"/>
    <w:rsid w:val="0040349A"/>
    <w:rsid w:val="00406344"/>
    <w:rsid w:val="004139D1"/>
    <w:rsid w:val="00414EA7"/>
    <w:rsid w:val="00421D0A"/>
    <w:rsid w:val="004242F4"/>
    <w:rsid w:val="00424D37"/>
    <w:rsid w:val="00433D1E"/>
    <w:rsid w:val="00433E63"/>
    <w:rsid w:val="004344B3"/>
    <w:rsid w:val="004349A6"/>
    <w:rsid w:val="00435976"/>
    <w:rsid w:val="0044240B"/>
    <w:rsid w:val="004453D9"/>
    <w:rsid w:val="00445A1F"/>
    <w:rsid w:val="0045201D"/>
    <w:rsid w:val="00455C3D"/>
    <w:rsid w:val="004638D2"/>
    <w:rsid w:val="00466F81"/>
    <w:rsid w:val="00467C3B"/>
    <w:rsid w:val="0047191C"/>
    <w:rsid w:val="00471D21"/>
    <w:rsid w:val="00473CFE"/>
    <w:rsid w:val="00474ACC"/>
    <w:rsid w:val="004829D7"/>
    <w:rsid w:val="004A6188"/>
    <w:rsid w:val="004B0852"/>
    <w:rsid w:val="004B3DF1"/>
    <w:rsid w:val="004B570C"/>
    <w:rsid w:val="004B6697"/>
    <w:rsid w:val="004B73BD"/>
    <w:rsid w:val="004C12D2"/>
    <w:rsid w:val="004D48C1"/>
    <w:rsid w:val="004E0540"/>
    <w:rsid w:val="004E1ADB"/>
    <w:rsid w:val="004E2E96"/>
    <w:rsid w:val="005041D4"/>
    <w:rsid w:val="005154B6"/>
    <w:rsid w:val="00516C5E"/>
    <w:rsid w:val="00521FEE"/>
    <w:rsid w:val="00522FDE"/>
    <w:rsid w:val="00527BBF"/>
    <w:rsid w:val="00530C1C"/>
    <w:rsid w:val="005325A6"/>
    <w:rsid w:val="00532A60"/>
    <w:rsid w:val="0053780E"/>
    <w:rsid w:val="005407AB"/>
    <w:rsid w:val="005502EC"/>
    <w:rsid w:val="00551EA4"/>
    <w:rsid w:val="00556C81"/>
    <w:rsid w:val="00580198"/>
    <w:rsid w:val="0058362C"/>
    <w:rsid w:val="00584676"/>
    <w:rsid w:val="0058770B"/>
    <w:rsid w:val="005905F2"/>
    <w:rsid w:val="00592C57"/>
    <w:rsid w:val="00593069"/>
    <w:rsid w:val="00594DC8"/>
    <w:rsid w:val="005A0D62"/>
    <w:rsid w:val="005A12F8"/>
    <w:rsid w:val="005A2BA8"/>
    <w:rsid w:val="005A2F80"/>
    <w:rsid w:val="005A4188"/>
    <w:rsid w:val="005B2400"/>
    <w:rsid w:val="005B3614"/>
    <w:rsid w:val="005B3BCF"/>
    <w:rsid w:val="005B55DF"/>
    <w:rsid w:val="005B69C1"/>
    <w:rsid w:val="005C0B45"/>
    <w:rsid w:val="005C6BA6"/>
    <w:rsid w:val="005D6B9B"/>
    <w:rsid w:val="005E318E"/>
    <w:rsid w:val="005F29F8"/>
    <w:rsid w:val="005F4EB3"/>
    <w:rsid w:val="005F5FEB"/>
    <w:rsid w:val="005F72E8"/>
    <w:rsid w:val="0062319A"/>
    <w:rsid w:val="00636D01"/>
    <w:rsid w:val="00647DBF"/>
    <w:rsid w:val="00656104"/>
    <w:rsid w:val="00657EA6"/>
    <w:rsid w:val="0066110E"/>
    <w:rsid w:val="006805F5"/>
    <w:rsid w:val="00681AD7"/>
    <w:rsid w:val="00683832"/>
    <w:rsid w:val="00684110"/>
    <w:rsid w:val="00687D18"/>
    <w:rsid w:val="006926E3"/>
    <w:rsid w:val="0069588D"/>
    <w:rsid w:val="006A0317"/>
    <w:rsid w:val="006B3841"/>
    <w:rsid w:val="006B4497"/>
    <w:rsid w:val="006B4591"/>
    <w:rsid w:val="006C2C8C"/>
    <w:rsid w:val="006C720C"/>
    <w:rsid w:val="006D2995"/>
    <w:rsid w:val="006D7365"/>
    <w:rsid w:val="006D7A7F"/>
    <w:rsid w:val="006D7B11"/>
    <w:rsid w:val="006E1A8E"/>
    <w:rsid w:val="006E5D44"/>
    <w:rsid w:val="006E64EF"/>
    <w:rsid w:val="006F0623"/>
    <w:rsid w:val="006F2620"/>
    <w:rsid w:val="006F566A"/>
    <w:rsid w:val="006F78BE"/>
    <w:rsid w:val="006F7EBA"/>
    <w:rsid w:val="007028AE"/>
    <w:rsid w:val="00706669"/>
    <w:rsid w:val="00713C0C"/>
    <w:rsid w:val="00715294"/>
    <w:rsid w:val="0072023F"/>
    <w:rsid w:val="0072115B"/>
    <w:rsid w:val="00721949"/>
    <w:rsid w:val="00721A84"/>
    <w:rsid w:val="00723D29"/>
    <w:rsid w:val="007272C9"/>
    <w:rsid w:val="00731468"/>
    <w:rsid w:val="007433D4"/>
    <w:rsid w:val="0074342F"/>
    <w:rsid w:val="007450A6"/>
    <w:rsid w:val="00753001"/>
    <w:rsid w:val="007551BF"/>
    <w:rsid w:val="00767FCF"/>
    <w:rsid w:val="00770024"/>
    <w:rsid w:val="007749A1"/>
    <w:rsid w:val="0078405D"/>
    <w:rsid w:val="00784D7A"/>
    <w:rsid w:val="007854B3"/>
    <w:rsid w:val="007979B1"/>
    <w:rsid w:val="007A2A3C"/>
    <w:rsid w:val="007A658E"/>
    <w:rsid w:val="007B0806"/>
    <w:rsid w:val="007B0FB7"/>
    <w:rsid w:val="007C6844"/>
    <w:rsid w:val="007E290A"/>
    <w:rsid w:val="007F4591"/>
    <w:rsid w:val="007F54A6"/>
    <w:rsid w:val="007F57A4"/>
    <w:rsid w:val="00800FF0"/>
    <w:rsid w:val="00811A4F"/>
    <w:rsid w:val="00811DE0"/>
    <w:rsid w:val="00812949"/>
    <w:rsid w:val="0081660B"/>
    <w:rsid w:val="00822646"/>
    <w:rsid w:val="00822F6A"/>
    <w:rsid w:val="008259B0"/>
    <w:rsid w:val="00826D39"/>
    <w:rsid w:val="00833B09"/>
    <w:rsid w:val="00834D05"/>
    <w:rsid w:val="00835CCF"/>
    <w:rsid w:val="00836CE1"/>
    <w:rsid w:val="008421B8"/>
    <w:rsid w:val="00842D35"/>
    <w:rsid w:val="008443FF"/>
    <w:rsid w:val="008453BB"/>
    <w:rsid w:val="0084737F"/>
    <w:rsid w:val="008545E0"/>
    <w:rsid w:val="00860F38"/>
    <w:rsid w:val="0087237C"/>
    <w:rsid w:val="00872B6C"/>
    <w:rsid w:val="0088331B"/>
    <w:rsid w:val="00884826"/>
    <w:rsid w:val="00886138"/>
    <w:rsid w:val="00886CFD"/>
    <w:rsid w:val="00890B17"/>
    <w:rsid w:val="008923FD"/>
    <w:rsid w:val="0089638E"/>
    <w:rsid w:val="008A1677"/>
    <w:rsid w:val="008A3CF6"/>
    <w:rsid w:val="008B0031"/>
    <w:rsid w:val="008B038A"/>
    <w:rsid w:val="008B0687"/>
    <w:rsid w:val="008B4775"/>
    <w:rsid w:val="008B5BBC"/>
    <w:rsid w:val="008C5578"/>
    <w:rsid w:val="008C7AB1"/>
    <w:rsid w:val="008D2C4F"/>
    <w:rsid w:val="008D3984"/>
    <w:rsid w:val="008D541D"/>
    <w:rsid w:val="008E02ED"/>
    <w:rsid w:val="008E34A4"/>
    <w:rsid w:val="008E45B7"/>
    <w:rsid w:val="008E4B54"/>
    <w:rsid w:val="008F2AC4"/>
    <w:rsid w:val="008F4149"/>
    <w:rsid w:val="008F707D"/>
    <w:rsid w:val="00904079"/>
    <w:rsid w:val="00904BC2"/>
    <w:rsid w:val="00906BFA"/>
    <w:rsid w:val="00916A5A"/>
    <w:rsid w:val="00917196"/>
    <w:rsid w:val="00921558"/>
    <w:rsid w:val="009248B0"/>
    <w:rsid w:val="00926F3A"/>
    <w:rsid w:val="009319BD"/>
    <w:rsid w:val="00931D71"/>
    <w:rsid w:val="00932E28"/>
    <w:rsid w:val="0093332B"/>
    <w:rsid w:val="0094025E"/>
    <w:rsid w:val="0094383B"/>
    <w:rsid w:val="009629EB"/>
    <w:rsid w:val="00964DE5"/>
    <w:rsid w:val="00973982"/>
    <w:rsid w:val="00981503"/>
    <w:rsid w:val="009908C5"/>
    <w:rsid w:val="009924AC"/>
    <w:rsid w:val="00992731"/>
    <w:rsid w:val="00992A07"/>
    <w:rsid w:val="009934FC"/>
    <w:rsid w:val="009A06AA"/>
    <w:rsid w:val="009C5437"/>
    <w:rsid w:val="009D2D67"/>
    <w:rsid w:val="009D4560"/>
    <w:rsid w:val="009D7441"/>
    <w:rsid w:val="009D7C2D"/>
    <w:rsid w:val="009E3D42"/>
    <w:rsid w:val="009E6355"/>
    <w:rsid w:val="009E7FB7"/>
    <w:rsid w:val="009F11F4"/>
    <w:rsid w:val="009F43AE"/>
    <w:rsid w:val="00A045BD"/>
    <w:rsid w:val="00A06683"/>
    <w:rsid w:val="00A143E9"/>
    <w:rsid w:val="00A3138A"/>
    <w:rsid w:val="00A32965"/>
    <w:rsid w:val="00A4125E"/>
    <w:rsid w:val="00A44F29"/>
    <w:rsid w:val="00A46080"/>
    <w:rsid w:val="00A464FF"/>
    <w:rsid w:val="00A472A0"/>
    <w:rsid w:val="00A47C29"/>
    <w:rsid w:val="00A47DAE"/>
    <w:rsid w:val="00A52C33"/>
    <w:rsid w:val="00A52F5E"/>
    <w:rsid w:val="00A53AF4"/>
    <w:rsid w:val="00A65683"/>
    <w:rsid w:val="00A67C44"/>
    <w:rsid w:val="00A74221"/>
    <w:rsid w:val="00A74EC3"/>
    <w:rsid w:val="00A7611A"/>
    <w:rsid w:val="00A7743E"/>
    <w:rsid w:val="00A77E1E"/>
    <w:rsid w:val="00A77E89"/>
    <w:rsid w:val="00A82D84"/>
    <w:rsid w:val="00A8576D"/>
    <w:rsid w:val="00AA1EDC"/>
    <w:rsid w:val="00AA6708"/>
    <w:rsid w:val="00AB3AFC"/>
    <w:rsid w:val="00AB5872"/>
    <w:rsid w:val="00AC5332"/>
    <w:rsid w:val="00AE2179"/>
    <w:rsid w:val="00AF384D"/>
    <w:rsid w:val="00AF625F"/>
    <w:rsid w:val="00AF7A61"/>
    <w:rsid w:val="00B0103A"/>
    <w:rsid w:val="00B0110A"/>
    <w:rsid w:val="00B057DD"/>
    <w:rsid w:val="00B15503"/>
    <w:rsid w:val="00B34D23"/>
    <w:rsid w:val="00B35358"/>
    <w:rsid w:val="00B35F3F"/>
    <w:rsid w:val="00B523BB"/>
    <w:rsid w:val="00B5289B"/>
    <w:rsid w:val="00B5612B"/>
    <w:rsid w:val="00B57893"/>
    <w:rsid w:val="00B61F0B"/>
    <w:rsid w:val="00B67CC1"/>
    <w:rsid w:val="00B73815"/>
    <w:rsid w:val="00B73DB7"/>
    <w:rsid w:val="00B754B6"/>
    <w:rsid w:val="00B75E60"/>
    <w:rsid w:val="00B87C3E"/>
    <w:rsid w:val="00B9605E"/>
    <w:rsid w:val="00BA0816"/>
    <w:rsid w:val="00BA46B0"/>
    <w:rsid w:val="00BA6DB1"/>
    <w:rsid w:val="00BB309B"/>
    <w:rsid w:val="00BB4B6C"/>
    <w:rsid w:val="00BB536E"/>
    <w:rsid w:val="00BB5AD1"/>
    <w:rsid w:val="00BB5F29"/>
    <w:rsid w:val="00BB71DF"/>
    <w:rsid w:val="00BC166E"/>
    <w:rsid w:val="00BD1169"/>
    <w:rsid w:val="00BD34AF"/>
    <w:rsid w:val="00BD553F"/>
    <w:rsid w:val="00BD7975"/>
    <w:rsid w:val="00BE29D8"/>
    <w:rsid w:val="00BE3924"/>
    <w:rsid w:val="00BE69F5"/>
    <w:rsid w:val="00BF2F82"/>
    <w:rsid w:val="00BF7046"/>
    <w:rsid w:val="00C03610"/>
    <w:rsid w:val="00C0430F"/>
    <w:rsid w:val="00C078A5"/>
    <w:rsid w:val="00C232C9"/>
    <w:rsid w:val="00C24BEA"/>
    <w:rsid w:val="00C25E55"/>
    <w:rsid w:val="00C26E78"/>
    <w:rsid w:val="00C278FE"/>
    <w:rsid w:val="00C32785"/>
    <w:rsid w:val="00C32EE4"/>
    <w:rsid w:val="00C32F20"/>
    <w:rsid w:val="00C55413"/>
    <w:rsid w:val="00C55528"/>
    <w:rsid w:val="00C56AA8"/>
    <w:rsid w:val="00C6199B"/>
    <w:rsid w:val="00C64E7D"/>
    <w:rsid w:val="00C651A5"/>
    <w:rsid w:val="00C7177A"/>
    <w:rsid w:val="00C73EAF"/>
    <w:rsid w:val="00C75301"/>
    <w:rsid w:val="00C77BD3"/>
    <w:rsid w:val="00C8729A"/>
    <w:rsid w:val="00C91095"/>
    <w:rsid w:val="00C94381"/>
    <w:rsid w:val="00CA3CF8"/>
    <w:rsid w:val="00CA4788"/>
    <w:rsid w:val="00CA75CC"/>
    <w:rsid w:val="00CA75F3"/>
    <w:rsid w:val="00CB3A48"/>
    <w:rsid w:val="00CB4C42"/>
    <w:rsid w:val="00CC0E3E"/>
    <w:rsid w:val="00CC2AF5"/>
    <w:rsid w:val="00CC3CB5"/>
    <w:rsid w:val="00CC6166"/>
    <w:rsid w:val="00CD54BE"/>
    <w:rsid w:val="00CD612F"/>
    <w:rsid w:val="00CD61E0"/>
    <w:rsid w:val="00CD7E25"/>
    <w:rsid w:val="00CE3E82"/>
    <w:rsid w:val="00CE3EB4"/>
    <w:rsid w:val="00CE617C"/>
    <w:rsid w:val="00CF4624"/>
    <w:rsid w:val="00CF5BE5"/>
    <w:rsid w:val="00D0473F"/>
    <w:rsid w:val="00D172FA"/>
    <w:rsid w:val="00D20B96"/>
    <w:rsid w:val="00D2204B"/>
    <w:rsid w:val="00D23C50"/>
    <w:rsid w:val="00D31253"/>
    <w:rsid w:val="00D35847"/>
    <w:rsid w:val="00D40DDD"/>
    <w:rsid w:val="00D430F6"/>
    <w:rsid w:val="00D43D03"/>
    <w:rsid w:val="00D448AF"/>
    <w:rsid w:val="00D45EA7"/>
    <w:rsid w:val="00D475D2"/>
    <w:rsid w:val="00D50856"/>
    <w:rsid w:val="00D52F94"/>
    <w:rsid w:val="00D56FB6"/>
    <w:rsid w:val="00D65298"/>
    <w:rsid w:val="00D706A2"/>
    <w:rsid w:val="00D72013"/>
    <w:rsid w:val="00D757B2"/>
    <w:rsid w:val="00D85677"/>
    <w:rsid w:val="00D91E0D"/>
    <w:rsid w:val="00D92CD6"/>
    <w:rsid w:val="00D93A72"/>
    <w:rsid w:val="00DB07AF"/>
    <w:rsid w:val="00DB1D8D"/>
    <w:rsid w:val="00DB4B1B"/>
    <w:rsid w:val="00DB5464"/>
    <w:rsid w:val="00DC1FA9"/>
    <w:rsid w:val="00DD0D55"/>
    <w:rsid w:val="00DD3BF8"/>
    <w:rsid w:val="00DD423D"/>
    <w:rsid w:val="00DD6CA9"/>
    <w:rsid w:val="00DE4D59"/>
    <w:rsid w:val="00DF03DC"/>
    <w:rsid w:val="00DF0D6E"/>
    <w:rsid w:val="00DF23DE"/>
    <w:rsid w:val="00DF74F8"/>
    <w:rsid w:val="00E0030F"/>
    <w:rsid w:val="00E0114C"/>
    <w:rsid w:val="00E039FF"/>
    <w:rsid w:val="00E05E3E"/>
    <w:rsid w:val="00E12124"/>
    <w:rsid w:val="00E12A3E"/>
    <w:rsid w:val="00E14849"/>
    <w:rsid w:val="00E16313"/>
    <w:rsid w:val="00E1740E"/>
    <w:rsid w:val="00E25839"/>
    <w:rsid w:val="00E3132F"/>
    <w:rsid w:val="00E37B97"/>
    <w:rsid w:val="00E45517"/>
    <w:rsid w:val="00E470FC"/>
    <w:rsid w:val="00E504EE"/>
    <w:rsid w:val="00E54D23"/>
    <w:rsid w:val="00E54DFB"/>
    <w:rsid w:val="00E5522F"/>
    <w:rsid w:val="00E575F6"/>
    <w:rsid w:val="00E61157"/>
    <w:rsid w:val="00E71060"/>
    <w:rsid w:val="00E80C1F"/>
    <w:rsid w:val="00E835B5"/>
    <w:rsid w:val="00E87EBF"/>
    <w:rsid w:val="00E92DB9"/>
    <w:rsid w:val="00E9452C"/>
    <w:rsid w:val="00EA072E"/>
    <w:rsid w:val="00EA1390"/>
    <w:rsid w:val="00EA1D8A"/>
    <w:rsid w:val="00EA275D"/>
    <w:rsid w:val="00EA60A7"/>
    <w:rsid w:val="00EA66D6"/>
    <w:rsid w:val="00EB1E46"/>
    <w:rsid w:val="00EB3BDE"/>
    <w:rsid w:val="00EB5E64"/>
    <w:rsid w:val="00EC22D7"/>
    <w:rsid w:val="00EC7116"/>
    <w:rsid w:val="00ED77AE"/>
    <w:rsid w:val="00EE21D2"/>
    <w:rsid w:val="00EE487E"/>
    <w:rsid w:val="00EE568D"/>
    <w:rsid w:val="00EE604D"/>
    <w:rsid w:val="00EE773C"/>
    <w:rsid w:val="00EF1565"/>
    <w:rsid w:val="00EF1F11"/>
    <w:rsid w:val="00EF3BA4"/>
    <w:rsid w:val="00EF3BB2"/>
    <w:rsid w:val="00EF52B5"/>
    <w:rsid w:val="00EF654F"/>
    <w:rsid w:val="00EF7DDF"/>
    <w:rsid w:val="00F0090B"/>
    <w:rsid w:val="00F0606D"/>
    <w:rsid w:val="00F060A0"/>
    <w:rsid w:val="00F070EE"/>
    <w:rsid w:val="00F14CB3"/>
    <w:rsid w:val="00F21C79"/>
    <w:rsid w:val="00F23EFD"/>
    <w:rsid w:val="00F30BB0"/>
    <w:rsid w:val="00F339BF"/>
    <w:rsid w:val="00F535FD"/>
    <w:rsid w:val="00F55615"/>
    <w:rsid w:val="00F56CDC"/>
    <w:rsid w:val="00F624CF"/>
    <w:rsid w:val="00F64035"/>
    <w:rsid w:val="00F80D3F"/>
    <w:rsid w:val="00F8568D"/>
    <w:rsid w:val="00F87530"/>
    <w:rsid w:val="00F91A5E"/>
    <w:rsid w:val="00F92198"/>
    <w:rsid w:val="00F95F8E"/>
    <w:rsid w:val="00FA6ECF"/>
    <w:rsid w:val="00FB42DE"/>
    <w:rsid w:val="00FB4469"/>
    <w:rsid w:val="00FC55A7"/>
    <w:rsid w:val="00FD2C4C"/>
    <w:rsid w:val="00FD4E5F"/>
    <w:rsid w:val="00FE14AF"/>
    <w:rsid w:val="00FE46A3"/>
    <w:rsid w:val="00FE52BF"/>
    <w:rsid w:val="00FF0C72"/>
  </w:rsids>
  <w:themeFontLang w:val="pt-BR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Arial" w:eastAsiaTheme="minorHAnsi" w:hAnsi="Arial"/>
        <w:sz w:val="22"/>
        <w:szCs w:val="22"/>
        <w:lang w:bidi="ar-SA" w:eastAsia="en-US" w:val="pt-BR"/>
      </w:rPr>
    </w:rPrDefault>
    <w:pPrDefault>
      <w:pPr>
        <w:spacing w:line="276" w:lineRule="auto"/>
        <w:jc w:val="both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Pr>
      <w:rFonts w:ascii="Arial" w:hAnsi="Arial"/>
      <w:sz w:val="22"/>
    </w:rPr>
  </w:style>
  <w:style w:styleId="Ttulo2" w:type="paragraph">
    <w:name w:val="heading 2"/>
    <w:basedOn w:val="Normal"/>
    <w:next w:val="Normal"/>
    <w:link w:val="Ttulo2Char"/>
    <w:uiPriority w:val="9"/>
    <w:unhideWhenUsed/>
    <w:qFormat/>
    <w:rsid w:val="000414DF"/>
    <w:pPr>
      <w:keepNext/>
      <w:keepLines/>
      <w:spacing w:before="200"/>
      <w:jc w:val="left"/>
      <w:outlineLvl w:val="1"/>
    </w:pPr>
    <w:rPr>
      <w:rFonts w:cstheme="majorBidi" w:eastAsiaTheme="majorEastAsia"/>
      <w:b/>
      <w:bCs/>
      <w:color w:themeColor="text1" w:val="000000"/>
      <w:szCs w:val="26"/>
      <w:lang w:val="en-US"/>
    </w:rPr>
  </w:style>
  <w:style w:default="1" w:styleId="Fontepargpadro" w:type="character">
    <w:name w:val="Default Paragraph Font"/>
    <w:uiPriority w:val="1"/>
    <w:semiHidden/>
    <w:unhideWhenUsed/>
  </w:style>
  <w:style w:default="1" w:styleId="Tabela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Semlista" w:type="numbering">
    <w:name w:val="No List"/>
    <w:uiPriority w:val="99"/>
    <w:semiHidden/>
    <w:unhideWhenUsed/>
  </w:style>
  <w:style w:customStyle="1" w:styleId="Ttulo2Char" w:type="character">
    <w:name w:val="Título 2 Char"/>
    <w:basedOn w:val="Fontepargpadro"/>
    <w:link w:val="Ttulo2"/>
    <w:uiPriority w:val="9"/>
    <w:rsid w:val="000414DF"/>
    <w:rPr>
      <w:rFonts w:ascii="Arial" w:cstheme="majorBidi" w:eastAsiaTheme="majorEastAsia" w:hAnsi="Arial"/>
      <w:b/>
      <w:bCs/>
      <w:color w:themeColor="text1" w:val="000000"/>
      <w:szCs w:val="26"/>
      <w:lang w:val="en-US"/>
    </w:rPr>
  </w:style>
  <w:style w:styleId="Nmerodelinha" w:type="character">
    <w:name w:val="line number"/>
    <w:basedOn w:val="Fontepargpadro"/>
    <w:uiPriority w:val="99"/>
    <w:semiHidden/>
    <w:unhideWhenUsed/>
    <w:rsid w:val="005F5FEB"/>
  </w:style>
  <w:style w:styleId="Cabealho" w:type="paragraph">
    <w:name w:val="header"/>
    <w:basedOn w:val="Normal"/>
    <w:link w:val="CabealhoChar"/>
    <w:uiPriority w:val="99"/>
    <w:unhideWhenUsed/>
    <w:rsid w:val="005F5FEB"/>
    <w:pPr>
      <w:tabs>
        <w:tab w:pos="4252" w:val="center"/>
        <w:tab w:pos="8504" w:val="right"/>
      </w:tabs>
      <w:spacing w:line="240" w:lineRule="auto"/>
    </w:pPr>
  </w:style>
  <w:style w:customStyle="1" w:styleId="CabealhoChar" w:type="character">
    <w:name w:val="Cabeçalho Char"/>
    <w:basedOn w:val="Fontepargpadro"/>
    <w:link w:val="Cabealho"/>
    <w:uiPriority w:val="99"/>
    <w:rsid w:val="005F5FEB"/>
  </w:style>
  <w:style w:styleId="Rodap" w:type="paragraph">
    <w:name w:val="footer"/>
    <w:basedOn w:val="Normal"/>
    <w:link w:val="RodapChar"/>
    <w:uiPriority w:val="99"/>
    <w:unhideWhenUsed/>
    <w:rsid w:val="005F5FEB"/>
    <w:pPr>
      <w:tabs>
        <w:tab w:pos="4252" w:val="center"/>
        <w:tab w:pos="8504" w:val="right"/>
      </w:tabs>
      <w:spacing w:line="240" w:lineRule="auto"/>
    </w:pPr>
  </w:style>
  <w:style w:customStyle="1" w:styleId="RodapChar" w:type="character">
    <w:name w:val="Rodapé Char"/>
    <w:basedOn w:val="Fontepargpadro"/>
    <w:link w:val="Rodap"/>
    <w:uiPriority w:val="99"/>
    <w:rsid w:val="005F5FEB"/>
  </w:style>
  <w:style w:styleId="Hyperlink" w:type="character">
    <w:name w:val="Hyperlink"/>
    <w:basedOn w:val="Fontepargpadro"/>
    <w:uiPriority w:val="99"/>
    <w:unhideWhenUsed/>
    <w:rsid w:val="00AA1EDC"/>
    <w:rPr>
      <w:color w:themeColor="hyperlink" w:val="0000FF"/>
      <w:u w:val="single"/>
    </w:rPr>
  </w:style>
  <w:style w:styleId="Textodebalo" w:type="paragraph">
    <w:name w:val="Balloon Text"/>
    <w:basedOn w:val="Normal"/>
    <w:link w:val="TextodebaloChar"/>
    <w:uiPriority w:val="99"/>
    <w:semiHidden/>
    <w:unhideWhenUsed/>
    <w:rsid w:val="001E108A"/>
    <w:pPr>
      <w:spacing w:line="240" w:lineRule="auto"/>
    </w:pPr>
    <w:rPr>
      <w:rFonts w:ascii="Tahoma" w:cs="Tahoma" w:hAnsi="Tahoma"/>
      <w:sz w:val="16"/>
      <w:szCs w:val="16"/>
    </w:rPr>
  </w:style>
  <w:style w:customStyle="1" w:styleId="TextodebaloChar" w:type="character">
    <w:name w:val="Texto de balão Char"/>
    <w:basedOn w:val="Fontepargpadro"/>
    <w:link w:val="Textodebalo"/>
    <w:uiPriority w:val="99"/>
    <w:semiHidden/>
    <w:rsid w:val="001E108A"/>
    <w:rPr>
      <w:rFonts w:ascii="Tahoma" w:cs="Tahoma" w:hAnsi="Tahoma"/>
      <w:sz w:val="16"/>
      <w:szCs w:val="16"/>
    </w:rPr>
  </w:style>
  <w:style w:styleId="SemEspaamento" w:type="paragraph">
    <w:name w:val="No Spacing"/>
    <w:uiPriority w:val="1"/>
    <w:qFormat/>
    <w:rsid w:val="001E108A"/>
    <w:pPr>
      <w:spacing w:line="240" w:lineRule="auto"/>
    </w:pPr>
  </w:style>
  <w:style w:styleId="PargrafodaLista" w:type="paragraph">
    <w:name w:val="List Paragraph"/>
    <w:basedOn w:val="Normal"/>
    <w:uiPriority w:val="34"/>
    <w:qFormat/>
    <w:rsid w:val="009629EB"/>
    <w:pPr>
      <w:ind w:left="720"/>
      <w:contextualSpacing/>
    </w:pPr>
  </w:style>
  <w:style w:styleId="Reviso" w:type="paragraph">
    <w:name w:val="Revision"/>
    <w:hidden/>
    <w:uiPriority w:val="99"/>
    <w:semiHidden/>
    <w:rsid w:val="00AF384D"/>
    <w:pPr>
      <w:spacing w:line="240" w:lineRule="auto"/>
      <w:jc w:val="left"/>
    </w:pPr>
  </w:style>
  <w:style w:customStyle="1" w:styleId="fontstyle01" w:type="character">
    <w:name w:val="fontstyle01"/>
    <w:basedOn w:val="Fontepargpadro"/>
    <w:rsid w:val="00AF384D"/>
    <w:rPr>
      <w:rFonts w:ascii="ArialMT" w:hAnsi="ArialMT" w:hint="default"/>
      <w:b w:val="0"/>
      <w:bCs w:val="0"/>
      <w:i w:val="0"/>
      <w:iCs w:val="0"/>
      <w:color w:val="000000"/>
      <w:sz w:val="22"/>
      <w:szCs w:val="22"/>
    </w:rPr>
  </w:style>
  <w:style w:customStyle="1" w:styleId="normaltextrun" w:type="character">
    <w:name w:val="normaltextrun"/>
    <w:basedOn w:val="Fontepargpadro"/>
    <w:rsid w:val="00DF03DC"/>
  </w:style>
  <w:style w:styleId="Tabelacomgrade" w:type="table">
    <w:name w:val="Table Grid"/>
    <w:basedOn w:val="Tabelanormal"/>
    <w:uiPriority w:val="59"/>
    <w:rsid w:val="00DB4B1B"/>
    <w:pPr>
      <w:spacing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implesTabela2" w:type="table">
    <w:name w:val="Plain Table 2"/>
    <w:basedOn w:val="Tabelanormal"/>
    <w:uiPriority w:val="42"/>
    <w:rsid w:val="00DB4B1B"/>
    <w:pPr>
      <w:spacing w:line="240" w:lineRule="auto"/>
    </w:pPr>
    <w:tblPr>
      <w:tblStyleRowBandSize w:val="1"/>
      <w:tblStyleColBandSize w:val="1"/>
      <w:tblBorders>
        <w:top w:color="7F7F7F" w:space="0" w:sz="4" w:themeColor="text1" w:themeTint="80" w:val="single"/>
        <w:bottom w:color="7F7F7F" w:space="0" w:sz="4" w:themeColor="text1" w:themeTint="80" w:val="single"/>
      </w:tblBorders>
    </w:tblPr>
    <w:tblStylePr w:type="firstRow">
      <w:rPr>
        <w:b/>
        <w:bCs/>
      </w:rPr>
      <w:tblPr/>
      <w:tcPr>
        <w:tcBorders>
          <w:bottom w:color="7F7F7F" w:space="0" w:sz="4" w:themeColor="text1" w:themeTint="80" w:val="single"/>
        </w:tcBorders>
      </w:tcPr>
    </w:tblStylePr>
    <w:tblStylePr w:type="lastRow">
      <w:rPr>
        <w:b/>
        <w:bCs/>
      </w:rPr>
      <w:tblPr/>
      <w:tcPr>
        <w:tcBorders>
          <w:top w:color="7F7F7F" w:space="0" w:sz="4" w:themeColor="text1" w:themeTint="80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color="7F7F7F" w:space="0" w:sz="4" w:themeColor="text1" w:themeTint="80" w:val="single"/>
          <w:right w:color="7F7F7F" w:space="0" w:sz="4" w:themeColor="text1" w:themeTint="80" w:val="single"/>
        </w:tcBorders>
      </w:tcPr>
    </w:tblStylePr>
    <w:tblStylePr w:type="band2Vert">
      <w:tblPr/>
      <w:tcPr>
        <w:tcBorders>
          <w:left w:color="7F7F7F" w:space="0" w:sz="4" w:themeColor="text1" w:themeTint="80" w:val="single"/>
          <w:right w:color="7F7F7F" w:space="0" w:sz="4" w:themeColor="text1" w:themeTint="80" w:val="single"/>
        </w:tcBorders>
      </w:tcPr>
    </w:tblStylePr>
    <w:tblStylePr w:type="band1Horz">
      <w:tblPr/>
      <w:tcPr>
        <w:tcBorders>
          <w:top w:color="7F7F7F" w:space="0" w:sz="4" w:themeColor="text1" w:themeTint="80" w:val="single"/>
          <w:bottom w:color="7F7F7F" w:space="0" w:sz="4" w:themeColor="text1" w:themeTint="80" w:val="single"/>
        </w:tcBorders>
      </w:tcPr>
    </w:tblStylePr>
  </w:style>
  <w:style w:styleId="MenoPendente" w:type="character">
    <w:name w:val="Unresolved Mention"/>
    <w:basedOn w:val="Fontepargpadro"/>
    <w:uiPriority w:val="99"/>
    <w:semiHidden/>
    <w:unhideWhenUsed/>
    <w:rsid w:val="007979B1"/>
    <w:rPr>
      <w:color w:val="605E5C"/>
      <w:shd w:color="auto" w:fill="E1DFDD" w:val="clear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21" Type="http://schemas.openxmlformats.org/officeDocument/2006/relationships/numbering" Target="numbering.xml"/><Relationship Id="rId20" Type="http://schemas.openxmlformats.org/officeDocument/2006/relationships/styles" Target="styles.xml"/><Relationship Id="rId19" Type="http://schemas.openxmlformats.org/officeDocument/2006/relationships/settings" Target="settings.xml"/><Relationship Id="rId18" Type="http://schemas.openxmlformats.org/officeDocument/2006/relationships/webSettings" Target="webSettings.xml"/><Relationship Id="rId17" Type="http://schemas.openxmlformats.org/officeDocument/2006/relationships/fontTable" Target="fontTable.xml"/><Relationship Id="rId16" Type="http://schemas.openxmlformats.org/officeDocument/2006/relationships/theme" Target="theme/theme1.xml"/><Relationship Id="rId15" Type="http://schemas.openxmlformats.org/officeDocument/2006/relationships/footnotes" Target="footnotes.xml"/><Relationship Id="rId14" Type="http://schemas.openxmlformats.org/officeDocument/2006/relationships/comments" Target="comments.xml"/><Relationship Id="rId13" Type="http://schemas.openxmlformats.org/officeDocument/2006/relationships/footer" Target="footer2.xml"/><Relationship Id="rId12" Type="http://schemas.openxmlformats.org/officeDocument/2006/relationships/footer" Target="footer1.xml"/><Relationship Id="rId11" Type="http://schemas.openxmlformats.org/officeDocument/2006/relationships/header" Target="header1.xml"/><Relationship Id="rId72" Type="http://schemas.openxmlformats.org/officeDocument/2006/relationships/image" Target="media/rId72.png"/><Relationship Id="rId54" Type="http://schemas.openxmlformats.org/officeDocument/2006/relationships/image" Target="media/rId54.png"/><Relationship Id="rId60" Type="http://schemas.openxmlformats.org/officeDocument/2006/relationships/image" Target="media/rId60.png"/><Relationship Id="rId67" Type="http://schemas.openxmlformats.org/officeDocument/2006/relationships/image" Target="media/rId67.png"/><Relationship Id="rId81" Type="http://schemas.openxmlformats.org/officeDocument/2006/relationships/image" Target="media/rId81.png"/><Relationship Id="rId34" Type="http://schemas.openxmlformats.org/officeDocument/2006/relationships/image" Target="media/rId34.png"/><Relationship Id="rId44" Type="http://schemas.openxmlformats.org/officeDocument/2006/relationships/image" Target="media/rId44.png"/><Relationship Id="rId48" Type="http://schemas.openxmlformats.org/officeDocument/2006/relationships/image" Target="media/rId48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5</Pages>
  <Words>1378</Words>
  <Characters>8678</Characters>
  <Application>Microsoft Office Word</Application>
  <DocSecurity>0</DocSecurity>
  <Lines>180</Lines>
  <Paragraphs>44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10012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2026-09-24T00:48:29Z</dcterms:created>
  <dcterms:modified xsi:type="dcterms:W3CDTF">2026-09-24T00:48:29Z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C:\Users\user\Documents\ProjetoRacismoPNAD\relatorio_tcc.bib</vt:lpwstr>
  </property>
  <property fmtid="{D5CDD505-2E9C-101B-9397-08002B2CF9AE}" pid="3" name="csl">
    <vt:lpwstr>C:\Users\user\Documents\ProjetoRacismoPNAD\tcc\scripts\abnt.csl</vt:lpwstr>
  </property>
</Properties>
</file>