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Ricardo Gomes Calheiros</w:t>
      </w: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; Edilson José Rodrigues</w:t>
      </w:r>
      <w:r>
        <w:rPr>
          <w:rFonts w:ascii="Arial" w:hAnsi="Arial"/>
          <w:sz w:val="22"/>
          <w:vertAlign w:val="superscript"/>
        </w:rPr>
        <w:t xml:space="preserve">2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Especialista em Finanças, Controladoria e Auditoria.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 autor correspondente: rickinrj@gmail.com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Doutor em Engenharia Elétrica. MBA USP/Esalq.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E-mail: orientador@usp.br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bCs/>
          <w:sz w:val="22"/>
        </w:rPr>
        <w:t xml:space="preserve">Resumo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sz w:val="22"/>
        </w:rPr>
        <w:t xml:space="preserve">Este trabalho investigou o diferencial racial de rendimentos e as barreiras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ocupacional no Brasil com a série completa da Pesquisa Nacional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 de Domicílios Contínua, de 2016 a 2025, sobre 7.694.198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da população ocupada com rendimento positivo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40.969 setores de amostragem. Quatro métodos foram aplicados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 articulada: modelo linear hierárquico de dois níveis, com indivíduos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aninhados em bairros e efeitos fixos de estado; decomposição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Oaxaca–Blinder; regressão quantílica com decomposição por função de influência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recentrada; e modelo logístico multinível de acesso, estimado por máxima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verossimilhança. Um modelo de aprendizado de máquina interpretável serviu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contraprova à forma funcional. O gap agregado foi de 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quais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diferencial que sobreviveu ao controle de capital humano, contexto e estado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ocupação. A decomposição atribuiu 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diferenciais. O modelo de acesso estimou razão de chances de 0,699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 e 0,654 para o décimo superior da renda, indicando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barreira que se agrava no topo.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de gênero isoladas. Concluiu-se que a discriminação operou sobretudo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 ocupação, e não apenas no salário, de modo que políticas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 se mostraram insuficientes.</w:t>
      </w:r>
    </w:p>
    <w:p>
      <w:pPr>
        <w:pStyle w:val="BodyText"/>
        <w:spacing w:line="240" w:lineRule="auto" w:before="0" w:after="28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Palavras-chave</w:t>
      </w:r>
      <w:r>
        <w:rPr>
          <w:rFonts w:ascii="Arial" w:hAnsi="Arial"/>
          <w:sz w:val="22"/>
        </w:rPr>
        <w:t xml:space="preserve">: diferencial racial de rendimentos;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segregação residencial; teto de vidro; decomposição de Oaxaca–Blinder;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interseccionalidade.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Structural racism in the Brazilian labour market: a multilevel and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wage-decomposition approach</w:t>
      </w:r>
    </w:p>
    <w:p>
      <w:pPr>
        <w:pStyle w:val="BodyText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bCs/>
          <w:sz w:val="22"/>
        </w:rPr>
        <w:t xml:space="preserve">Abstract</w:t>
      </w:r>
    </w:p>
    <w:p>
      <w:pPr>
        <w:pStyle w:val="BodyText"/>
        <w:spacing w:line="240" w:lineRule="auto" w:before="0" w:after="0"/>
        <w:ind w:firstLine="0"/>
        <w:jc w:val="both"/>
      </w:pPr>
      <w:r>
        <w:rPr>
          <w:rFonts w:ascii="Arial" w:hAnsi="Arial"/>
          <w:sz w:val="22"/>
        </w:rPr>
        <w:t xml:space="preserve">This study examined the racial earnings differential and occupational access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barriers in Brazil using the complete series of the Brazilian Continuous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National Household Sample Survey, from 2016 to 2025, covering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7.694.198 observations of employed workers with positive earnings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40.969 sampling units. Four methods were jointly applied: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two-level hierarchical linear model, with individuals nested in neighbourhoods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and state fixed effects; an Oaxaca–Blinder decomposition; quantile regression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with recentred influence function decomposition; and a multilevel logistic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 of occupational access, estimated by maximum likelihood. An interpretable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machine learning model served as a functional-form check. The aggregate gap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neighbourhood of residence; the differential surviving controls for human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capital, context and state was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persisted within the same occupation. The decomposition attributed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estimated odds ratios of 0,699 for qualified occupations and 0,654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the top income decile, indicating a barrier that tightens towards the top. The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disadvantage faced by Black women exceeded the sum of the separate race and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gender penalties by 4,6 percentage points. It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concluded that discrimination operated mainly in access to occupations, not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only in wages, so that policies centred solely on schooling proved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insufficient.</w:t>
      </w:r>
    </w:p>
    <w:p>
      <w:pPr>
        <w:pStyle w:val="BodyText"/>
        <w:spacing w:line="240" w:lineRule="auto" w:before="0" w:after="280"/>
        <w:ind w:firstLine="0"/>
        <w:jc w:val="both"/>
      </w:pPr>
      <w:r>
        <w:rPr>
          <w:rFonts w:ascii="Arial" w:hAnsi="Arial"/>
          <w:b/>
          <w:bCs/>
          <w:sz w:val="22"/>
        </w:rPr>
        <w:t xml:space="preserve">Keywords</w:t>
      </w:r>
      <w:r>
        <w:rPr>
          <w:rFonts w:ascii="Arial" w:hAnsi="Arial"/>
          <w:sz w:val="22"/>
        </w:rPr>
        <w:t xml:space="preserve">: racial earnings gap; residential segregation; glass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ceiling; Oaxaca–Blinder decomposition; intersectionality.</w:t>
      </w:r>
    </w:p>
    <w:bookmarkStart w:id="22" w:name="introduç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Introdução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Brasil é um dos países com maior desigualdade racial de renda no mundo,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razão entre o rendimento médio de trabalhadores brancos e negros permanece 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1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1,5 em toda a série histórica disponível, mesmo quando se controlam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experiência e setor de atividade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2023)</w:t>
      </w:r>
      <w:r>
        <w:rPr>
          <w:rFonts w:ascii="Arial" w:hAnsi="Arial"/>
          <w:sz w:val="22"/>
        </w:rPr>
        <w:t xml:space="preserve">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explicação usual atribui esse hiato a diferenças de qualificação; se ela fosse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suficiente, a expansão do acesso ao ensino teria dissolvido o diferencial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das últimas décadas, o que não ocorreu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(Hasenbalg, 1979)</w:t>
      </w:r>
      <w:r>
        <w:rPr>
          <w:rFonts w:ascii="Arial" w:hAnsi="Arial"/>
          <w:sz w:val="22"/>
        </w:rPr>
        <w:t xml:space="preserve">.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recente reforça o ponto: a Pesquisa de Orçamentos Familiares [POF] registrou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queda de cerca de 30% no Índice de Perda de Qualidade de Vida entre 2008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2018, sem fechar o hiato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2019)</w:t>
      </w:r>
      <w:r>
        <w:rPr>
          <w:rFonts w:ascii="Arial" w:hAnsi="Arial"/>
          <w:sz w:val="22"/>
        </w:rPr>
        <w:t xml:space="preserve">, enquanto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Gini do rendimento domiciliar per capita voltou a subir em 2025, puxado 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2025)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teoria econômica oferece duas explicações concorrentes para um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sobrevive ao controle da produtividade observável, e elas implicam políticas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Becker (1957)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propôs a discriminação por preferência,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o empregador incorre em desutilidade ao contratar o grupo minoritário e,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isso, só o faz a salário menor; nesse modelo, a concorrência tende a erodir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prática.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Arrow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formalizou a discriminação estatística, em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raça é usada como sinal da produtividade média do grupo sob informação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imperfeita; aqui o equilíbrio se autoconfirma, porque o menor retorno esperado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desestimula o investimento em qualificação. A tradição brasileira acrescenta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terceira leitura, na qual o racismo é processo estrutural reproduzido pelas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instituições independentemente da intenção dos agentes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(Almeida, 2019)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que justifica tratar a segregação residencial e a segregação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mecanismos, e não como controles estatísticos.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literatura empírica identifica três canais de reprodução dessa desigualdade: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em processos de seleção e promoção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(Pager, 2007)</w:t>
      </w:r>
      <w:r>
        <w:rPr>
          <w:rFonts w:ascii="Arial" w:hAnsi="Arial"/>
          <w:sz w:val="22"/>
        </w:rPr>
        <w:t xml:space="preserve">;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de vizinhança, pelos quais a concentração de pobreza em bairros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segregados reduz as redes de contato com o mercado formal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(Marques, 2010; Sampson; Raudenbush; Earls, 1997; Wilson, 1987)</w:t>
      </w:r>
      <w:r>
        <w:rPr>
          <w:rFonts w:ascii="Arial" w:hAnsi="Arial"/>
          <w:sz w:val="22"/>
        </w:rPr>
        <w:t xml:space="preserve">; e a subvalorização do capital humano negro, pela qual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mesmo nível de escolaridade rende menos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(Henriques, 2001; Soares, 2009)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Tratados isoladamente, esses mecanismos têm sido difíceis de quantificar de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integrada e em escala nacional, e é essa lacuna que o presente trabalho enfrenta.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Três hipóteses orientaram a investigação. A primeira supôs que parte relevante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racial de rendimentos é mediada pelo contexto do bairro de moradia,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apenas por atributos individuais. A segunda supôs que a penalidade racial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uniforme ao longo da distribuição de renda, mas se agrava no topo, configurando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de vidro. A terceira supôs que a barreira opera antes do salário, no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às ocupações qualificadas, de modo que trabalhadores negros com o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observável enfrentam menor probabilidade de nelas ingressar.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objetivo deste trabalho foi identificar, isolar e quantificar os mecanismos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de rendimentos e de acesso ocupacional no Brasil,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distinguindo a parcela atribuível a diferenças de características da parcela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atribuível a retornos diferenciais, e traduzindo o diagnóstico em implicações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Implementação de Algoritmo(s) de Machine Learning</w:t>
      </w:r>
    </w:p>
    <w:bookmarkStart w:id="24" w:name="base-de-dados-pnad-contínua-20162025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Base de dados: PNAD Contínua (2016–2025)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pesquisa amostral de domicílios conduzida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trimestralmente pelo IBGE, com cobertura nacional e metodologia de painel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rotativo. O microdado contém informações sobre características demográficas,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inserção no mercado de trabalho e rendimentos para todos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moradores dos domicílios selecionados. Para este trabalho, foram processados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40 trimestres disponíveis de 2016T1 a 2025T4, totalizando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15.941.675 observações brutas, das quais 7.694.198 possuem renda positiva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declarada e completude nas variáveis do modelo.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classificação racial segue o critério binário adotado pelos estudos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desigualdade racial no Brasil: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preto (código 2)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pardo (código 4);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branco (código 1), ambos da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V2010 (cor ou raça autodeclarada).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 que é feita a comparação: balanceamento e suporte comum.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Antes de qualquer controle, convém olhar em que brancos e negros diferem — é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Tabela 1. O maior desequilíbrio não está em escolaridade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nem em horas: está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se mora</w:t>
      </w:r>
      <w:r>
        <w:rPr>
          <w:rFonts w:ascii="Arial" w:hAnsi="Arial"/>
          <w:sz w:val="22"/>
        </w:rPr>
        <w:t xml:space="preserve">. A composição racial do bairro tem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padronizada de −1,18 desvios — uma ordem de grandeza acima de qualquer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individual —, seguida do desemprego local (−0,46) e da educação média do entorno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(−0,30). É esse desequilíbrio que o nível 2 do modelo hierárquico absorve.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escolaridade, por sua vez, são condicionais ao registro da variável,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cuja cobertura difere entre os grupos (73,7% contra 65,3% de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registro); por isso o indicador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 em todos os modelos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educacionais são lidos com a cautela registrada nas limitações.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suporte comum é amplo: 97,3% das UPAs abrigam trabalhadores dos dois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grupos e todas as células 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contêm brancos e negros,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comparação não depende de extrapolação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23" w:name="tab:balanceament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1. Balanceamento entre trabalhadores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antes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— a tabela que mostra de que é feita a comparação (Angrist &amp; Pischke, cap. 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padronizada:</w:t>
      </w:r>
      <w:r>
        <w:rPr>
          <w:rFonts w:ascii="Arial" w:hAnsi="Arial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ascii="Arial" w:hAnsi="Arial"/>
          <w:sz w:val="22"/>
        </w:rPr>
        <w:t xml:space="preserve">; valores acima de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módulo indicam desequilíbrio relevante. População completa da PEA com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3.259.516 brancos e 4.434.682 negros).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. 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359"/>
        <w:gridCol w:w="1132"/>
        <w:gridCol w:w="1359"/>
        <w:gridCol w:w="1132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Variável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Brancos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Negros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Diferença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d</m:t>
              </m:r>
            </m:oMath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 do rendimento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7,577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7,151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−1,638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−3,110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1,472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0,399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Fundamental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Médio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Superior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−0,080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Pós-graduação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Escolaridade não registrada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 trabalhadas)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3,644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3,598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Reside em área urbana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0,813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0,493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0,282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0,066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−0,705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0,335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−1,040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−0,327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−0,420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−0,46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−0,133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0,165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−0,298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−0,30</w:t>
            </w:r>
          </w:p>
        </w:tc>
      </w:tr>
    </w:tbl>
    <w:bookmarkEnd w:id="2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Suporte comum: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97,3% das UPAs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dos dois grupos, e 100,0% das células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também (100,0% das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estão em células com os dois grupos) — a comparação não depende de extrapolar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regiões da amostra onde só existe um dos grupos.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24"/>
    <w:bookmarkStart w:id="25" w:name="subsec:hlm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 Linear Hierárquico: indivíduos em bairros (UPA), com efeitos fixos de UF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amostrada por conglomerados: pessoas dentro de unidades primárias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amostragem (UPA, o proxy de bairro), dentro de estados. A hipótese substantiva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(H2) é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 parte do gap racial; o modelo, portanto, coloca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UPA no nível 2 e trata a UF como conjunto de efeitos fixos — 27 unidades são poucas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terceiro nível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e os 26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absorvem todo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 estadual sem hipóteses distribucionais. O modelo de dois níveis é: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1 — indivíduo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i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na UPA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em que</w:t>
      </w:r>
      <w:r>
        <w:rPr>
          <w:rFonts w:ascii="Arial" w:hAnsi="Arial"/>
          <w:sz w:val="22"/>
        </w:rPr>
        <w:t xml:space="preserve"> </w:t>
      </w:r>
      <m:oMath>
        <m:r>
          <m:rPr>
            <m:sty m:val="bi"/>
          </m:rPr>
          <m:t>Z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horas, situação urbana e ano (e, no M4, vínculo e grupo CBO).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2 — bairro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coeficiente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evidência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: morar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com maior concentração de negros reduz 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mede a fração da variância do log-rendimento que está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bairros; valores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 5% justificam o modelo multinível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Estratégia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step-up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, os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estimados em degraus aninhados: M0 (nulo: só o intercepto aleatório, que dá o ICC);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M1 (+ capital humano e demografia); M2 (+ contexto do bairro, nível 2); M3 (+ efeitos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fixos de UF) — o modelo principal, que produz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; e M4 (+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grupo ocupacional), reportado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desfechos da própria discriminação (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degrau é comparado ao anterior por teste de razão de verossimilhança (LR),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redução de</w:t>
      </w:r>
      <w:r>
        <w:rPr>
          <w:rFonts w:ascii="Arial" w:hAnsi="Arial"/>
          <w:sz w:val="22"/>
        </w:rP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relação ao M0 mede a variância entre bairros explicada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pelos controles. Testa-se ainda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inclinação aleatória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(M3 +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com covariância não estruturada) —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 entre bairros? — por LR com dois graus de liberdade. Todos os modelos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estimados por máxima verossimilhança (ML), necessária para comparar efeitos fixos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degraus;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milhões, REML e ML produzem os mesmos componentes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(no M0,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ML e 0,33699 por REML;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ICC idêntico até a quarta casa). A</w:t>
      </w:r>
    </w:p>
    <w:bookmarkEnd w:id="25"/>
    <w:bookmarkStart w:id="26" w:name="subsec:oaxaca_metodo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de Oaxaca–Blinder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Estimam-se equações de rendimento separadas para brancos e negros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decompõe-se a diferença de médias na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(Blinder, 1973; Oaxaca, 1973)</w:t>
      </w:r>
      <w:r>
        <w:rPr>
          <w:rFonts w:ascii="Arial" w:hAnsi="Arial"/>
          <w:sz w:val="22"/>
        </w:rPr>
        <w:t xml:space="preserve">, tomando a estrutura de preços dos brancos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referência não discriminatória: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em que o primeiro termo é a parcela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o segundo, a de retornos. Duas especificações são reportadas: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(A) apenas capital humano e contexto de bairro, comparável à literatura;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(B) acrescentando horas, formalidade e grupo ocupacional como dotações.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adverte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Oaxaca; Ransom (1999)</w:t>
      </w:r>
      <w:r>
        <w:rPr>
          <w:rFonts w:ascii="Arial" w:hAnsi="Arial"/>
          <w:sz w:val="22"/>
        </w:rPr>
        <w:t xml:space="preserve">, a especificação (B) subestima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total, porque a segregação ocupacional é ela própria seu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— por isso ela é lida como limite inferior, e não como a estimativa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preferida. Os erros-padrão vêm de bootstrap em blocos de UPA, e não da fórmula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analítica, que pressupõe independência entre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(Cameron; Gelbach; Miller, 2008)</w:t>
      </w:r>
      <w:r>
        <w:rPr>
          <w:rFonts w:ascii="Arial" w:hAnsi="Arial"/>
          <w:sz w:val="22"/>
        </w:rPr>
        <w:t xml:space="preserve">.</w:t>
      </w:r>
    </w:p>
    <w:bookmarkEnd w:id="26"/>
    <w:bookmarkStart w:id="27" w:name="regressão-quantílica-e-decomposição-r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Regressão quantílica e decomposição RIF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(Koenker; Bassett, 1978)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cinco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rPr>
          <w:rFonts w:ascii="Arial" w:hAnsi="Arial"/>
          <w:sz w:val="22"/>
        </w:rPr>
        <w:t xml:space="preserve">), permitindo testar se a penalidade racial é constante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 distribuição. O teste de igualdade entre os quantis extremos usa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m-out-of-n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blocos de UPA, com reescala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(Bickel; Sakov, 2008)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necessária porque reamostrar todas as 40.969 UPAs a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réplica seria proibitivo com 7,7 milhões de observações.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Complementarmente, a decomposição RIF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aplicada aos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 da distribuição de renda, separando dotações e retornos em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ponto.</w:t>
      </w:r>
    </w:p>
    <w:bookmarkEnd w:id="27"/>
    <w:bookmarkStart w:id="28" w:name="modelo-logístico-multinível-de-acesso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 logístico multinível de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barreira de entrada é modelada por um GLMM logístico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de UPA, estimado por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R, para três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binários: ocupar cargo qualificado (grupos CBO 1–4), estar no quintil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estar no decil superior da renda. A estrutura multinível é a mesma do HLM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, agora com função de ligação logit; o ICC do nível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é calculado por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a formulação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latente apropriada ao modelo logístico. Além da razão de chances, reporta-se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marginal médio em pontos percentuais, porque a razão de chances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Sensibilidade a variáveis omitidas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hipótese de seleção em observáveis não é testável, mas é possível quantificar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de confundimento não observado seria necessário para anular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resultados. Reportam-se duas medidas: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(VanderWeele; Ding, 2017)</w:t>
      </w:r>
      <w:r>
        <w:rPr>
          <w:rFonts w:ascii="Arial" w:hAnsi="Arial"/>
          <w:sz w:val="22"/>
        </w:rPr>
        <w:t xml:space="preserve">, que é a associação mínima — em razão de chances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um confundidor precisaria ter simultaneamente com a raça e com 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explicar o efeito observado; e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expressa a fração da estimativa que precisaria ser viés para invalidar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inferência.</w:t>
      </w:r>
    </w:p>
    <w:bookmarkEnd w:id="29"/>
    <w:bookmarkStart w:id="30" w:name="subsec:inferencia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Inferência: erros-padrão agrupados, poucos clusters e pesos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rPr>
          <w:rFonts w:ascii="Arial" w:hAnsi="Arial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de observações como independentes subestima os erros-padrão pelo fator de Moulton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Por isso, todos os modelos de regressão (OLS com efeitos fixos de UF, decomposição de Oaxaca–Blinder, regressão quantílica e logit) reportam erros-padrão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rPr>
          <w:rFonts w:ascii="Arial" w:hAnsi="Arial"/>
          <w:sz w:val="22"/>
        </w:rPr>
        <w:t xml:space="preserve">) a inferência assintótica é pouco confiável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; quando reportado, usa a distribuição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0,0006 (convencional) para 0,0011 (agrupado por UPA) e 0,0035 (agrupado por UF); para o regressor de contexto</w:t>
      </w:r>
      <w:r>
        <w:rPr>
          <w:rFonts w:ascii="Arial" w:hAnsi="Arial"/>
          <w:sz w:val="22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rPr>
          <w:rFonts w:ascii="Arial" w:hAnsi="Arial"/>
          <w:sz w:val="22"/>
        </w:rP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(UPA) e 51,9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(UF) — a assinatura do efeito Moulton. Como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amostrais.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são estimados sem o peso amostral da PNAD (V1028), isto é, descrevem a regressão na amostra, não a regressão populacional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Como robustez, o M3 foi reestimado por mínimos quadrados ponderados com V1028 e erro-padrão agrupado por UPA: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Random Forest, XGBoost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predição do log-rendimento, foram ajustados dois modelos de ensemble: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(i) </w:t>
      </w:r>
      <w:r>
        <w:rPr>
          <w:rFonts w:ascii="Arial" w:hAnsi="Arial"/>
          <w:sz w:val="22"/>
        </w:rPr>
        <w:t xml:space="preserve">Random Forest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(Breiman, 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200 árvores e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máxima 10; e (ii) 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(Chen; Guestrin, 2016)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300 iterações, taxa de aprendizado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Arial" w:hAnsi="Arial"/>
          <w:sz w:val="22"/>
        </w:rPr>
        <w:t xml:space="preserve">, profundidade máxima 10 e regularização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Arial" w:hAnsi="Arial"/>
          <w:sz w:val="22"/>
        </w:rPr>
        <w:t xml:space="preserve">. A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escolhida por validação cruzada (Tabela 4), e não por conveniência;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modelos usam o mesmo conjunto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features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mesma partição de teste. Sobre o modelo XGBoost,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aplicado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TreeExplainer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biblioteca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(Lundberg; Lee, 2017)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um subsample de 50.000 observações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calcular os valores de Shapley de cada feature.</w:t>
      </w:r>
    </w:p>
    <w:bookmarkEnd w:id="31"/>
    <w:bookmarkEnd w:id="32"/>
    <w:bookmarkStart w:id="90" w:name="resultados-e-discuss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Resultados e Discussão</w:t>
      </w:r>
    </w:p>
    <w:bookmarkStart w:id="39" w:name="subsec:hlm_resultado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Modelos Hierárquicos Lineares — Mediação Contextual do Gap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Esta seção documenta como o território amplifica o gap racial: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bairro de moradia não é apenas contexto — é parte do mecanismo de exclusão.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2 apresenta os cinco degraus da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step-up</w:t>
      </w:r>
      <w:r>
        <w:rPr>
          <w:rFonts w:ascii="Arial" w:hAnsi="Arial"/>
          <w:sz w:val="22"/>
        </w:rPr>
        <w:t xml:space="preserve">, do modelo nulo (M0) ao modelo com ocupação (M4), todos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por UPA e estimados por máxima verossimilhança sobre a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Nota: acompanhe 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Raça (negro)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esquerda para a direita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coluna acrescenta um bloco de controles e o coeficiente se aproxima de zero;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linhas de baixo dizem quanto da variância entre bairros cada bloco explica e se o degrau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melhora o ajuste (LR).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Quanto da renda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: o modelo nulo.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M0 estima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36,9% da variância 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log-rendimento está entre bairros</w:t>
      </w:r>
      <w:r>
        <w:rPr>
          <w:rFonts w:ascii="Arial" w:hAnsi="Arial"/>
          <w:sz w:val="22"/>
        </w:rPr>
        <w:t xml:space="preserve">, muito acima do limiar de 5%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da parcela entre estados (cerca de 10%, no modelo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alternativo com UF aleatória usado como robustez). A estrutura aninhada não é um detalhe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técnico: ignorá-la trataria como independentes pessoas que compartilham o mesmo mercado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trabalho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agregado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dentro do bairro (M1).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escolaridade, idade, sexo, horas, situação urbana e ano,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de bairro (OLS com efeitos fixos de UF; ver a seção Inferência),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negros recebem 19,1% a menos que brancos comparáveis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rPr>
          <w:rFonts w:ascii="Arial" w:hAnsi="Arial"/>
          <w:sz w:val="22"/>
        </w:rPr>
        <w:t xml:space="preserve">)</w:t>
      </w:r>
      <w:r>
        <w:rPr>
          <w:rStyle w:val="FootnoteReference"/>
          <w:rFonts w:ascii="Arial" w:hAnsi="Arial"/>
          <w:sz w:val="22"/>
        </w:rPr>
        <w:footnoteReference w:id="33"/>
      </w:r>
      <w:r>
        <w:rPr>
          <w:rFonts w:ascii="Arial" w:hAnsi="Arial"/>
          <w:sz w:val="22"/>
        </w:rPr>
        <w:t xml:space="preserve">. O M1 acrescenta o intercepto aleatório de UPA e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[−0,1135; −0,1113]),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10,6% a menos</w:t>
      </w:r>
      <w:r>
        <w:rPr>
          <w:rFonts w:ascii="Arial" w:hAnsi="Arial"/>
          <w:sz w:val="22"/>
        </w:rPr>
        <w:t xml:space="preserve">. A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 dois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47,0% do gap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é a parcela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que transita pela segregação residencial: negros e brancos com o mesmo capital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humano não moram nos mesmos bairros, e os bairros pagam diferente. Esse é o teste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 H2. Os controles individuais explicam, além disso, 55,2%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variância entre bairros do M0: parte do que parecia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“bairro”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composição de quem mora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nele.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faz de um bairro um bairro (M2).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três covariáveis de nível 2 explicam 40,1% da variância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0,1509 para 0,0903;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19.536, 3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). O coeficiente de composição racial,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 0,0017), indica que um desvio-padrão 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proporção de negros da UPA reduz o log-rendimento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moradores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0,22 pontos — da mesma ordem da penalidade individual — a evidência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. O coeficiente individual mal se move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rPr>
          <w:rFonts w:ascii="Arial" w:hAnsi="Arial"/>
          <w:sz w:val="22"/>
        </w:rPr>
        <w:t xml:space="preserve">): dentro do bairro,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depende de quem são os vizinhos; o bairro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(onde se consegue morar), não pelo salário de quem já está lá.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líquido (M3).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os efeitos fixos de UF,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[−0,1087; −0,1066]):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 de 10,2%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humano, contexto de bairro e estado não explicam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sob seleção em observáveis. O ICC cai para 0,144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controles explicam 78,9% da variância entre bairros do M0.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Dentro da mesma ocupação (M4).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Acrescentar vínculo e grupo CBO leva 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(7,0%). A queda adicional — 16,6% do gap agregado —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“explicação”</w:t>
      </w:r>
      <w:r>
        <w:rPr>
          <w:rFonts w:ascii="Arial" w:hAnsi="Arial"/>
          <w:sz w:val="22"/>
        </w:rPr>
        <w:t xml:space="preserve">,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canal</w:t>
      </w:r>
      <w:r>
        <w:rPr>
          <w:rFonts w:ascii="Arial" w:hAnsi="Arial"/>
          <w:sz w:val="22"/>
        </w:rPr>
        <w:t xml:space="preserve">: a ocupação é ela própria resultado da 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(ver a seção GLMM logístico), por isso o M4 é um limite inferior descritivo.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penalidade varia entre bairros.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inclinação aleatória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 é significativa 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38.657,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, desvio-padrão de 0,171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log-pontos. Em bairros a um desvio-padrão da média a penalidade vai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−0,280 a 0,063 log-pontos — a discriminação salarial tem geografia,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covariância intercepto–inclinação de −0,0245 indica que a penalidade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nos bairros de renda-base mais alta. A Figura 1 contrasta os efeitos fixos de estado com os interceptos estimados para os bairros.</w:t>
      </w:r>
    </w:p>
    <w:bookmarkStart w:id="37" w:name="fig:hlm_blups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257341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1. A variação entre bairros supera a variação entre estados. À esquerda,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 do M3 com IC 95% (referência: primeira UF); à direita,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BLUPs do M3).</w:t>
      </w:r>
    </w:p>
    <w:bookmarkEnd w:id="3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1: cada ponto à esquerda é um estado;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largura do histograma à direita é o quanto a renda-base muda de um bairro para outro,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já descontados capital humano, contexto e estado.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Viés de variável omitida e sensibilidade.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coeficiente racial é uma associação condicional: pela fórmula do viés de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“curto”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iguala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“longo”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o efeito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omitido vezes sua relação com a raça. Qualidade da escola, habilidade não observada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redes de contato correlacionam-se negativamente com ser negro e positivamente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renda: omiti-las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— o que faz do M3 um limite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efeito de tratamento diferencial condicional a essas características. Na direção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oposta, os controles que são desfechos (ocupação no M4)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subestimam</w:t>
      </w:r>
      <w:r>
        <w:rPr>
          <w:rFonts w:ascii="Arial" w:hAnsi="Arial"/>
          <w:sz w:val="22"/>
        </w:rPr>
        <w:t xml:space="preserve">. O 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entre esses dois limites. Para anular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preciso um viés de 99,0% do coeficiente (Konfound,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),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 do modelo de acesso (Tabela 10) exige um confundidor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associado à raça e ao desfecho com razão de risco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mais forte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qualquer covariável observada.</w:t>
      </w:r>
    </w:p>
    <w:bookmarkStart w:id="38" w:name="tab:hlm_resultado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2. HLM de dois níveis (indivíduo em UPA) com efeitos fixos de UF —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step-up</w:t>
      </w:r>
      <w:r>
        <w:rPr>
          <w:rFonts w:ascii="Arial" w:hAnsi="Arial"/>
          <w:sz w:val="22"/>
        </w:rP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rPr>
          <w:rFonts w:ascii="Arial" w:hAnsi="Arial"/>
          <w:sz w:val="22"/>
        </w:rP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2. 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67"/>
        <w:gridCol w:w="494"/>
        <w:gridCol w:w="1550"/>
        <w:gridCol w:w="1653"/>
        <w:gridCol w:w="1653"/>
        <w:gridCol w:w="1653"/>
      </w:tblGrid>
      <w:tr>
        <w:trPr>
          <w:tblHeader w:val="on"/>
        </w:trPr>
        <w:tc>
          <w:tcPr>
            <w:tcW w:type="dxa" w:w="206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Variável</w:t>
            </w:r>
          </w:p>
        </w:tc>
        <w:tc>
          <w:tcPr>
            <w:tcW w:type="dxa" w:w="49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M0</w:t>
            </w:r>
          </w:p>
        </w:tc>
        <w:tc>
          <w:tcPr>
            <w:tcW w:type="dxa" w:w="155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M1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M2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M3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M4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Intercepto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7,3022 (0,0029)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4,2579 (0,0051)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4,2885 (0,0046)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4,5538 (0,0116)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4,7525 (0,0093)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−0,1944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−0,2190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 (1,9e-05)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−0,0004 (1,1e-06)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−0,2007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−0,2002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−0,1986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−0,1821 (0,0034)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−0,0537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−0,0545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−0,0438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0,0537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−0,0034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−0,0033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−0,0030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−0,0043 (0,0033)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0,4237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0,2194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0,6823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0,6818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0,6815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0,5979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Urbano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0,4348 (0,0045)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0,3771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0,3347 (0,0033)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0,2026 (0,0026)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−0,2189 (0,0017)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−0,2508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−0,1812 (0,0020)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−0,0542 (0,0016)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−0,0338 (0,0015)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−0,0275 (0,0012)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0,0055 (0,0013)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−0,0052 (0,0012)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0,1776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−0,1725 (0,0007)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Trab. doméstico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−0,1272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0,7777 (0,0013)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0,8720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0,5009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0,2639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0,1832 (0,0008)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0,0892 (0,0011)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0,1976 (0,0009)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operador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0,2294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0,9199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 95% de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[−0,1135; −0,1113]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−0,1065]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−0,1066]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[−0,0734; −0,0714]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Efeitos fixos de UF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2)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0,3370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0,1509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0,0903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0,0430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1)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0,5759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0,3440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0,369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0,111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explicada vs. M0 (%)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78,9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87,2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 (deviance)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15.384.825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15.365.289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15.356.451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13.729.450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17.751.146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15.384.871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15.365.341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15.356.555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13.729.578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BIC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17.751.187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15.385.190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15.365.702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15.357.275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13.730.465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, g.l.)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2.366.315 (20)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19.536 (3)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8.838 (26)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1.627.001 (12)</w:t>
            </w:r>
          </w:p>
        </w:tc>
      </w:tr>
      <w:tr>
        <w:tc>
          <w:tcPr>
            <w:tcW w:type="dxa" w:w="206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p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LR</w:t>
            </w:r>
          </w:p>
        </w:tc>
        <w:tc>
          <w:tcPr>
            <w:tcW w:type="dxa" w:w="49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Inclinação aleatória de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Style w:val="VerbatimChar"/>
          <w:rFonts w:ascii="Arial" w:hAnsi="Arial"/>
          <w:i/>
          <w:iCs/>
          <w:sz w:val="22"/>
        </w:rPr>
        <w:t xml:space="preserve">negro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 UPA (M3 +</w:t>
      </w:r>
      <w:r>
        <w:rPr>
          <w:rFonts w:ascii="Arial" w:hAnsi="Arial"/>
          <w:i/>
          <w:iCs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rFonts w:ascii="Arial" w:hAnsi="Arial"/>
          <w:i/>
          <w:iCs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(DP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rPr>
          <w:rFonts w:ascii="Arial" w:hAnsi="Arial"/>
          <w:sz w:val="22"/>
        </w:rPr>
        <w:t xml:space="preserve">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 g.l.),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: a penalidade racial varia entre bairros;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39"/>
    <w:bookmarkStart w:id="52" w:name="subsec:ml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Modelos de Machine Learning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3 apresenta o desempenho preditivo dos dois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o conjunto de teste (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20%).</w:t>
      </w:r>
    </w:p>
    <w:bookmarkStart w:id="40" w:name="tab:ml_perf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3. Desempenho preditivo — Random Forest, XGBoost e XGBoost sem renda de vizinhança (robustez ao problema do reflexo).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milhão).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3. Desempenho preditivo — Random Forest, XGBoost e XGBoost sem renda de vizinhança (robustez ao problema do reflexo). Hold-out 20% da população (N_\text{teste}\approx 1{,}54 milhão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61"/>
        <w:gridCol w:w="919"/>
        <w:gridCol w:w="919"/>
        <w:gridCol w:w="919"/>
        <w:gridCol w:w="2452"/>
      </w:tblGrid>
      <w:tr>
        <w:trPr>
          <w:tblHeader w:val="on"/>
        </w:trPr>
        <w:tc>
          <w:tcPr>
            <w:tcW w:type="dxa" w:w="386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Modelo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MAE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RMSE</w:t>
            </w:r>
          </w:p>
        </w:tc>
        <w:tc>
          <w:tcPr>
            <w:tcW w:type="dxa" w:w="245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Gap treino–teste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Random Forest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0,5689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0,4557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0,6070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0,0015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XGBoost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0,6280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0,4218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0,5639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0,0090</w:t>
            </w:r>
          </w:p>
        </w:tc>
      </w:tr>
      <w:tr>
        <w:tc>
          <w:tcPr>
            <w:tcW w:type="dxa" w:w="386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XGBoost (sem renda da UPA)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0,5983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0,4402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0,5860</w:t>
            </w:r>
          </w:p>
        </w:tc>
        <w:tc>
          <w:tcPr>
            <w:tcW w:type="dxa" w:w="245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</w:t>
            </w:r>
          </w:p>
        </w:tc>
      </w:tr>
    </w:tbl>
    <w:bookmarkEnd w:id="4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3: R</w:t>
      </w: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alto = melhor previsão;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 próximo de zero indica ausência de sobreajuste.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de 0,62 (XGBoost) é elevado para dados de rendimento individual,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variância não observada (setor, cargo, tempo de serviço)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pela maior parte do resíduo.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Escolha de hiperparâmetros e validação cruzada.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profundidade das árvores, a taxa de aprendizado e o número de iterações não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fixados por conveniência: seis configurações foram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conjunto de treino — o teste permanece intocado —, e a vencedora foi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submetida a validação 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(Tabela 4). A configuração escolhida (profundidade 10) alcança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, contra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0,6143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±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0,0007 da profundidade 6 usada na versão anterior deste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trabalho, sem aumentar o sobreajuste. O 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quarta casa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decimal mostra que, com 6.155.355 observações de treino, o desempenho não depende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 parte dos dados é usada para validar — a validação cruzada aqui serve menos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estimar incerteza e mais para justificar a especificação.</w:t>
      </w:r>
    </w:p>
    <w:bookmarkStart w:id="41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75"/>
        <w:gridCol w:w="2651"/>
        <w:gridCol w:w="1535"/>
        <w:gridCol w:w="837"/>
        <w:gridCol w:w="837"/>
        <w:gridCol w:w="1535"/>
      </w:tblGrid>
      <w:tr>
        <w:trPr>
          <w:tblHeader w:val="on"/>
        </w:trPr>
        <w:tc>
          <w:tcPr>
            <w:tcW w:type="dxa" w:w="1535"/>
            <w:gridSpan w:val="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A. Busca na partição de validação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Profundidade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Taxa de aprendizado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Árvores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Sobreajuste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10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0,6252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0,4229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0,0067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0,6207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0,4257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0,0040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0,4275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 (atual)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0,6140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</w:t>
            </w:r>
          </w:p>
        </w:tc>
      </w:tr>
      <w:tr>
        <w:tc>
          <w:tcPr>
            <w:tcW w:type="dxa" w:w="16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26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0,6030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0,4370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</w:t>
            </w:r>
          </w:p>
        </w:tc>
      </w:tr>
    </w:tbl>
    <w:bookmarkEnd w:id="41"/>
    <w:bookmarkStart w:id="42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rPr>
          <w:tblHeader w:val="on"/>
        </w:trPr>
        <w:tc>
          <w:tcPr>
            <w:tcW w:type="dxa" w:w="2268"/>
            <w:gridSpan w:val="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B. Validação cruzada no treino (5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i/>
                <w:iCs/>
                <w:sz w:val="22"/>
              </w:rPr>
              <w:t xml:space="preserve">folds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)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Configuração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(média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dp)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RMSE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Escolhida (profundidade 10)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0,6281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0,5628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0,0003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Anterior (profundidade 6)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0,6143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0,0001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0,5732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</w:tr>
    </w:tbl>
    <w:bookmarkEnd w:id="42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“Sobreajuste”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diferença entre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validação — valores próximos de zero indicam que o modelo não decorou os dados.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configuração escolhida melhora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1,4 ponto percentual sem aumentar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sobreajuste, e a variação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da ordem de 0,0007 — com 6,2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de treino, o desempenho praticamente não depende de qual pedaço dos dados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usado para validar. No conjunto de teste (intocado durante a escolha),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unidade original, o erro mediano de previsão é de R$ 538 por mês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(37% do rendimento observado), com correção de Duan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retransformação do logaritmo.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erro na unidade original.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preveem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logaritmo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rendimento; para o leitor, o que importa é o erro em reais. Retransformando com a correção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Duan (1983)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(fator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smearing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rPr>
          <w:rFonts w:ascii="Arial" w:hAnsi="Arial"/>
          <w:sz w:val="22"/>
        </w:rPr>
        <w:t xml:space="preserve">), o erro mediano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R$ 538 por mês</w:t>
      </w:r>
      <w:r>
        <w:rPr>
          <w:rFonts w:ascii="Arial" w:hAnsi="Arial"/>
          <w:sz w:val="22"/>
        </w:rPr>
        <w:t xml:space="preserve">, ou 37% do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 — a ordem de grandeza que se deve ter em mente ao ler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: o modelo acerta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posição relativa das pessoas muito melhor do que o valor exato do salário de cada uma.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Ausência de sobreajuste (população completa).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treino 80%/teste 20%),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método não-paramétrico não apresenta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overfitting</w:t>
      </w:r>
      <w:r>
        <w:rPr>
          <w:rFonts w:ascii="Arial" w:hAnsi="Arial"/>
          <w:sz w:val="22"/>
        </w:rPr>
        <w:t xml:space="preserve">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 praticamente coincidem (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XGBoost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Random Forest). Três evidências convergem: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Arial" w:hAnsi="Arial"/>
          <w:sz w:val="22"/>
        </w:rPr>
        <w:t xml:space="preserve">; a razão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complexidade (modelos regularizados sobre 7,7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observações); e a estabilidade do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entre a subamostra de 20%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(praticamente idêntico,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Arial" w:hAnsi="Arial"/>
          <w:sz w:val="22"/>
        </w:rPr>
        <w:t xml:space="preserve">). Em suma,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ampliar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base, de amostral para populacional,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não aumenta — o risco de sobreajuste. A Tabela 5 traz o ranking completo das variáveis nos dois modelos.</w:t>
      </w:r>
    </w:p>
    <w:bookmarkStart w:id="43" w:name="tab:shap_importanc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5. 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 Valores: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médio. Destaque em negrito: variáveis raciais/contextuais.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5. Importância SHAP Comparada — Random Forest e XGBoost. Predição de log-rendimento, PNAD 2016–2025 (N_{\text{SHAP}}=50.000). Valores: |\text{SHAP}| médio. Destaque em negrito: variáveis raciais/contextuai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585"/>
        <w:gridCol w:w="906"/>
        <w:gridCol w:w="1585"/>
        <w:gridCol w:w="906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Feature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RF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RF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XGB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XGB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Renda média UPA (exceto o próprio)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0,32538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0,25705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Horas trabalhadas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0,16918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0,16727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Profissionais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 (carteira)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0,14821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0,11753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Gênero (feminino)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0,09288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(centralizada)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0,06494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0,09663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0,03203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0,02089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0,06304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0,03709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0,04778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0,04102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0,03140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Serviços/Vendas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0,03046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0,02735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0,02493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0,02415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Op. Máquinas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0,02239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0,01974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0,00651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0,01873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0,00036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0,01746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0,01583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Idade² (experiência)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0,00641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0,01320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FFAA/Polícia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0,00517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0,00011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</w:t>
            </w:r>
          </w:p>
        </w:tc>
      </w:tr>
    </w:tbl>
    <w:bookmarkEnd w:id="4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 5: 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); valores maiores = maior peso na previsão da renda.</w:t>
      </w:r>
    </w:p>
    <w:bookmarkStart w:id="47" w:name="fig:sh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452810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outputs/figures/shap_beeswarm_xgb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2. Contexto do bairro e jornada dominam a previsão de renda; a raça aparece na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posição entre 29 preditores (SHAP, XGBoost,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</w:t>
      </w:r>
    </w:p>
    <w:bookmarkEnd w:id="4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2: cada ponto é um trabalhador; quanto mais à direita (ou maior a barra), maior o efeito da variável na renda prevista. A cor indica se o valor da variável é alto ou baixo.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5 mostra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contexto do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de maior peso do rendimento individual. A variável usada aqui é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excluindo o próprio indivíduo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): a média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inclui a própria pessoa é mecanicamente correlacionada com seu rendimento —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problema do reflexo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(Manski, 1993)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e inflaria artificialmente a importância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 Mesmo sem essa contaminação, o bairro permanece entre os preditores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primeira ordem, o que é consistente com a hipótese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Wilson (1987)</w:t>
      </w:r>
      <w:r>
        <w:rPr>
          <w:rFonts w:ascii="Arial" w:hAnsi="Arial"/>
          <w:sz w:val="22"/>
        </w:rPr>
        <w:t xml:space="preserve">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correta, porém,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— choques comuns ao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(mercado de trabalho local, transporte, redes) afetam todos os moradores — e não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causal de um vizinho sobre o outro. Como checagem extrema, o mesmo 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 de vizinhança perde pouco poder preditivo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 0,628 do modelo completo) e, nele, a contribuição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raça é praticamente a mesma (0,031 contra 0,031 em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): o sinal racial não é um artefato da variável de contexto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muda apenas a posição relativa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ranking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(17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 contra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29), porque as demais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variáveis absorvem parte do que o território explicava.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 no ranking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importância mesmo após controlar por todos os demais fatores, com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trabalhadores negros — equivalente 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de 4,6% sobre o rendimento predito que não pode ser atribuída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diferenças em educação, experiência, gênero ou contexto de moradia. A Figura 3 ilustra como a previsão de um caso individual é composta.</w:t>
      </w:r>
    </w:p>
    <w:bookmarkStart w:id="51" w:name="fig:shap_w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3566922" cy="323730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3. Como a previsão de um caso é construída: decomposição SHAP individual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waterfall</w:t>
      </w:r>
      <w:r>
        <w:rPr>
          <w:rFonts w:ascii="Arial" w:hAnsi="Arial"/>
          <w:sz w:val="22"/>
        </w:rPr>
        <w:t xml:space="preserve">) de um trabalhador negro de baixa renda. Valores em log-pontos;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contribuição da variável racial aparece isolada das demais.</w:t>
      </w:r>
    </w:p>
    <w:bookmarkEnd w:id="51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3: cada linha é uma variável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2"/>
    <w:bookmarkStart w:id="58" w:name="X03c9c993697b2951d32c364cc1a724101cab21e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do gap por mediação contextual e ocupacional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6 resume o resultado central dos modelos HLM: à medida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se adiciona o bairro (intercepto aleatório e contexto da UPA), o estado e a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racial encolhe de 19,1% (agregado) para 7,0% (M4). Nota: acompanhe a coluna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aproximando-se de zero linha a linha — a fração do gap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 aparece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; o que resta no M4 é a penalidade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 atributo observável explica.</w:t>
      </w:r>
    </w:p>
    <w:bookmarkStart w:id="53" w:name="tab:mediaca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6. Decomposição do gap salarial racial por mediação contextual e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 de dois níveis, indivíduos em UPA, com efeitos fixos de UF; PNAD Contínua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2016–2025, população completa). Cada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 um bloco de controles ao anterior; à medida que se adiciona contexto e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encolhe e a mediação acumulada cresce.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6. 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19"/>
        <w:gridCol w:w="1510"/>
        <w:gridCol w:w="1079"/>
        <w:gridCol w:w="863"/>
      </w:tblGrid>
      <w:tr>
        <w:trPr>
          <w:tblHeader w:val="on"/>
        </w:trPr>
        <w:tc>
          <w:tcPr>
            <w:tcW w:type="dxa" w:w="56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 (controles acumulados)</w:t>
            </w:r>
          </w:p>
        </w:tc>
        <w:tc>
          <w:tcPr>
            <w:tcW w:type="dxa" w:w="15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107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</w:p>
        </w:tc>
        <w:tc>
          <w:tcPr>
            <w:tcW w:type="dxa" w:w="86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Mediação acum. (%)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Agregado: individual + UF, sem efeito de bairro (OLS)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−0,2123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−19,1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M1: + intercepto aleatório de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47,0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M2: + contexto do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M3: + efeitos fixos de UF (gap líquido)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M4: + ocupação e formalidade (limite inferior)</w:t>
            </w:r>
          </w:p>
        </w:tc>
        <w:tc>
          <w:tcPr>
            <w:tcW w:type="dxa" w:w="15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</w:t>
            </w:r>
          </w:p>
        </w:tc>
        <w:tc>
          <w:tcPr>
            <w:tcW w:type="dxa" w:w="107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  <w:tc>
          <w:tcPr>
            <w:tcW w:type="dxa" w:w="86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65,9</w:t>
            </w:r>
          </w:p>
        </w:tc>
      </w:tr>
    </w:tbl>
    <w:bookmarkEnd w:id="5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cada linha adiciona algo à anterior.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penalidade racial em log-rendimento (mais próximo de zero = menor gap);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(%)”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em % de renda;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 é a fração do gap agregado (primeira linha)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explicada. O salto da primeira para a segunda linha é a mediação pela segregação residencial: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 o gap quase à metade. Do modelo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M4 o gap cai de 19,1% para 7,0%: 65,9% do gap é mediado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pessoa mora, o estado e a ocupação que acessa — e a penalidade de 7,0% 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da mesma ocupação (limite inferior, pois a ocupação é ela própria resultado da barreira de acesso).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4 resume a sequência de degraus em barras.</w:t>
      </w:r>
    </w:p>
    <w:bookmarkStart w:id="57" w:name="fig:hlm_g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292852" cy="257177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puts/figures/fig_hlm_ga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4. Metade do gap racial desaparece ao comparar pessoas do mesmo bairro — e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sobra não é explicado por escolaridade, idade, sexo, estado nem ocupação. Barras: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cada modelo; traço: IC 95% (estreito pelo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rótulo: gap em % de renda. Em azul, o M3 (gap líquido).</w:t>
      </w:r>
    </w:p>
    <w:bookmarkEnd w:id="5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4: 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8"/>
    <w:bookmarkStart w:id="64" w:name="X0e69078f56ff2fc58d4b5157c72cc4a5dec12bc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Decomposição de Oaxaca–Blinder: composição</w:t>
      </w:r>
      <w:r>
        <w:rPr>
          <w:rFonts w:ascii="Arial" w:hAnsi="Arial"/>
          <w:b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vs.</w:t>
      </w:r>
      <w:r>
        <w:rPr>
          <w:rFonts w:ascii="Arial" w:hAnsi="Arial"/>
          <w:b/>
          <w:sz w:val="22"/>
        </w:rPr>
        <w:t xml:space="preserve"> discriminação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decomposição de Oaxaca–Blinder separa o gap bruto de log-rendimento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(0,4255 log-pontos, ou 53,0%) em uma parcela explicada por diferenças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uma parcela não explicada (retornos diferenciais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discriminação). A Tabela 7 apresenta duas especificações,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 &amp; Pischke, 2009):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elas próprias resultado da discriminação. Em (A), com os controles do HLM M3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 de UPA), 28,4% do gap não é explicado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em (B), tratando também horas, formalidade e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como dotações, a parcela não explicada cai para 16,2%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salarial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ocupação. A diferença entre as duas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(12,2 pontos percentuais) é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das ocupações, e não pelo salário — exatamente o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GLMM de acesso mede adiante. Nota: em cada coluna,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; os erros-padrão vêm de bootstrap em blocos por UPA.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Pressupostos das regressões por 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duas regressões auxiliares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 e negros) foram submetidas aos testes de Breusch–Pagan e RESET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(Fávero &amp; Belfiore, cap. 12). Há heterocedasticidade — esperada em log-rendimento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 magnitude modesta: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regressão auxiliar do Breusch–Pagan é 0,061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(brancos) e 0,065 (negros), e é justamente por isso que os erros-padrão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 e a decomposição usa bootstrap em blocos. O RESET rejeita 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funcional linear, mas o ganho de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acrescentar potências do valor predito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0,0009 (brancos) e 0,0038 (negros) — irrelevante para a decomposição.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milhões, ambos os testes rejeitam qualquer hipótese nula pontual; o que importa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magnitude, não o</w:t>
      </w:r>
      <w:r>
        <w:rPr>
          <w:rFonts w:ascii="Arial" w:hAnsi="Arial"/>
          <w:sz w:val="22"/>
        </w:rPr>
        <w:t xml:space="preserve"> </w:t>
      </w:r>
      <m:oMath>
        <m:r>
          <m:t>p</m:t>
        </m:r>
      </m:oMath>
      <w:r>
        <w:rPr>
          <w:rFonts w:ascii="Arial" w:hAnsi="Arial"/>
          <w:sz w:val="22"/>
        </w:rPr>
        <w:t xml:space="preserve">-valor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59" w:name="tab:oaxaca_blinder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7. Decomposição de Oaxaca–Blinder (</w:t>
      </w:r>
      <w:r>
        <w:rPr>
          <w:rFonts w:ascii="Arial" w:hAnsi="Arial"/>
          <w:i/>
          <w:iCs/>
          <w:sz w:val="22"/>
        </w:rPr>
        <w:t xml:space="preserve">twofold</w:t>
      </w:r>
      <w:r>
        <w:rPr>
          <w:rFonts w:ascii="Arial" w:hAnsi="Arial"/>
          <w:sz w:val="22"/>
        </w:rPr>
        <w:t xml:space="preserve">, 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 do gap salarial racial em duas especificações. (A) </w:t>
      </w:r>
      <w:r>
        <w:rPr>
          <w:rFonts w:ascii="Arial" w:hAnsi="Arial"/>
          <w:i/>
          <w:iCs/>
          <w:sz w:val="22"/>
        </w:rPr>
        <w:t xml:space="preserve">Capital humano +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contexto</w:t>
      </w:r>
      <w:r>
        <w:rPr>
          <w:rFonts w:ascii="Arial" w:hAnsi="Arial"/>
          <w:sz w:val="22"/>
        </w:rPr>
        <w:t xml:space="preserve">: escolaridade, idade, sexo e contexto de UPA — os mesmos controles do HLM M3;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parcela não explicada é comparável à da literatura. (B) </w:t>
      </w:r>
      <w:r>
        <w:rPr>
          <w:rFonts w:ascii="Arial" w:hAnsi="Arial"/>
          <w:i/>
          <w:iCs/>
          <w:sz w:val="22"/>
        </w:rPr>
        <w:t xml:space="preserve">Acesso</w:t>
      </w:r>
      <w:r>
        <w:rPr>
          <w:rFonts w:ascii="Arial" w:hAnsi="Arial"/>
          <w:sz w:val="22"/>
        </w:rPr>
        <w:t xml:space="preserve">: (A) + horas,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formalidade e grupo CBO tratados como dotações — a parcela não explicada é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ocupação, um limite inferior, pois a segregação ocupacional é ela própria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discriminatória (Oaxaca &amp; Ransom, 1999; ver o GLMM de acesso, Tabela 10).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Erros-padrão entre parênteses: bootstrap em blocos por UPA (500 réplicas).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7. 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 10). População completa da PEA com renda positiva (N = 7.694.198; 40.969 UPAs). Erros-padrão entre parênteses: bootstrap em blocos por UPA (500 réplica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74"/>
        <w:gridCol w:w="1190"/>
        <w:gridCol w:w="1190"/>
        <w:gridCol w:w="1859"/>
        <w:gridCol w:w="1859"/>
      </w:tblGrid>
      <w:tr>
        <w:trPr>
          <w:tblHeader w:val="on"/>
        </w:trPr>
        <w:tc>
          <w:tcPr>
            <w:tcW w:type="dxa" w:w="297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90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(A) Sem ocupação</w:t>
            </w:r>
          </w:p>
        </w:tc>
        <w:tc>
          <w:tcPr>
            <w:tcW w:type="dxa" w:w="1859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(B) Acesso (com ocupação)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Componente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total (branco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negro)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Dotações (características observáveis)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0,3046 (0,0038)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71,6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0,3566 (0,0036)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83,8</w:t>
            </w:r>
          </w:p>
        </w:tc>
      </w:tr>
      <w:tr>
        <w:tc>
          <w:tcPr>
            <w:tcW w:type="dxa" w:w="297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Não explicado (retornos / discriminação)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0,1209 (0,0018)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28,4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0,0689 (0,0013)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16,2</w:t>
            </w:r>
          </w:p>
        </w:tc>
      </w:tr>
    </w:tbl>
    <w:bookmarkEnd w:id="59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em cada especificação,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total.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(A) para (B), parte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“não 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migra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“dotações”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a ocupação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 tratada como característica — é exatamente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, e não pelo salário.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5 apresenta as duas especificações em forma de cascata.</w:t>
      </w:r>
    </w:p>
    <w:bookmarkStart w:id="63" w:name="fig:ob_cascata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19617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outputs/figures/fig_ob_cascata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5. Tratar a ocupação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“característica”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derruba pela metade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medida: de 28,4% para 16,2% do gap. A parcela que some é a que opera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porta de entrada das ocupações — medida adiante pelo modelo de acesso.</w:t>
      </w:r>
    </w:p>
    <w:bookmarkEnd w:id="6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5: 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4"/>
    <w:bookmarkStart w:id="71" w:name="subsec:qr_r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Regressão Quantílica e RIF-OB: teto de vidro e</w:t>
      </w:r>
      <w:r>
        <w:rPr>
          <w:rFonts w:ascii="Arial" w:hAnsi="Arial"/>
          <w:b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sticky floor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 estima o gap em cada ponto da distribuição de renda;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RIF-OB separa, por quantil, dotação e retorno. A Tabela 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 gap crescendo ao longo da distribuição (teto de vidro no gap bruto);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9 revela o padrão complementar: o componente de retorno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proporcional) é maior na base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rumo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sticky floor</w:t>
      </w:r>
      <w:r>
        <w:rPr>
          <w:rFonts w:ascii="Arial" w:hAnsi="Arial"/>
          <w:sz w:val="22"/>
        </w:rPr>
        <w:t xml:space="preserve">). Nota: na Tabela 9,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cada quantil; siga a coluna Retornos caindo de</w:t>
      </w:r>
      <w:r>
        <w:rPr>
          <w:rFonts w:ascii="Arial" w:hAnsi="Arial"/>
          <w:sz w:val="22"/>
        </w:rP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(q10)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(q90) — a discriminação de preço pesa mais na base.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Por que os dois padrões não se contradizem.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 negros e brancos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distribuição de pessoas com o mesmo perfil observável.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crescimento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longo de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 que a dispersão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do rendimento é maior entre brancos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fanning 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linguagem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 e não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“os negros do topo sofrem mais”</w:t>
      </w:r>
      <w:r>
        <w:rPr>
          <w:rFonts w:ascii="Arial" w:hAnsi="Arial"/>
          <w:sz w:val="22"/>
        </w:rPr>
        <w:t xml:space="preserve">: quantis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seguem indivíduos, e a leitura em termos de pessoas exigiria invariância de posto,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se testa aqui. A RIF-OB, ao contrário, decompõe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de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: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é feito o gap no q10 da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país”</w:t>
      </w:r>
      <w:r>
        <w:rPr>
          <w:rFonts w:ascii="Arial" w:hAnsi="Arial"/>
          <w:sz w:val="22"/>
        </w:rPr>
        <w:t xml:space="preserve">. Como a composição observável concentra negros na base, a parcela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ali; e como há mais dispersão condicional no topo, o coeficiente 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com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. Os dois resultados são complementares — um é sobre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preço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pago a características, o outro sobre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características.</w:t>
      </w:r>
    </w:p>
    <w:bookmarkStart w:id="65" w:name="tab:qr_melhoria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8. Regressão quantílica: coeficiente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e sexo.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 (%)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M3: controles individuais + contexto UPA + UF efeito fixo.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parênteses (coluna Global): erro-padrão por bootstrap em blocos por UPA.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quantis e grupos.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8. 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23"/>
        <w:gridCol w:w="1737"/>
        <w:gridCol w:w="1158"/>
        <w:gridCol w:w="772"/>
        <w:gridCol w:w="1158"/>
        <w:gridCol w:w="772"/>
        <w:gridCol w:w="1351"/>
      </w:tblGrid>
      <w:tr>
        <w:trPr>
          <w:tblHeader w:val="on"/>
        </w:trPr>
        <w:tc>
          <w:tcPr>
            <w:tcW w:type="dxa" w:w="212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Global</w:t>
            </w: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Homens</w:t>
            </w:r>
          </w:p>
        </w:tc>
        <w:tc>
          <w:tcPr>
            <w:tcW w:type="dxa" w:w="1351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Mulheres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6-7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(SE)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(0.0012)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Δ (q90−q10)</w:t>
            </w:r>
          </w:p>
        </w:tc>
        <w:tc>
          <w:tcPr>
            <w:tcW w:type="dxa" w:w="17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>
            <w:tcW w:type="dxa" w:w="13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</w:tbl>
    <w:bookmarkEnd w:id="6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66" w:name="tab:rif_ob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9. Decomposição RIF-OB (Firpo, Fortin &amp; Lemieux, 2018)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incondicional, em formato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two-fold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brancos). Dotações: diferença de características observáveis (capital humano,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contexto). Retornos: parcela não explicada (componente discriminatório). Dotações + 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cada quantil. 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sticky floor</w:t>
      </w:r>
      <w:r>
        <w:rPr>
          <w:rFonts w:ascii="Arial" w:hAnsi="Arial"/>
          <w:sz w:val="22"/>
        </w:rPr>
        <w:t xml:space="preserve">: o componente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de mercado) é maior na base e decresce rumo ao topo. PNAD Contínua 2016–2025,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completa. Entre 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9. 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9"/>
        <w:gridCol w:w="2564"/>
        <w:gridCol w:w="1972"/>
        <w:gridCol w:w="1972"/>
        <w:gridCol w:w="1775"/>
      </w:tblGrid>
      <w:tr>
        <w:trPr>
          <w:tblHeader w:val="on"/>
        </w:trPr>
        <w:tc>
          <w:tcPr>
            <w:tcW w:type="dxa" w:w="7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256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obs. (SE)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177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q10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0,559 (0,007)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64,9 (0,8)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35,1 (0,7)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q25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0,310 (0,009)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68,8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31,2 (0,6)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q50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0,378 (0,008)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72,7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27,3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q75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0,470 (0,010)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75,5 (1,1)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24,5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q90</w:t>
            </w:r>
          </w:p>
        </w:tc>
        <w:tc>
          <w:tcPr>
            <w:tcW w:type="dxa" w:w="256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0,483 (0,011)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87,1 (1,9)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12,9 (0,9)</w:t>
            </w:r>
          </w:p>
        </w:tc>
        <w:tc>
          <w:tcPr>
            <w:tcW w:type="dxa" w:w="17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</w:tbl>
    <w:bookmarkEnd w:id="6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 6 põe os dois ângulos lado a lado.</w:t>
      </w:r>
    </w:p>
    <w:bookmarkStart w:id="70" w:name="fig:qr_ri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638038" cy="216316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outputs/figures/fig_qr_rif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6. Teto de vidro e piso pegajoso são o mesmo fenômeno visto de dois ângulos. À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esquerda, a penalidade em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rumo ao topo (faixa: 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bootstrap em blocos de UPA); à direita, a parcela não explicada dos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é maior na base.</w:t>
      </w:r>
    </w:p>
    <w:bookmarkEnd w:id="7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6: à esquerda, cada ponto é a penalidade racial estimada num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(eixo vertical em log-pontos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), e a faixa é o intervalo de 95% por bootstrap em blocos de UPA. À direita, cada barra é 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e soma 100%: a parte azul é a parcela não explicada, com o valor escrito dentro.</w:t>
      </w:r>
    </w:p>
    <w:bookmarkEnd w:id="71"/>
    <w:bookmarkStart w:id="78" w:name="subsec:glmm_resultados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GLMM logístico: o teto de vidro no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modelo logístico multinível (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, intercepto aleatório de UPA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UF, estimado por Laplace na população completa) modela a probabilidade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três desfechos — cargo qualificado (CBO 1–4), renda no top 20% e no top 10%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quatro degraus paralelos aos do HLM: M1 individual, M2 + contexto do bairro, M3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(formalidade, setor público, conta própria, doméstico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logo limite inferior) e M4 +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credencial.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 10 traz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odds ratios</w:t>
      </w:r>
      <w:r>
        <w:rPr>
          <w:rFonts w:ascii="Arial" w:hAnsi="Arial"/>
          <w:sz w:val="22"/>
        </w:rPr>
        <w:t xml:space="preserve">, efeitos marginais, ICC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E-values; a Tabela 11, o ajuste e o desempenho de classificação.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acesso também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M1, a correlação intraclasse latente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0,198 para o cargo qualificado e 0,350 para o top 10%: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e 35% da variância latente do acesso está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bairros. O teste de razão de verossimilhança do M2 contra o logit sem efeito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411.007 para o cargo; 337.418 para o top 10%, 1 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que o efeito aleatório de UPA é indispensável — o logit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pooled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independentes pessoas do mesmo mercado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porta é mais estreita para negros — e mais ainda no topo.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M2,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controlados escolaridade, sexo, idade, horas, estado e contexto do bairro, a chance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0,699 (IC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0,696–0,702) da de um branco do mesmo bairro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30% menos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chance</w:t>
      </w:r>
      <w:r>
        <w:rPr>
          <w:rFonts w:ascii="Arial" w:hAnsi="Arial"/>
          <w:sz w:val="22"/>
        </w:rPr>
        <w:t xml:space="preserve">, ou 5,5 pontos percentuais de probabilidade. No top 20% da renda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OR é 0,688 e no top 10%, 0,654 (35% menos chance):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se aperta à medida que se sobe. Nota: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desvantagem; o AME traduz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OR em probabilidade e é a medida a reter (MHE, cap. 3).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Vínculo e credencial não desfazem a barreira.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Descontar o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empregatício (M3) muda pouco o OR do cargo qualificado (0,691) e do top 10%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(0,656): a barreira não é um artefato da informalidade. No M4, a interação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credencial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1,069 para o superior completo e 1,060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pós-graduação: o diploma atenua a penalidade sem eliminá-la, e o OR combinado do negro com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é 0,735 — a credencial não neutraliza a barreira de acesso. A Figura 7 reúne as razões de chance dos três desfechos e dos modelos de cada um.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Ajuste e classificação.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M2 discrimina bem os desfechos: AUC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0,831 (com efeitos aleatórios) e 0,790 (só efeitos fixos) para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qualificado;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(0,30) a sensibilidade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0,82 e a especificidade 0,68. O teste de Hosmer–Lemeshow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rejeita a calibração perfeita em todos os degraus — inevitável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(MHE, cap. 8) —, mas a estatística cai a cerca de metade quando se acrescenta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(M3), sinal de calibração melhor; entre M1 e M2 ela praticamente não muda. O logit com efeitos fixos de UF e erro-padrão agrupado por UPA (última coluna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Tabela 10) reproduz os OR do GLMM: a conclusão não depende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 de efeitos aleatórios.</w:t>
      </w:r>
    </w:p>
    <w:bookmarkStart w:id="75" w:name="fig:glmm_or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53615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outputs/figures/fig_glmm_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7. A porta é mais estreita para trabalhadores negros — e estreita ainda mais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renda. Razão de chances de acesso (negro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branco do mesmo bairro)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 95%, por desfecho e degrau; em azul, o modelo com contexto de bairro (M2).</w:t>
      </w:r>
    </w:p>
    <w:bookmarkEnd w:id="7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7: 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6" w:name="tab:glmm_glasscei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10. GLMM logístico (lme4::</w:t>
      </w:r>
      <w:r>
        <w:rPr>
          <w:rStyle w:val="VerbatimChar"/>
          <w:rFonts w:ascii="Arial" w:hAnsi="Arial"/>
          <w:sz w:val="22"/>
        </w:rPr>
        <w:t xml:space="preserve">glmer</w:t>
      </w:r>
      <w:r>
        <w:rPr>
          <w:rFonts w:ascii="Arial" w:hAnsi="Arial"/>
          <w:sz w:val="22"/>
        </w:rPr>
        <w:t xml:space="preserve">, intercepto aleatório de UPA e efeitos fixos de UF) — teto de vidro ocupacional 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Odds ratio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coeficiente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IC 95%, efeito marginal médio (AME: diferença média de probabilidade predita, em pontos percentuais), ICC da UPA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 M3 acrescenta o vínculo (formalidade, setor público, conta própria, doméstico), que é desfecho da própria discriminação: limite inferior. Todos os OR com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desta ordem, a inferência relevante está nos IC e nos E-values.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0. 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81"/>
        <w:gridCol w:w="2731"/>
        <w:gridCol w:w="2101"/>
        <w:gridCol w:w="525"/>
        <w:gridCol w:w="525"/>
        <w:gridCol w:w="491"/>
        <w:gridCol w:w="491"/>
        <w:gridCol w:w="525"/>
      </w:tblGrid>
      <w:tr>
        <w:trPr>
          <w:tblHeader w:val="on"/>
        </w:trPr>
        <w:tc>
          <w:tcPr>
            <w:tcW w:type="dxa" w:w="168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73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210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(IC 95%)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AME (p.p.)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</w:t>
            </w:r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 (IC)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logit-FE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−5,68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0,699 [0,696; 0,702]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−5,49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[0,684;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0,699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0,680 [0,677; 0,683]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−4,89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0,540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[0,685;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0,690 [0,687; 0,693]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0,689 [0,685; 0,692]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0,694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0,643 [0,639; 0,647]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2,46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0,457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0,654 [0,650; 0,659]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−2,97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2,43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2,41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0,656 [0,651; 0,660]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0,661 [0,657; 0,666]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2,39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2,37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0,664</w:t>
            </w:r>
          </w:p>
        </w:tc>
      </w:tr>
    </w:tbl>
    <w:bookmarkEnd w:id="76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menor chance de acesso para trabalhadores negros do que para brancos de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 do mesmo bairro</w:t>
      </w:r>
      <w:r>
        <w:rPr>
          <w:rFonts w:ascii="Arial" w:hAnsi="Arial"/>
          <w:sz w:val="22"/>
        </w:rPr>
        <w:t xml:space="preserve">; quanto mais perto de zero, maior a barreira. O E-value é a força mínima de associação (razão de risco) que um confundidor não observado precisaria ter com a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77" w:name="tab:glmm_ajust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11. GLMM logístico — ajuste e desempenho de classificação por degrau. LR vs. pooled: teste de razão de verossimilhança do M2 contra o logit sem efeito aleatório (fronteira,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ascii="Arial" w:hAnsi="Arial"/>
          <w:sz w:val="22"/>
        </w:rPr>
        <w:t xml:space="preserve">); AUC com efeitos aleatórios (ajuste na amostra) e só com efeitos fixos;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(maximiza sensibilidade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especificidade) com as taxas correspondentes; Hosmer–Lemeshow em 10 decis.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qualquer desvio de calibração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como magnitude relativa entre degraus, não como teste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1. 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98"/>
        <w:gridCol w:w="2434"/>
        <w:gridCol w:w="842"/>
        <w:gridCol w:w="842"/>
        <w:gridCol w:w="655"/>
        <w:gridCol w:w="489"/>
        <w:gridCol w:w="489"/>
        <w:gridCol w:w="489"/>
        <w:gridCol w:w="842"/>
        <w:gridCol w:w="489"/>
      </w:tblGrid>
      <w:tr>
        <w:trPr>
          <w:tblHeader w:val="on"/>
        </w:trPr>
        <w:tc>
          <w:tcPr>
            <w:tcW w:type="dxa" w:w="1498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43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65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LR vs. pooled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(RE)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(FE)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Cutoff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Sens./Espec.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HL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7.068.424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7.068.498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0,766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7.059.978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7.060.058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411.007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8.576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6.089.887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6.089.975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5.269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6.089.819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6.089.911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6.104.884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6.104.958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4.038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6.094.129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6.094.209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469.691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4.070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5.779.565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5.779.653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0,79/0,76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1.584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5.779.652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0,23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1.597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3.713.826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3.713.900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0,788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3.702.360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3.702.440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337.418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3.502.257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1.934</w:t>
            </w:r>
          </w:p>
        </w:tc>
      </w:tr>
      <w:tr>
        <w:tc>
          <w:tcPr>
            <w:tcW w:type="dxa" w:w="149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3.502.075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3.502.167</w:t>
            </w:r>
          </w:p>
        </w:tc>
        <w:tc>
          <w:tcPr>
            <w:tcW w:type="dxa" w:w="65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1.869</w:t>
            </w:r>
          </w:p>
        </w:tc>
      </w:tr>
    </w:tbl>
    <w:bookmarkEnd w:id="77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 12 decompõe o diferencial de cada grupo contra o homem branco.</w:t>
      </w:r>
    </w:p>
    <w:bookmarkEnd w:id="78"/>
    <w:bookmarkStart w:id="85" w:name="X1df7cc4eb0c7cc9fb7ddad12c1316189c49cc50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Interseccionalidade: raça e gênero no acesso e no topo</w:t>
      </w:r>
    </w:p>
    <w:bookmarkStart w:id="79" w:name="tab:intersecciona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12. Decomposição interseccional (raça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gênero) do gap de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 (grupo de referência). Dotações: parcela explicada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Retornos: parcela não explicada (discriminação).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extra: o quanto o gap da Mulher Negra excede a soma das penalidades de raça e de 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isoladas (efeito interseccional puro, Crenshaw, 1989). PNAD Contínua, população completa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grupo de referência — homens brancos — na última linha da nota).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2. 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512"/>
        <w:gridCol w:w="1396"/>
        <w:gridCol w:w="1396"/>
        <w:gridCol w:w="2210"/>
        <w:gridCol w:w="1047"/>
      </w:tblGrid>
      <w:tr>
        <w:trPr>
          <w:tblHeader w:val="on"/>
        </w:trPr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Grupo</w:t>
            </w:r>
          </w:p>
        </w:tc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vs HB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22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Penal. extra (p.p.)</w:t>
            </w:r>
          </w:p>
        </w:tc>
        <w:tc>
          <w:tcPr>
            <w:tcW w:type="dxa" w:w="104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grupo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Branca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19,7 (0,2)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−51,9 (1,0)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151,9 (1,0)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1.423.994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Homem Negro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56,3 (0,6)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73,9 (0,4)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26,1 (0,4)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2.664.739</w:t>
            </w:r>
          </w:p>
        </w:tc>
      </w:tr>
      <w:tr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Negra</w:t>
            </w:r>
          </w:p>
        </w:tc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80,6 (0,6)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35,3 (0,4)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64,7 (0,4)</w:t>
            </w:r>
          </w:p>
        </w:tc>
        <w:tc>
          <w:tcPr>
            <w:tcW w:type="dxa" w:w="22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4,6</w:t>
            </w:r>
          </w:p>
        </w:tc>
        <w:tc>
          <w:tcPr>
            <w:tcW w:type="dxa" w:w="104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1.769.943</w:t>
            </w:r>
          </w:p>
        </w:tc>
      </w:tr>
    </w:tbl>
    <w:bookmarkEnd w:id="79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vs HB”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desvantagem de renda de cada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Branco;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gap. A Mulher Negra tem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gap e ainda uma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extra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se reduz à soma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negro”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mulher”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a marca da interseccionalidade. O sinal negativo das dotações da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Branca indica que suas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superam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do homem branco: todo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vem de retornos diferenciais. Grupo de referência: 1.835.522 homens brancos.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</w:pPr>
      <w:bookmarkStart w:id="80" w:name="subsec:interseccional"/>
      <w:bookmarkEnd w:id="80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modelos anteriores tratam raça e gênero de forma aditiva. Uma leitura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 se a desvantagem de ser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soma das partes. Reespecificamos o GLMM de acesso com um fator de quatro grupos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Style w:val="VerbatimChar"/>
          <w:rFonts w:ascii="Arial" w:hAnsi="Arial"/>
          <w:sz w:val="22"/>
        </w:rPr>
        <w:t xml:space="preserve">grupo_rg</w:t>
      </w:r>
      <w:r>
        <w:rPr>
          <w:rFonts w:ascii="Arial" w:hAnsi="Arial"/>
          <w:sz w:val="22"/>
        </w:rPr>
        <w:t xml:space="preserve">: homem branco [referência], mulher branca, homem negro,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negra) e a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, em três desfechos: acesso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 qualificada (CBO 1–4), renda no top 20% e no top 10%. A Tabela 12 traz a decomposição de Oaxaca–Blinder dos quatro grupos contra o homem branco, e a Figura 8, as razões de chance nos três desfechos.</w:t>
      </w:r>
    </w:p>
    <w:bookmarkStart w:id="84" w:name="fig:interseccional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4717542" cy="311950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8. 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homem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branco, em três desfechos. A mulher negra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alçada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 à categoria,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torna-se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topo da renda.</w:t>
      </w:r>
    </w:p>
    <w:bookmarkEnd w:id="8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 8: cada barra é um grupo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gênero; a altura é o gap vs. o homem branco — a mulher negra acumula as duas penalidades.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resultado revela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inversão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(Figura 8).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acesso à categoria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homem branco —, porque o efeito de gênero é positivo nesse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desfecho (profissões credenciadas feminizadas, em CBO 1–4); o grupo mais penalizado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homem 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topo da renda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porém,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inverte</w:t>
      </w:r>
      <w:r>
        <w:rPr>
          <w:rFonts w:ascii="Arial" w:hAnsi="Arial"/>
          <w:sz w:val="22"/>
        </w:rPr>
        <w:t xml:space="preserve">: a mulher negra passa a ser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decil superior, abaixo da mulher branca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rPr>
          <w:rFonts w:ascii="Arial" w:hAnsi="Arial"/>
          <w:sz w:val="22"/>
        </w:rP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sub-aditiva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acesso;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 10%):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racial é ligeiramente menor entre mulheres, mas isso não impede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negra acumule a barreira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teto de vidro de gênero exatamente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mais importa para a ascensão — o topo da distribuição.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Esse achado refina a tese central: o teto de vidro não é racial nem sexualmente neutro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recai com força máxima sobre a mulher negra, que pode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ocupações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qualificadas, mas é sistematicamente barrada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chegar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remuneração.</w:t>
      </w:r>
    </w:p>
    <w:bookmarkEnd w:id="85"/>
    <w:bookmarkStart w:id="87" w:name="subsec:vif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Multicolinearidade do Modelo M4: Análise VIF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verificar se a inclusão simultânea dos 9 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e das variáveis de vínculo empregatício (</w:t>
      </w:r>
      <w:r>
        <w:rPr>
          <w:rStyle w:val="VerbatimChar"/>
          <w:rFonts w:ascii="Arial" w:hAnsi="Arial"/>
          <w:sz w:val="22"/>
        </w:rPr>
        <w:t xml:space="preserve">emprego_formal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conta_propria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trab_domestico</w:t>
      </w:r>
      <w:r>
        <w:rPr>
          <w:rFonts w:ascii="Arial" w:hAnsi="Arial"/>
          <w:sz w:val="22"/>
        </w:rPr>
        <w:t xml:space="preserve">) introduz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problemática no Modelo M4, calculou-se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Variance Inflation Factor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subsample de 200.000 observações da PEA com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</w:t>
      </w:r>
      <w:r>
        <w:rPr>
          <w:rFonts w:ascii="Arial" w:hAnsi="Arial"/>
          <w:sz w:val="22"/>
        </w:rPr>
        <w:t xml:space="preserve"> </w:t>
      </w:r>
      <m:oMath>
        <m:r>
          <m:t>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(Educ.: não registrada); 2 variável crítica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); 1 variável alta (</w:t>
      </w:r>
      <m:oMath>
        <m:r>
          <m:t>5</m:t>
        </m:r>
      </m:oMath>
      <w:r>
        <w:rPr>
          <w:rFonts w:ascii="Arial" w:hAnsi="Arial"/>
          <w:sz w:val="22"/>
        </w:rPr>
        <w:t xml:space="preserve">–</w:t>
      </w:r>
      <m:oMath>
        <m:r>
          <m:t>10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 variável moderada (</w:t>
      </w:r>
      <m:oMath>
        <m:r>
          <m:t>2</m:t>
        </m:r>
      </m:oMath>
      <w:r>
        <w:rPr>
          <w:rFonts w:ascii="Arial" w:hAnsi="Arial"/>
          <w:sz w:val="22"/>
        </w:rPr>
        <w:t xml:space="preserve">–</w:t>
      </w:r>
      <m:oMath>
        <m:r>
          <m:t>5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VIF acima de 10 são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(22,25) 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educ_superior_completo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(19,45) —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construção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do bloco educacional, já que o indicador de escolaridade não registrada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quase o complemento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(Fávero &amp; Belfiore,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cap. 12). Ela infla o erro-padrão dos retornos educacionais, que por isso são lidos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cautela,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contamina o coeficiente de interesse: o VIF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1,37 e o das variáveis de contexto da UPA fica abaixo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1,8.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CBO e as variáveis de vínculo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colinearidade que se temia no M4 — o VIF máximo é 2,09. A especificação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M4 dispensa, portanto, ortogonalização ou eliminação de preditores; o que 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dispensa é a ressalva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(ver a seção Modelos Hierárquicos Lineares).</w:t>
      </w:r>
    </w:p>
    <w:p>
      <w:pPr>
        <w:pStyle w:val="BodyText"/>
      </w:pPr>
      <w:bookmarkStart w:id="86" w:name="sec:discussao"/>
      <w:bookmarkEnd w:id="86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Nota terminológica.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Três conceitos próximos, mas distintos, percorrem este trabalho e não devem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confundidos.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Mediação contextual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(HLM) é a fração do gap bruto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desaparece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se controlar o local de moradia (UPA/UF) — mede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da penalidade racial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dotação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(Oaxaca–Blinder) é a parcela do gap atribuível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nas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(escolaridade, ocupação, contexto), por oposição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(preços diferenciais pagos às mesmas características).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após o controle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 e contexto (M3): 10,2%.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residual pós-ocupação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resta ao se controlar também ocupação e formalidade (M4): 7,0% — um limite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inferior, pois a ocupação é ela própria resultado da barreira de acesso. Em suma: a mediação contextual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“por onde passa o gap”</w:t>
      </w:r>
      <w:r>
        <w:rPr>
          <w:rFonts w:ascii="Arial" w:hAnsi="Arial"/>
          <w:sz w:val="22"/>
        </w:rPr>
        <w:t xml:space="preserve">; a decomposição de dotações,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ele é feito”</w:t>
      </w:r>
      <w:r>
        <w:rPr>
          <w:rFonts w:ascii="Arial" w:hAnsi="Arial"/>
          <w:sz w:val="22"/>
        </w:rPr>
        <w:t xml:space="preserve">;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líquido,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 que sobra sem explicação”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Da diagnose às políticas.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diagnóstico das duas barreiras revela gargalos simultâneos — exclusão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às ocupações qualificadas e penalidade salarial que persiste dentro delas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que se reforçam mutuamente. A consequência para o desenho de políticas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direta: nenhuma intervenção unidimensional (só cotas de acesso, só fiscalização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salarial, só escolaridade) atinge as duas barreiras ao mesmo tempo; a magnitude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relativa de cada uma, estimada aqui, é o insumo para priorizá-las.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este trabalho acrescenta ao debate.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identificou a discriminação racial como estrutural,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poder quantificar mecanismos em escala nacional.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Henriques (2001)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documentou o gap educacional racial, mas não separou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efeito educacional do de redes e contexto.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Soares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estimou, com dados de 2006, que cerca de 50%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 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“inexplicado”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interpretado como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Este trabalho, com dados de 2016–2025 e metodologias não disponíveis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Soares, decompõe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caixa preta</w:t>
      </w:r>
      <w:r>
        <w:rPr>
          <w:rFonts w:ascii="Arial" w:hAnsi="Arial"/>
          <w:sz w:val="22"/>
        </w:rPr>
        <w:t xml:space="preserve">. Na especificação comparável à dele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contexto, sem ocupação), 28,4% do gap bruto são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limite inferior da discriminação direta — e 71,6%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de dotações; quando a ocupação é tratada como dotação, o não explicado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 para 16,2%, e 83,8% passam a ser dotações — mas essas dotações são, elas mesmas,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da barreira de acesso às ocupações qualificadas (GLMM), que 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quantifica em conjunto com a penalidade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contribuição central não é mostrar que o gap existe — isso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literatura já sabia desde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demonstrar que ele é sustentado por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sistema combinado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que discriminação de acesso,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penalidade salarial se reforçam mutuamente, tornando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políticas focadas em um único mecanismo.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Diálogo com o quadro macro recente do 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convergem com o retrato macroestrutural mais recente. A melhora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multidimensional captada pela POF não eliminou o gap racial de qualidade de vida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183 para chefes pretos/pardos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122 para brancos), e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voltou a concentrar-se no topo em 2025 (Gini do rendimento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491) </w:t>
      </w:r>
      <w:r>
        <w:rPr>
          <w:rFonts w:ascii="Arial" w:hAnsi="Arial"/>
          <w:sz w:val="22"/>
        </w:rPr>
        <w:t xml:space="preserve">(IBGE, 2019, 2025)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Cabe uma ressalva metodológica: o Gini estimado neste trabalho refere-se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rendimento do trabalho entre ocupados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(em torno 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48), conceito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distinto do Gini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todas as fontes do IBGE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próximos, mas medidas diferentes que podem divergir em tendência, pois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alta de 2025 é puxada por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-trabalho do topo, que não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rendimento dos ocupados. Nesse mesmo conceito, a desigualdade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rPr>
          <w:rFonts w:ascii="Arial" w:hAnsi="Arial"/>
          <w:sz w:val="22"/>
        </w:rPr>
        <w:t xml:space="preserve">) do que entre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rPr>
          <w:rFonts w:ascii="Arial" w:hAnsi="Arial"/>
          <w:sz w:val="22"/>
        </w:rPr>
        <w:t xml:space="preserve">) — não por equidade, mas por confinamento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ao piso da distribuição, o reverso distribucional do teto de vidro.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contraste territorial reforça a tese: o Distrito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Federal, de maior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país, é também a UF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racial salarial em nossos modelos regionais — riqueza média elevada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aguda coexistem no mesmo território.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Triangulação com o Índice de Progresso Social (IPS).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municipal (Imazon e parceiros, 2026) — que avalia a qualidade de vida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5.570 municípios brasileiros a partir de 57 indicadores sociais e ambientais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corroboração externa e multidimensional do eixo territorial desta tese.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Uma integração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nosso proxy de bairro (UPA) é, contudo,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inviável: o painel público da PNAD não divulga o município (apenas UF e a situação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capital/RM/interior), e o IPS é municipal — portanto mais agregado que a UPA,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sub-municipal. O IPS, assim, não valida o achado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(situa-se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dele na escala), mas ecoa o gradiente macro: as regiões de menor progresso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social (Norte e Nordeste) coincidem com as de maior penalidade racial em nossos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modelos. Empregamo-lo, portanto, como evidência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convergente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caráter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da desigualdade — não como fonte de dados integrada, e ressalvando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mede progresso social geral, não desigualdade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segregação residencial como multiplicador da desigualdade.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achado mais robusto desta análise é que 47,0%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é mediado pelo bairro de moradia — muito além do que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cross-sectionais típicos, que ignoram a estrutura aninhada dos dados,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seriam capazes de estimar. O coeficiente contextual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desvio-padrão da proporção de negros na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indica que a penalidade de viver em bairro segregado é da mesma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grandeza da própria penalidade individual de ser negro — e que 36,9%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variância do rendimento está entre bairros, não entre pessoas.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 sugere que políticas de redistribuição de renda que não enfrentem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segregação residencial terão eficácia limitada sobre o gap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Subvalorização do capital humano negro.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decomposição de Oaxaca–Blinder atribui 28,4% do gap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as mesmas características de capital humano e contexto rendem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a trabalhadores negros — e ainda 16,2% quando a própria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ocupacional é descontada; a decomposição RIF mostra que essa parcela chega a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base da distribuição. O GLMM acrescenta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credencial educacional não neutraliza a barreira de acesso (OR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próximo de 0,7 mesmo entre os mais escolarizados). Juntas, essas evidências indicam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duplo obstáculo ao retorno educacional: além da penalidade direta mensurada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HLM, o acesso desigual às ocupações que convertem credenciais em renda.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Granovetter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o mecanismo plausível — redes de indicação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cruzam fronteiras sociais —, hipótese que este trabalho não testa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e que fica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Persistência da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de 10,2%, estimado após controlar por todos os vetores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transmissão contextual, representa um piso para a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explicada por diferenças observáveis. Os valores SHAP reforçam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importância preditiva do XGBoost mesmo quando o modelo tem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às variáveis educacionais, demográficas e contextuais.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evidência é consistente com os experimentos de auditoria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Pager (2007)</w:t>
      </w:r>
      <w:r>
        <w:rPr>
          <w:rFonts w:ascii="Arial" w:hAnsi="Arial"/>
          <w:sz w:val="22"/>
        </w:rPr>
        <w:t xml:space="preserve">, que demonstram experimentalmente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em processos seletivos.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Lenta convergência racial.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redução de apenas 2,4%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dez anos — equivalente a 0,001 ponto de log-rendimento por ano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rPr>
          <w:rFonts w:ascii="Arial" w:hAnsi="Arial"/>
          <w:sz w:val="22"/>
        </w:rPr>
        <w:t xml:space="preserve">, WLS 2016–2025)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sugere que, ao ritmo atual, a convergência racial levaria mais de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século para eliminar o diferencial observado em 2016.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constatação não trivializa avanços recentes em políticas de cotas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acesso ao ensino superior, mas evidencia que reformas no campo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educação, sem intervenção simultânea nos mecanismos de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de acesso às redes profissionais, são insuficientes.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Ancoragem em políticas públicas existentes.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barreiras estimadas não são abstrações: cada uma corresponde a um instrumento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jurídico-institucional já existente no Brasil, cuja intensificação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aperfeiçoamento os resultados sugerem.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CBO 1–4 no modelo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 dialoga diretamente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12.990/2014</w:t>
      </w:r>
      <w:r>
        <w:rPr>
          <w:rFonts w:ascii="Arial" w:hAnsi="Arial"/>
          <w:sz w:val="22"/>
        </w:rPr>
        <w:t xml:space="preserve">, que reserva 20%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vagas em concursos públicos federais a candidatos negros, e cujo escopo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diagnóstico sugere ampliar para níveis hierárquicos superiores — onde o teto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qualificação e o acesso ao ensino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correspondem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Prouni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Fies</w:t>
      </w:r>
      <w:r>
        <w:rPr>
          <w:rFonts w:ascii="Arial" w:hAnsi="Arial"/>
          <w:sz w:val="22"/>
        </w:rPr>
        <w:t xml:space="preserve">, bem como ao legado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PRONATEC</w:t>
      </w:r>
      <w:r>
        <w:rPr>
          <w:rFonts w:ascii="Arial" w:hAnsi="Arial"/>
          <w:sz w:val="22"/>
        </w:rPr>
        <w:t xml:space="preserve">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achado de que as mesmas credenciais rendem menos a trabalhadores negros (efeito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da decomposição de Oaxaca–Blinder) indica que tais programas precisam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combinados a mecanismos de inserção ocupacional, sob pena de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combate à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encontra base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9.029/1995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(que proíbe práticas discriminatórias na relação de trabalho) e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Estatuto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Igualdade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Lei 12.288/2010</w:t>
      </w:r>
      <w:r>
        <w:rPr>
          <w:rFonts w:ascii="Arial" w:hAnsi="Arial"/>
          <w:sz w:val="22"/>
        </w:rPr>
        <w:t xml:space="preserve">), cuja fiscalização o gap líquido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10,2% — e a penalidade de 7,0% que persiste dentro da mesma ocupação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justifica reforçar.</w:t>
      </w:r>
    </w:p>
    <w:bookmarkEnd w:id="87"/>
    <w:bookmarkStart w:id="88" w:name="limitações-e-escopo-de-validade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Limitações e escopo de validade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Natureza inferencial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 preditiva dos modelos.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devem ser lidos sob dois regimes epistemológicos distintos.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HLM, a decomposição de Oaxaca–Blinder, a regressão quantílica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modelo logístico de acesso produzem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estimativas de associação condicional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medem o diferencial racial que persiste após o controle de covariáveis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observáveis, sob o pressuposto de seleção em observáveis. Não constituem,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 sós, prova de causalidade no sentido contrafactual, pois não derivam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desenho experimental ou quase-experimental. Já o XGBoost e os valores SHAP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preditiva e interpretativa</w:t>
      </w:r>
      <w:r>
        <w:rPr>
          <w:rFonts w:ascii="Arial" w:hAnsi="Arial"/>
          <w:sz w:val="22"/>
        </w:rPr>
        <w:t xml:space="preserve">: quantificam a contribuição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variável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rendimento — não o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manipulá-la. A convergência entre os dois regimes (a raça permanece preditora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primeira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mantém coeficiente negativo significante sob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exaustivo) é o que confere robustez ao diagnóstico; ainda assim,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linguagem causal foi deliberadamente evitada.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Cobertura da variável de escolaridade.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escolaridade detalhada (</w:t>
      </w:r>
      <w:r>
        <w:rPr>
          <w:rStyle w:val="VerbatimChar"/>
          <w:rFonts w:ascii="Arial" w:hAnsi="Arial"/>
          <w:sz w:val="22"/>
        </w:rPr>
        <w:t xml:space="preserve">educ_cat</w:t>
      </w:r>
      <w:r>
        <w:rPr>
          <w:rFonts w:ascii="Arial" w:hAnsi="Arial"/>
          <w:sz w:val="22"/>
        </w:rPr>
        <w:t xml:space="preserve">) está registrada para cerca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31% da PEA no painel público utilizado. Para preservar 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de instrução entram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acompanhadas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indicador explícito de não-registro (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),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categoria de referência não confunda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“baixa escolaridade”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“dado ausente”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Testes de sensibilidade mostram que o coeficiente racial é estável a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especificação (variação inferior a 1%); ainda assim, os retornos educacionais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devem ser interpretados com a cautela própria de uma variável parcialmente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Condicionar em quem tem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de rendimento são estimados entre ocupados com renda positiva. Isso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condicionar no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3): se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também reduz a probabilidade de estar ocupado, o gap salarial condicional mistura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sobre o salário com a seleção de quem permanece na amostra. A direção provável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viés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subestimação</w:t>
      </w:r>
      <w:r>
        <w:rPr>
          <w:rFonts w:ascii="Arial" w:hAnsi="Arial"/>
          <w:sz w:val="22"/>
        </w:rPr>
        <w:t xml:space="preserve">: se os trabalhadores negros que conseguem se manter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ocupados são positivamente selecionados em atributos não observados, o gap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observados é menor que o gap potencial na população. O modelo logístico de acesso trata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a outra metade do problema — a probabilidade de chegar à 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 — e a correção de Heckman, estimada na versão estendida deste trabalho,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significativo), com o coeficiente racial estável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sinal e ordem de grandeza. A leitura correta é, portanto: o gap líquido aqui reportado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ocupados</w:t>
      </w:r>
      <w:r>
        <w:rPr>
          <w:rFonts w:ascii="Arial" w:hAnsi="Arial"/>
          <w:sz w:val="22"/>
        </w:rPr>
        <w:t xml:space="preserve">, não o gap potencial de toda a população em idade ativa.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As hipóteses, uma a uma, e o que acontece se falharem.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 a recomendação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o próprio cético”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8):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Seleção em observáveis (CIA).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só é o efeito do tratamento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se, condicional a</w:t>
      </w:r>
      <w:r>
        <w:rPr>
          <w:rFonts w:ascii="Arial" w:hAnsi="Arial"/>
          <w:sz w:val="22"/>
        </w:rPr>
        <w:t xml:space="preserve"> </w:t>
      </w:r>
      <m:oMath>
        <m:r>
          <m:t>X</m:t>
        </m:r>
      </m:oMath>
      <w:r>
        <w:rPr>
          <w:rFonts w:ascii="Arial" w:hAnsi="Arial"/>
          <w:sz w:val="22"/>
        </w:rPr>
        <w:t xml:space="preserve">, a raça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“como se”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aleatória. Não é: qualidade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escola, habilidade não medida e redes ficam fora. Se esses omitidos correlacionam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negativamente com ser negro e positivamente com renda,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discriminação — por isso o gap líquido é apresentado como limite superior dessa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leitura, e o Konfound/E-value quantificam quanto de confundimento seria preciso.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Bad controls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Ocupação, formalidade e horas são desfechos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própria discriminação. Com eles (M4, Oaxaca-Blinder de acesso) o resultado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 descritivo</w:t>
      </w:r>
      <w:r>
        <w:rPr>
          <w:rFonts w:ascii="Arial" w:hAnsi="Arial"/>
          <w:sz w:val="22"/>
        </w:rPr>
        <w:t xml:space="preserve">: a parcela que opera pela porta de entrada some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conta. Sem eles (M3, especificação (A) da Oaxaca-Blinder) tem-se o gap total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Reflexo (Manski).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renda média do bairro inclui o próprio indivíduo; usada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preditor, é mecanicamente informativa. Nos modelos de acesso ela foi removida 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XGBoost, substituída pela média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; ainda assim, choques comuns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impedem leitura causal do coeficiente contextual.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Efeitos aleatórios.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HLM e o GLMM supõem que o efeito de bairro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correlacionado com os regressores. Como contraprova, todos os coeficientes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reestimados com efeitos fixos de UF e erro-padrão agrupado por UPA, com as mesmas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conclusões (ver a seção Inferência).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e desenho amostral.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estimativas são não ponderadas: descrevem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regressão na amostra. A robustez ponderada pelo peso da PNAD muda o gap em menos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meio ponto percentual.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Correlação intragrupo.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Ignorá-la subestimaria os erros-padrão (Moulton);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reportam erro-padrão agrupado por UPA ou o modelam por 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aleatório, e o agrupamento por UF usa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Significância com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grande.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7,7 milhões de observações, quase tudo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; a leitura privilegia magnitude, intervalos de confiança e E-values,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asteriscos.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Desenho transversal e direções futuras.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caráter transversal do painel público impede a análise de trajetórias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individuais; o painel rotativo completo com microdado identificado e a extensão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 RAIS permitiriam investigar mobilidade e o teto de vidro em cargos de liderança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identificação de firma. A análise de redes de co-residência, a tipologia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agrupamento e a priorização de políticas por pesquisa operacional,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desenvolvidas em versão estendida deste trabalho, ficam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Declaração de uso de inteligência artificial.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8"/>
    <w:bookmarkStart w:id="89" w:name="X6e5363a2ea64c40705be1be4ad3b57716cacb0d"/>
    <w:p>
      <w:pPr>
        <w:pStyle w:val="Ttulo2"/>
        <w:spacing w:line="360" w:lineRule="auto" w:before="280" w:after="280"/>
        <w:ind w:firstLine="709"/>
        <w:jc w:val="left"/>
      </w:pPr>
      <w:r>
        <w:rPr>
          <w:rFonts w:ascii="Arial" w:hAnsi="Arial"/>
          <w:b/>
          <w:sz w:val="22"/>
        </w:rPr>
        <w:t xml:space="preserve">Declaração de uso de inteligência artificial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9"/>
    <w:bookmarkEnd w:id="90"/>
    <w:bookmarkStart w:id="122" w:name="conclusão"/>
    <w:p>
      <w:pPr>
        <w:pStyle w:val="Heading1"/>
        <w:spacing w:line="360" w:lineRule="auto" w:before="280" w:after="280"/>
        <w:ind w:firstLine="0" w:left="0"/>
        <w:jc w:val="left"/>
      </w:pPr>
      <w:r>
        <w:rPr>
          <w:rFonts w:ascii="Arial" w:hAnsi="Arial"/>
          <w:b/>
          <w:sz w:val="22"/>
        </w:rPr>
        <w:t xml:space="preserve">Conclusão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desigualdade racial no mercado de trabalho brasileiro não se reduziu a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desconto salarial isolado: operou como um sistema de barreiras em camadas,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começou antes do primeiro salário e persistiu ao longo da trajetória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profissional. Comparados trabalhadores de mesma escolaridade, idade, sexo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bairro, o diferencial de rendimento 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lida como limite inferior, já que a própria ocupação é resultado da barreira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achado mais relevante para o debate de políticas foi o da barreira de entrada.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mesmo perfil observável e no mesmo bairro, trabalhadores negros tiveram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cerca de 30% menos chance de ocupar cargo qualificado e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chance de alcançar o décimo superior da renda. Aumentar a escolaridade 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intervir nos mecanismos de seleção e promoção produz, portanto,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decrescente: as credenciais existem, mas os canais que as convertem em mobilidade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permanecem estreitos.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contexto de moradia respondeu por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agregado, o que indica que política de renda que ignore o território tem eficácia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limitada.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gênero isoladas, de modo que intervenções desenhadas para um eixo de cada vez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deixam de fora justamente quem está na interseção.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resultados são estimativas de associação condicional, e não de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sentido contrafactual. Ainda assim, a convergência de quatro métodos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independentes sobre a população completa, a magnitude dos diferenciais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robustez a confundimento não observado sustentam o diagnóstico: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operou sobretudo no acesso à ocupação, e políticas unidimensionais —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escolaridade, apenas em fiscalização salarial ou apenas em cotas —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para desmontá-lo.</w:t>
      </w:r>
    </w:p>
    <w:bookmarkStart w:id="121" w:name="refs"/>
    <w:bookmarkStart w:id="91" w:name="ref-almeida201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ALMEIDA, Silvio Luiz 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Racismo Estrutural</w:t>
      </w:r>
      <w:r>
        <w:rPr>
          <w:rFonts w:ascii="Arial" w:hAnsi="Arial"/>
          <w:sz w:val="22"/>
        </w:rPr>
        <w:t xml:space="preserve">. S</w:t>
      </w:r>
      <w:r>
        <w:rPr>
          <w:rFonts w:ascii="Arial" w:hAnsi="Arial"/>
          <w:sz w:val="22"/>
        </w:rPr>
        <w:t xml:space="preserve">ã</w:t>
      </w:r>
      <w:r>
        <w:rPr>
          <w:rFonts w:ascii="Arial" w:hAnsi="Arial"/>
          <w:sz w:val="22"/>
        </w:rPr>
        <w:t xml:space="preserve">o Paulo: Janda</w:t>
      </w:r>
      <w:r>
        <w:rPr>
          <w:rFonts w:ascii="Arial" w:hAnsi="Arial"/>
          <w:sz w:val="22"/>
        </w:rPr>
        <w:t xml:space="preserve">í</w:t>
      </w:r>
      <w:r>
        <w:rPr>
          <w:rFonts w:ascii="Arial" w:hAnsi="Arial"/>
          <w:sz w:val="22"/>
        </w:rPr>
        <w:t xml:space="preserve">ra, 2019.</w:t>
      </w:r>
    </w:p>
    <w:bookmarkEnd w:id="91"/>
    <w:bookmarkStart w:id="92" w:name="ref-angrist200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ANGRIST, Joshua D.; PISCHKE, Jörn-Steffen.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Mostly Harmless Econometrics: An Empiricist’s Companion</w:t>
      </w:r>
      <w:r>
        <w:rPr>
          <w:rFonts w:ascii="Arial" w:hAnsi="Arial"/>
          <w:sz w:val="22"/>
        </w:rPr>
        <w:t xml:space="preserve">. Princeton: Princeton University Press, 2009.</w:t>
      </w:r>
    </w:p>
    <w:bookmarkEnd w:id="92"/>
    <w:bookmarkStart w:id="93" w:name="ref-arrow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ARROW, Kenneth J. The Theory of Discrimination.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ASHENFELTER, Orley; REES, Albert (Orgs.).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Discrimination in Labor Markets</w:t>
      </w:r>
      <w:r>
        <w:rPr>
          <w:rFonts w:ascii="Arial" w:hAnsi="Arial"/>
          <w:sz w:val="22"/>
        </w:rPr>
        <w:t xml:space="preserve">. Princeton, NJ: Princeton University Press, 1973. p. 3–33.</w:t>
      </w:r>
    </w:p>
    <w:bookmarkEnd w:id="93"/>
    <w:bookmarkStart w:id="94" w:name="ref-becker195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BECKER, Gary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Economics of Discrimination</w:t>
      </w:r>
      <w:r>
        <w:rPr>
          <w:rFonts w:ascii="Arial" w:hAnsi="Arial"/>
          <w:sz w:val="22"/>
        </w:rPr>
        <w:t xml:space="preserve">. Chicago: University of Chicago Press, 1957.</w:t>
      </w:r>
    </w:p>
    <w:bookmarkEnd w:id="94"/>
    <w:bookmarkStart w:id="95" w:name="ref-bickel200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BICKEL, Peter J.; SAKOV, Anat. On the Choice of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the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out of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 and Confidence Bounds for Extrema.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Statistica Sinica</w:t>
      </w:r>
      <w:r>
        <w:rPr>
          <w:rFonts w:ascii="Arial" w:hAnsi="Arial"/>
          <w:sz w:val="22"/>
        </w:rPr>
        <w:t xml:space="preserve">, v. 18, n. 3, p. 967–985, 2008.</w:t>
      </w:r>
    </w:p>
    <w:bookmarkEnd w:id="95"/>
    <w:bookmarkStart w:id="96" w:name="ref-blinder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BLINDER, Alan S. Wage Discrimination: Reduced Form and Structural Estimates.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Human Resources</w:t>
      </w:r>
      <w:r>
        <w:rPr>
          <w:rFonts w:ascii="Arial" w:hAnsi="Arial"/>
          <w:sz w:val="22"/>
        </w:rPr>
        <w:t xml:space="preserve">, v. 8, n. 4, p. 436–455, 1973.</w:t>
      </w:r>
    </w:p>
    <w:bookmarkEnd w:id="96"/>
    <w:bookmarkStart w:id="97" w:name="ref-breiman2001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BREIMAN, Leo. Random Forests.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Machine Learning</w:t>
      </w:r>
      <w:r>
        <w:rPr>
          <w:rFonts w:ascii="Arial" w:hAnsi="Arial"/>
          <w:sz w:val="22"/>
        </w:rPr>
        <w:t xml:space="preserve">, v. 45, n. 1, p. 5–32, 2001.</w:t>
      </w:r>
    </w:p>
    <w:bookmarkEnd w:id="97"/>
    <w:bookmarkStart w:id="98" w:name="ref-cameron200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CAMERON, A. Colin; GELBACH, Jonah B.; MILLER, Douglas L. Bootstrap-Based Improvements for Inference with Clustered Errors.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Review of Economics and Statistics</w:t>
      </w:r>
      <w:r>
        <w:rPr>
          <w:rFonts w:ascii="Arial" w:hAnsi="Arial"/>
          <w:sz w:val="22"/>
        </w:rPr>
        <w:t xml:space="preserve">, v. 90, n. 3, p. 414–427, 2008.</w:t>
      </w:r>
    </w:p>
    <w:bookmarkEnd w:id="98"/>
    <w:bookmarkStart w:id="99" w:name="ref-chen2016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CHEN, Tianqi; GUESTRIN,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: A Scalable Tree Boosting System.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2016.</w:t>
      </w:r>
    </w:p>
    <w:bookmarkEnd w:id="99"/>
    <w:bookmarkStart w:id="100" w:name="ref-duan198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DUAN, Naihua. Smearing Estimate: A Nonparametric Retransformation Method.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the American Statistical Association</w:t>
      </w:r>
      <w:r>
        <w:rPr>
          <w:rFonts w:ascii="Arial" w:hAnsi="Arial"/>
          <w:sz w:val="22"/>
        </w:rPr>
        <w:t xml:space="preserve">, v. 78, n. 383, p. 605–610, 1983.</w:t>
      </w:r>
    </w:p>
    <w:bookmarkEnd w:id="100"/>
    <w:bookmarkStart w:id="101" w:name="ref-firpo201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FIRPO, Sergio P.; FORTIN, Nicole M.; LEMIEUX, Thomas. Decomposing Wage Distributions Using Recentered Influence Function Regressions.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Econometrics</w:t>
      </w:r>
      <w:r>
        <w:rPr>
          <w:rFonts w:ascii="Arial" w:hAnsi="Arial"/>
          <w:sz w:val="22"/>
        </w:rPr>
        <w:t xml:space="preserve">, v. 6, n. 2, p. 28, 2018.</w:t>
      </w:r>
    </w:p>
    <w:bookmarkEnd w:id="101"/>
    <w:bookmarkStart w:id="102" w:name="ref-frank201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FRANK, Kenneth 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et al.</w:t>
      </w:r>
      <w:r>
        <w:rPr>
          <w:rFonts w:ascii="Arial" w:hAnsi="Arial"/>
          <w:sz w:val="22"/>
        </w:rPr>
        <w:t xml:space="preserve"> What Would It Take to Change an Inference? Using Rubin’s Causal Model to Interpret the Robustness of Causal Inferences.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Educational Evaluation and Policy Analysis</w:t>
      </w:r>
      <w:r>
        <w:rPr>
          <w:rFonts w:ascii="Arial" w:hAnsi="Arial"/>
          <w:sz w:val="22"/>
        </w:rPr>
        <w:t xml:space="preserve">, v. 35, n. 4, p. 437–460, 2013.</w:t>
      </w:r>
    </w:p>
    <w:bookmarkEnd w:id="102"/>
    <w:bookmarkStart w:id="103" w:name="ref-granovetter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GRANOVETTER, Mark S. The Strength of Weak Ties.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American Journal of Sociology</w:t>
      </w:r>
      <w:r>
        <w:rPr>
          <w:rFonts w:ascii="Arial" w:hAnsi="Arial"/>
          <w:sz w:val="22"/>
        </w:rPr>
        <w:t xml:space="preserve">, v. 78, n. 6, p. 1360–1380, 1973.</w:t>
      </w:r>
    </w:p>
    <w:bookmarkEnd w:id="103"/>
    <w:bookmarkStart w:id="104" w:name="ref-hasenbalg197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HASENBALG,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Discriminação e Desigualdades Raciais no Brasil</w:t>
      </w:r>
      <w:r>
        <w:rPr>
          <w:rFonts w:ascii="Arial" w:hAnsi="Arial"/>
          <w:sz w:val="22"/>
        </w:rPr>
        <w:t xml:space="preserve">. Rio de Janeiro: Graal, 1979.</w:t>
      </w:r>
    </w:p>
    <w:bookmarkEnd w:id="104"/>
    <w:bookmarkStart w:id="105" w:name="ref-henriques2001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HENRIQUES, Ricardo. Desigualdade Racial no Brasil: Evolução das Condições de Vida na Década de 90.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Texto para Discussão IPEA</w:t>
      </w:r>
      <w:r>
        <w:rPr>
          <w:rFonts w:ascii="Arial" w:hAnsi="Arial"/>
          <w:sz w:val="22"/>
        </w:rPr>
        <w:t xml:space="preserve">, n. 807, 2001.</w:t>
      </w:r>
    </w:p>
    <w:bookmarkEnd w:id="105"/>
    <w:bookmarkStart w:id="106" w:name="ref-ibge_pof_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de Orçamentos Familiares 2017–2018: análise da qualidade de vida (Índice de Perda de Qualidade de Vida)</w:t>
      </w:r>
      <w:r>
        <w:rPr>
          <w:rFonts w:ascii="Arial" w:hAnsi="Arial"/>
          <w:sz w:val="22"/>
        </w:rPr>
        <w:t xml:space="preserve">. Rio de Janeiro: Instituto Brasileiro de Geografia e Estatística, 2019.</w:t>
      </w:r>
    </w:p>
    <w:bookmarkEnd w:id="106"/>
    <w:bookmarkStart w:id="107" w:name="ref-ibge_pnad_202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Notas Metodológicas</w:t>
      </w:r>
      <w:r>
        <w:rPr>
          <w:rFonts w:ascii="Arial" w:hAnsi="Arial"/>
          <w:sz w:val="22"/>
        </w:rPr>
        <w:t xml:space="preserve">. Rio de Janeiro: Instituto Brasileiro de Geografia e Estatística, 2023.</w:t>
      </w:r>
    </w:p>
    <w:bookmarkEnd w:id="107"/>
    <w:bookmarkStart w:id="108" w:name="ref-ibge_rendimentos_2025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Rendimento de Todas as Fontes 2025</w:t>
      </w:r>
      <w:r>
        <w:rPr>
          <w:rFonts w:ascii="Arial" w:hAnsi="Arial"/>
          <w:sz w:val="22"/>
        </w:rPr>
        <w:t xml:space="preserve">. Rio de Janeiro: Instituto Brasileiro de Geografia e Estatística, 2025.</w:t>
      </w:r>
    </w:p>
    <w:bookmarkEnd w:id="108"/>
    <w:bookmarkStart w:id="109" w:name="ref-koenker1978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KOENKER, Roger; BASSETT, Gilbert. Regression Quantiles.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Econometrica</w:t>
      </w:r>
      <w:r>
        <w:rPr>
          <w:rFonts w:ascii="Arial" w:hAnsi="Arial"/>
          <w:sz w:val="22"/>
        </w:rPr>
        <w:t xml:space="preserve">, v. 46, n. 1, p. 33–50, 1978.</w:t>
      </w:r>
    </w:p>
    <w:bookmarkEnd w:id="109"/>
    <w:bookmarkStart w:id="110" w:name="ref-lundberg201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LUNDBERG, Scott M.; LEE, Su-In. A Unified Approach to Interpreting Model Predictions.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Advances in Neural Information Processing Systems</w:t>
      </w:r>
      <w:r>
        <w:rPr>
          <w:rFonts w:ascii="Arial" w:hAnsi="Arial"/>
          <w:sz w:val="22"/>
        </w:rPr>
        <w:t xml:space="preserve">, v. 30, 2017.</w:t>
      </w:r>
    </w:p>
    <w:bookmarkEnd w:id="110"/>
    <w:bookmarkStart w:id="111" w:name="ref-manski199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MANSKI, Charles F. Identification of Endogenous Social Effects: The Reflection Problem.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 Studies</w:t>
      </w:r>
      <w:r>
        <w:rPr>
          <w:rFonts w:ascii="Arial" w:hAnsi="Arial"/>
          <w:sz w:val="22"/>
        </w:rPr>
        <w:t xml:space="preserve">, v. 60, n. 3, p. 531–542, 1993.</w:t>
      </w:r>
    </w:p>
    <w:bookmarkEnd w:id="111"/>
    <w:bookmarkStart w:id="112" w:name="ref-marques2010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MARQUES, Eduardo. Redes Sociais, Segregação e Pobreza em São Paulo.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Dados: Revista de Ciências Sociais</w:t>
      </w:r>
      <w:r>
        <w:rPr>
          <w:rFonts w:ascii="Arial" w:hAnsi="Arial"/>
          <w:sz w:val="22"/>
        </w:rPr>
        <w:t xml:space="preserve">, v. 53, n. 1, p. 5–50, 2010.</w:t>
      </w:r>
    </w:p>
    <w:bookmarkEnd w:id="112"/>
    <w:bookmarkStart w:id="113" w:name="ref-oaxaca1973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OAXACA, Ronald. Male-Female Wage Differentials in Urban Labor Markets.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International Economic Review</w:t>
      </w:r>
      <w:r>
        <w:rPr>
          <w:rFonts w:ascii="Arial" w:hAnsi="Arial"/>
          <w:sz w:val="22"/>
        </w:rPr>
        <w:t xml:space="preserve">, v. 14, n. 3, p. 693–709, 1973.</w:t>
      </w:r>
    </w:p>
    <w:bookmarkEnd w:id="113"/>
    <w:bookmarkStart w:id="114" w:name="ref-oaxaca_ransom199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OAXACA, Ronald L.; RANSOM, Michael R. Identification in Detailed Wage Decompositions.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Economics and Statistics</w:t>
      </w:r>
      <w:r>
        <w:rPr>
          <w:rFonts w:ascii="Arial" w:hAnsi="Arial"/>
          <w:sz w:val="22"/>
        </w:rPr>
        <w:t xml:space="preserve">, v. 81, n. 1, p. 154–157, 1999.</w:t>
      </w:r>
    </w:p>
    <w:bookmarkEnd w:id="114"/>
    <w:bookmarkStart w:id="115" w:name="ref-pager200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PAGER, Devah.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Marked: Race, Crime, and Finding Work in an Era of Mass Incarceration</w:t>
      </w:r>
      <w:r>
        <w:rPr>
          <w:rFonts w:ascii="Arial" w:hAnsi="Arial"/>
          <w:sz w:val="22"/>
        </w:rPr>
        <w:t xml:space="preserve">. Chicago: University of Chicago Press, 2007.</w:t>
      </w:r>
    </w:p>
    <w:bookmarkEnd w:id="115"/>
    <w:bookmarkStart w:id="116" w:name="ref-raudenbush2002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RAUDENBUSH, Stephen W.; BRYK, Anthony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Hierarchical Linear Models: Applications and Data Analysis Methods</w:t>
      </w:r>
      <w:r>
        <w:rPr>
          <w:rFonts w:ascii="Arial" w:hAnsi="Arial"/>
          <w:sz w:val="22"/>
        </w:rPr>
        <w:t xml:space="preserve">. 2. ed. Thousand Oaks, CA: Sage, 2002.</w:t>
      </w:r>
    </w:p>
    <w:bookmarkEnd w:id="116"/>
    <w:bookmarkStart w:id="117" w:name="ref-sampson199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SAMPSON, Robert J.; RAUDENBUSH, Stephen W.; EARLS, Felton. Neighborhoods and Violent Crime: A Multilevel Study of Collective Efficacy.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Science</w:t>
      </w:r>
      <w:r>
        <w:rPr>
          <w:rFonts w:ascii="Arial" w:hAnsi="Arial"/>
          <w:sz w:val="22"/>
        </w:rPr>
        <w:t xml:space="preserve">, v. 277, p. 918–924, 1997.</w:t>
      </w:r>
    </w:p>
    <w:bookmarkEnd w:id="117"/>
    <w:bookmarkStart w:id="118" w:name="ref-soares2009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SOARES, Sergei. Desigualdade Racial de Renda no Brasil: 1976–2006.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Estudos Econômicos</w:t>
      </w:r>
      <w:r>
        <w:rPr>
          <w:rFonts w:ascii="Arial" w:hAnsi="Arial"/>
          <w:sz w:val="22"/>
        </w:rPr>
        <w:t xml:space="preserve">, v. 39, n. 4, p. 803–825, 2009.</w:t>
      </w:r>
    </w:p>
    <w:bookmarkEnd w:id="118"/>
    <w:bookmarkStart w:id="119" w:name="ref-vanderweele201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VANDERWEELE, Tyler J.; DING, Peng. Sensitivity Analysis in Observational Research: Introducing the E-Value.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Annals of Internal Medicine</w:t>
      </w:r>
      <w:r>
        <w:rPr>
          <w:rFonts w:ascii="Arial" w:hAnsi="Arial"/>
          <w:sz w:val="22"/>
        </w:rPr>
        <w:t xml:space="preserve">, v. 167, n. 4, p. 268–274, 2017.</w:t>
      </w:r>
    </w:p>
    <w:bookmarkEnd w:id="119"/>
    <w:bookmarkStart w:id="120" w:name="ref-wilson1987"/>
    <w:p>
      <w:pPr>
        <w:pStyle w:val="Bibliography"/>
        <w:spacing w:line="240" w:lineRule="auto" w:before="0" w:after="120"/>
        <w:ind w:firstLine="0" w:left="0"/>
        <w:jc w:val="left"/>
      </w:pPr>
      <w:r>
        <w:rPr>
          <w:rFonts w:ascii="Arial" w:hAnsi="Arial"/>
          <w:sz w:val="22"/>
        </w:rPr>
        <w:t xml:space="preserve">WILSON, William J.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Truly Disadvantaged: The Inner City, the Underclass, and Public Policy</w:t>
      </w:r>
      <w:r>
        <w:rPr>
          <w:rFonts w:ascii="Arial" w:hAnsi="Arial"/>
          <w:sz w:val="22"/>
        </w:rPr>
        <w:t xml:space="preserve">. Chicago: University of Chicago Press, 1987.</w:t>
      </w:r>
    </w:p>
    <w:bookmarkEnd w:id="120"/>
    <w:bookmarkEnd w:id="121"/>
    <w:bookmarkEnd w:id="122"/>
    <w:sectPr w:rsidR="00FE14AF" w:rsidRPr="000B508B" w:rsidSect="00346452">
      <w:headerReference r:id="rId11" w:type="default"/>
      <w:footerReference r:id="rId12" w:type="default"/>
      <w:footerReference r:id="rId13" w:type="first"/>
      <w:headerReference w:type="first" r:id="rId1"/>
      <w:headerReference w:type="even" r:id="rId2"/>
      <w:pgSz w:code="9" w:h="16838" w:w="11906"/>
      <w:pgMar w:bottom="1417" w:footer="709" w:gutter="0" w:header="709" w:left="1417" w:right="1417" w:top="1417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Os modelos têm o logaritmo do rendimento como variável dependente, de modo que o coeficiente está em log-pontos. A variação percentual correspondente é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, e não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×</m:t>
        </m:r>
        <m:r>
          <m:t>100</m:t>
        </m:r>
      </m:oMath>
      <w:r>
        <w:t xml:space="preserve">: para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, por exemplo, tem-se</w:t>
      </w:r>
      <w:r>
        <w:t xml:space="preserve"> </w:t>
      </w:r>
      <m:oMath>
        <m:r>
          <m:rPr>
            <m:sty m:val="p"/>
          </m:rPr>
          <m:t>−</m:t>
        </m:r>
        <m:r>
          <m:t>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, e não</w:t>
      </w:r>
      <w:r>
        <w:t xml:space="preserve"> </w:t>
      </w:r>
      <m:oMath>
        <m:r>
          <m:rPr>
            <m:sty m:val="p"/>
          </m:rPr>
          <m:t>−</m:t>
        </m:r>
        <m:r>
          <m:t>21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%</m:t>
        </m:r>
      </m:oMath>
      <w:r>
        <w:t xml:space="preserve">. As duas leituras se aproximam quando o coeficiente é pequeno e divergem à medida que ele cresce em módulo; todos os percentuais de gap deste trabalho usam a primeira forma.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tabs>
        <w:tab w:pos="9072" w:val="right"/>
      </w:tabs>
      <w:ind w:right="3968"/>
      <w:rPr>
        <w:sz w:val="16"/>
        <w:szCs w:val="17"/>
      </w:rPr>
    </w:pPr>
    <w:r>
      <w:rPr>
        <w:rFonts w:ascii="Arial" w:hAnsi="Arial"/>
        <w:noProof/>
        <w:sz w:val="16"/>
      </w:rPr>
      <w:t>Trabalho de Conclusão de Curso apresentado para obtenção do título de especialista em Data Science e Analytics – 2026</w:t>
    </w:r>
    <w:r>
      <w:rPr>
        <w:sz w:val="16"/>
        <w:szCs w:val="17"/>
      </w:rPr>
    </w:r>
    <w:r w:rsidRPr="00D52F94">
      <w:rPr>
        <w:sz w:val="16"/>
        <w:szCs w:val="17"/>
      </w:rPr>
    </w:r>
    <w:r>
      <w:rPr>
        <w:sz w:val="16"/>
        <w:szCs w:val="17"/>
      </w:rPr>
    </w:r>
    <w:r w:rsidRPr="00D52F94">
      <w:rPr>
        <w:sz w:val="16"/>
        <w:szCs w:val="17"/>
      </w:rPr>
    </w:r>
    <w:r>
      <w:rPr>
        <w:sz w:val="16"/>
        <w:szCs w:val="17"/>
      </w:rPr>
    </w:r>
    <w:r w:rsidRPr="00D52F94">
      <w:rPr>
        <w:sz w:val="16"/>
        <w:szCs w:val="17"/>
      </w:rPr>
    </w:r>
    <w:r>
      <w:rPr>
        <w:sz w:val="16"/>
        <w:szCs w:val="17"/>
      </w:rPr>
    </w:r>
    <w:r w:rsidRPr="004D48C1"/>
    <w:r>
      <w:tab/>
      <w:drawing>
        <wp:inline xmlns:a="http://schemas.openxmlformats.org/drawingml/2006/main" xmlns:pic="http://schemas.openxmlformats.org/drawingml/2006/picture">
          <wp:extent cx="783194" cy="324000"/>
          <wp:docPr id="844941521" name="Picture 84494152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83194" cy="324000"/>
                  </a:xfrm>
                  <a:prstGeom prst="rect"/>
                </pic:spPr>
              </pic:pic>
            </a:graphicData>
          </a:graphic>
        </wp:inline>
      </w:drawing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ascii="Arial" w:hAnsi="Arial"/>
      <w:sz w:val="22"/>
    </w:rPr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1" Type="http://schemas.openxmlformats.org/officeDocument/2006/relationships/numbering" Target="numbering.xml"/><Relationship Id="rId20" Type="http://schemas.openxmlformats.org/officeDocument/2006/relationships/styles" Target="styles.xml"/><Relationship Id="rId19" Type="http://schemas.openxmlformats.org/officeDocument/2006/relationships/settings" Target="settings.xml"/><Relationship Id="rId18" Type="http://schemas.openxmlformats.org/officeDocument/2006/relationships/webSettings" Target="webSettings.xml"/><Relationship Id="rId17" Type="http://schemas.openxmlformats.org/officeDocument/2006/relationships/fontTable" Target="fontTable.xml"/><Relationship Id="rId16" Type="http://schemas.openxmlformats.org/officeDocument/2006/relationships/theme" Target="theme/theme1.xml"/><Relationship Id="rId15" Type="http://schemas.openxmlformats.org/officeDocument/2006/relationships/footnotes" Target="footnotes.xml"/><Relationship Id="rId14" Type="http://schemas.openxmlformats.org/officeDocument/2006/relationships/comments" Target="comments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1" Type="http://schemas.openxmlformats.org/officeDocument/2006/relationships/header" Target="header1.xml"/><Relationship Id="rId72" Type="http://schemas.openxmlformats.org/officeDocument/2006/relationships/image" Target="media/rId72.png"/><Relationship Id="rId54" Type="http://schemas.openxmlformats.org/officeDocument/2006/relationships/image" Target="media/rId54.png"/><Relationship Id="rId60" Type="http://schemas.openxmlformats.org/officeDocument/2006/relationships/image" Target="media/rId60.png"/><Relationship Id="rId67" Type="http://schemas.openxmlformats.org/officeDocument/2006/relationships/image" Target="media/rId67.png"/><Relationship Id="rId81" Type="http://schemas.openxmlformats.org/officeDocument/2006/relationships/image" Target="media/rId81.png"/><Relationship Id="rId34" Type="http://schemas.openxmlformats.org/officeDocument/2006/relationships/image" Target="media/rId34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1" Type="http://schemas.openxmlformats.org/officeDocument/2006/relationships/header" Target="header2.xml"/><Relationship Id="rId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2026-09-24T01:26:15Z</dcterms:created>
  <dcterms:modified xsi:type="dcterms:W3CDTF">2026-09-24T01:26:15Z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