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Calibri" w:hAnsi="Calibri"/>
          <w:b/>
          <w:i w:val="0"/>
          <w:color w:val="1F3864"/>
          <w:sz w:val="44"/>
        </w:rPr>
        <w:t>GUIA DE ESTUDO PARA A DEFESA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16161"/>
          <w:sz w:val="26"/>
        </w:rPr>
        <w:t>Racismo estrutural no mercado de trabalho brasileiro</w:t>
      </w:r>
    </w:p>
    <w:p>
      <w:pPr>
        <w:spacing w:before="0" w:after="480"/>
        <w:jc w:val="center"/>
      </w:pPr>
      <w:r>
        <w:rPr>
          <w:rFonts w:ascii="Calibri" w:hAnsi="Calibri"/>
          <w:b w:val="0"/>
          <w:i/>
          <w:color w:val="616161"/>
          <w:sz w:val="22"/>
        </w:rPr>
        <w:t>Uma abordagem multinível e de decomposição salarial — PNAD Contínua 2016–2025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Ricardo Calheiros · MBA em Data Science e Analytics · ESALQ/USP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Como usar este guia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1 — o que dizer nos três primeiros minutos, com os números de cor.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2 — leituras prioritárias: o que a banca costuma cobrar de cada obra.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3 — os quatro métodos do núcleo: o que cada um responde e como ler a saída.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4 — a robustez, que é o que separa um resultado de um achado.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5 — equações para memorizar.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6 — as perguntas difíceis, com a resposta já formulada.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Todos os números deste guia são lidos dos csv de outputs/tables/ na geração: se uma análise for reexecutada, basta rodar o gerador de novo.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A DEFESA EM TRÊS MINUTOS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Decore esta sequência. Ela responde, nesta ordem, às quatro perguntas que toda banca faz: o que você mediu, por que isso não é óbvio, como sabe que é verdade e o que muda se for.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>▌ A frase-síntese (se só houver tempo para uma)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“Com a mesma escolaridade, idade, sexo e bairro, um trabalhador negro ganha 6,1% a menos e tem chances 19% menores de chegar a um cargo qualificado. O diploma quase iguala o salário, mas não abre a porta.”</w:t>
      </w:r>
    </w:p>
    <w:p>
      <w:pPr>
        <w:pStyle w:val="Heading2"/>
      </w:pPr>
      <w:r>
        <w:rPr>
          <w:rFonts w:ascii="Calibri" w:hAnsi="Calibri"/>
          <w:color w:val="1F3864"/>
        </w:rPr>
        <w:t>1.1  O contexto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Entre 2016 e 2025, um trabalhador negro ganhou em média </w:t>
      </w:r>
      <w:r>
        <w:rPr>
          <w:rFonts w:ascii="Calibri" w:hAnsi="Calibri"/>
          <w:b/>
          <w:i w:val="0"/>
          <w:sz w:val="22"/>
        </w:rPr>
        <w:t>10,5% a menos</w:t>
      </w:r>
      <w:r>
        <w:rPr>
          <w:rFonts w:ascii="Calibri" w:hAnsi="Calibri"/>
          <w:b w:val="0"/>
          <w:i w:val="0"/>
          <w:sz w:val="22"/>
        </w:rPr>
        <w:t xml:space="preserve"> que um branco com a mesma escolaridade, idade e sexo. Esse é o gap agregado, estimado por OLS com efeitos fixos de estado — o ponto de partida.</w:t>
      </w:r>
    </w:p>
    <w:p>
      <w:pPr>
        <w:pStyle w:val="Heading2"/>
      </w:pPr>
      <w:r>
        <w:rPr>
          <w:rFonts w:ascii="Calibri" w:hAnsi="Calibri"/>
          <w:color w:val="1F3864"/>
        </w:rPr>
        <w:t>1.2  O desequilíbrio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O gap não é uma coisa só. Comparando apenas pessoas </w:t>
      </w:r>
      <w:r>
        <w:rPr>
          <w:rFonts w:ascii="Calibri" w:hAnsi="Calibri"/>
          <w:b/>
          <w:i w:val="0"/>
          <w:sz w:val="22"/>
        </w:rPr>
        <w:t>do mesmo bairro</w:t>
      </w:r>
      <w:r>
        <w:rPr>
          <w:rFonts w:ascii="Calibri" w:hAnsi="Calibri"/>
          <w:b w:val="0"/>
          <w:i w:val="0"/>
          <w:sz w:val="22"/>
        </w:rPr>
        <w:t xml:space="preserve">, ele encolhe: 39,5% do gap agregado é mediado pela segregação residencial, e sobra um </w:t>
      </w:r>
      <w:r>
        <w:rPr>
          <w:rFonts w:ascii="Calibri" w:hAnsi="Calibri"/>
          <w:b/>
          <w:i w:val="0"/>
          <w:sz w:val="22"/>
        </w:rPr>
        <w:t>gap líquido de 6,1%</w:t>
      </w:r>
      <w:r>
        <w:rPr>
          <w:rFonts w:ascii="Calibri" w:hAnsi="Calibri"/>
          <w:b w:val="0"/>
          <w:i w:val="0"/>
          <w:sz w:val="22"/>
        </w:rPr>
        <w:t>. Dentro da mesma ocupação ainda persistem 5,6% — e a ocupação é ela própria resultado da barreira de acesso.</w:t>
      </w:r>
    </w:p>
    <w:p>
      <w:pPr>
        <w:pStyle w:val="Heading2"/>
      </w:pPr>
      <w:r>
        <w:rPr>
          <w:rFonts w:ascii="Calibri" w:hAnsi="Calibri"/>
          <w:color w:val="1F3864"/>
        </w:rPr>
        <w:t>1.3  A evidência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Quatro métodos independentes sobre a população completa da PNAD Contínua (cerca de 7,7 milhões de observações em 41.454 bairros; o N exato varia com os filtros de cada método):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Método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Pergunta que responde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HLM de dois níveis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Quanto do gap é do bairro?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 mediado pelo bairro; gap líquido 6,1%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Oaxaca–Blinder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É composição ou preço?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 do gap são retornos diferenciais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QR + RIF-OB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na distribuição pesa?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gap condicional cresce (4,3%→8,4%); retornos maiores na base (26,5% no q10)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GLMM logístico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porta é mais estreita?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 = 0,814 para cargo qualificado; 0,761 no topo 10%</w:t>
            </w:r>
          </w:p>
        </w:tc>
      </w:tr>
    </w:tbl>
    <w:p>
      <w:pPr>
        <w:spacing w:after="40"/>
      </w:pPr>
    </w:p>
    <w:p>
      <w:pPr>
        <w:spacing w:before="0" w:after="200"/>
        <w:jc w:val="both"/>
      </w:pPr>
      <w:r>
        <w:rPr>
          <w:rFonts w:ascii="Calibri" w:hAnsi="Calibri"/>
          <w:b w:val="0"/>
          <w:i w:val="0"/>
          <w:sz w:val="22"/>
        </w:rPr>
        <w:t>Um XGBoost com SHAP confirma, sem impor forma funcional, que a raça mantém contribuição própria: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1.4  O que isso muda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Se o gargalo fosse escolaridade, bastaria ampliar o acesso ao ensino. Os resultados dizem outra coisa: as mesmas credenciais rendem menos, e há uma barreira própria no acesso à ocupação, que o diploma não desfaz. Política de educação isolada tem retorno marginal decrescente; é preciso agir simultaneamente sobre acesso (Lei 15.142/2025, que substituiu a 12.990/2014), sobre a discriminação salarial (Lei 9.029/1995 e Estatuto da Igualdade Racial) e sobre a segregação residencial.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ROTEIRO DE LEITURAS</w:t>
      </w:r>
    </w:p>
    <w:p>
      <w:pPr>
        <w:pStyle w:val="Heading2"/>
      </w:pPr>
      <w:r>
        <w:rPr>
          <w:rFonts w:ascii="Calibri" w:hAnsi="Calibri"/>
          <w:color w:val="1F3864"/>
        </w:rPr>
        <w:t>2.1  Prioridade máxima — perguntas quase certas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Angrist &amp; Pischke — Mostly Harmless Econometrics (caps. 2, 3 e 8)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É de onde vêm as três ressalvas que a banca vai cobrar: bad controls (cap. 3), condicionar no desfecho e o problema de Moulton/erros agrupados (cap. 8). Saiba dizer em uma frase por que M4 é limite inferior e M3 é limite superior.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Oaxaca (1973) e Blinder (1973)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decomposição em dotações e retornos. Saiba que a parcela de retornos não é 'a discriminação medida', e sim o resíduo não explicado pelas variáveis incluídas.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Raudenbush &amp; Bryk — Hierarchical Linear Models (caps. 2 e 4)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Modelo nulo, ICC, estratégia step-up e a diferença entre REML e ML. No M0 deste trabalho, ICC = 0,353 — 35% da variância do log-rendimento está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Firpo, Fortin &amp; Lemieux (2018) — RIF regressions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os quantis incondicionais respondem a uma pergunta diferente dos condicionais. É a base do parágrafo que concilia teto de vidro e piso pegajoso.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Hasenbalg (1979) e Soares (2009)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literatura nacional com que o resultado dialoga. Saiba dizer o que este trabalho acrescenta: não a existência do gap, e sim a separação dos mecanismos.</w:t>
      </w:r>
    </w:p>
    <w:p>
      <w:pPr>
        <w:pStyle w:val="Heading2"/>
      </w:pPr>
      <w:r>
        <w:rPr>
          <w:rFonts w:ascii="Calibri" w:hAnsi="Calibri"/>
          <w:color w:val="1F3864"/>
        </w:rPr>
        <w:t>2.2  Prioridade média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Manski (1993) — problema do reflexo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a renda média do bairro, usada como preditor, é mecanicamente informativa — e o que foi feito (média leave-one-out no ML, variável removida nos modelos de acesso).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Wilson (1987) e Sampson, Raudenbush &amp; Earls (1997)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arcabouço teórico dos efeitos de vizinhança: por que faz sentido pôr a UPA no nível 2.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VanderWeele &amp; Ding (2017) — E-values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Quanto de confundimento não observado seria preciso para anular o resultado. Aqui, E-value = 1,5 para a barreira de acesso.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Crenshaw (1989) — interseccionalidade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conceito por trás da decomposição de quatro grupos (raça × gênero).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Fávero &amp; Belfiore — Manual de Análise de Dados (caps. 12, 14 e 15)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VIF e multicolinearidade, modelos logísticos (OR, efeitos marginais, sensibilidade/especificidade, curva ROC) e modelos multinível.</w:t>
      </w:r>
    </w:p>
    <w:p>
      <w:pPr>
        <w:pStyle w:val="Heading2"/>
      </w:pPr>
      <w:r>
        <w:rPr>
          <w:rFonts w:ascii="Calibri" w:hAnsi="Calibri"/>
          <w:color w:val="1F3864"/>
        </w:rPr>
        <w:t>2.3  Se sobrar tempo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Pager (2007) — experimentos de auditoria: a evidência experimental que o resultado observacional é consistente com.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Koenker &amp; Bassett (1978) — regressão quantílica, o artigo fundador.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Lundberg &amp; Lee (2017) — SHAP: valores de Shapley aplicados a modelos preditivos.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Knaflic — Storytelling com Dados: a lógica da apresentação (título de ação, uma ideia por slide, cinza + uma cor de destaque).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OS QUATRO MÉTODOS DO NÚCLEO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Para cada método: a pergunta que ele responde, como ler a saída e o número que você precisa saber de cor.</w:t>
      </w:r>
    </w:p>
    <w:p>
      <w:pPr>
        <w:pStyle w:val="Heading2"/>
      </w:pPr>
      <w:r>
        <w:rPr>
          <w:rFonts w:ascii="Calibri" w:hAnsi="Calibri"/>
          <w:color w:val="1F3864"/>
        </w:rPr>
        <w:t>3.1  Modelo linear hierárquico (indivíduos em bairros, efeitos fixos de UF)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Quanto do gap racial desaparece quando se compara negros e brancos que moram no mesmo bairro?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A estratégia é step-up: parte-se do modelo nulo e acrescenta-se um bloco de controles por vez, observando o que acontece com o coeficiente de raça.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 que acrescenta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β negro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(%)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Mediação acum.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Agregado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individual + UF, sem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−0,1104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−10,5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intercepto aleatório de UPA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−0,0669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contexto do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−0,0637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−6,2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42,3%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efeitos fixos de UF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−0,0629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−6,1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43,0%</w:t>
            </w:r>
          </w:p>
        </w:tc>
      </w:tr>
      <w:tr>
        <w:trPr>
          <w:cantSplit/>
        </w:trP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ocupação e formalidade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−0,0579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−5,6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47,6%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Modelo nulo: τ² = 0,3018, σ² = 0,5524 → ICC = 0,353. Traduza: 35% da variância do log-rendimento está entre bairros, não entre pessoas — é o que justifica o multinível.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Efeito contextual (M2): γ₀₁ = −0,1272 (EP 0,0013) por desvio-padrão da proporção de negros na UPA. Atenção: o regressor é padronizado — não diga “por ponto percentual”.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Inclinação aleatória (M3_RS): desvio-padrão da inclinação de raça entre bairros = 0,145; LR contra o M3 = 26.267. A penalidade varia entre bairros, e a covariância negativa (−0,0157) diz que ela é maior justamente nos bairros de renda mais alta.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REML vs ML: τ² = 0,30182 por ML e 0,30182 por REML. Com N desse tamanho a escolha é indiferente; usa-se ML porque é o que permite comparar efeitos fixos entre degraus.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0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lm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0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Comparar vizinhos reduz o gap em cerca de 40% — e o que sobra não é explicado por escolaridade, estado nem ocupação.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00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m_efeitos_uf_blup_u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0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variação entre bairros supera a variação entre estados: efeitos fixos de UF (à esquerda) e BLUPs de UPA (à direita).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Oaxaca–Blinder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Do gap observado, quanto vem de os dois grupos terem características diferentes (dotações) e quanto de as mesmas características serem pagas de forma diferente (retornos)?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Especificação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total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Como nomear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(A) Capital humano + contexto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82,1%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comparável à literatura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(B) + ocupação e formalidade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84,6%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15,4%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limite inferior descritivo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Erros-padrão por bootstrap em blocos de UPA (500 réplicas), N = 7.699.278 em 41.459 UPAs.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frase que evita a pergunta capciosa: “a parcela de retornos não é a discriminação medida; é o que as variáveis incluídas não explicam. Ela é um limite superior do efeito de tratamento diferencial e um limite inferior do racismo estrutural, que também opera pelas dotações.”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490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_casc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Tratar a ocupação como “característica” reduz a discriminação medida de 17,9% para 15,4% do gap — por isso as duas especificações são reportadas lado a lado.</w:t>
      </w:r>
    </w:p>
    <w:p>
      <w:pPr>
        <w:pStyle w:val="Heading2"/>
      </w:pPr>
      <w:r>
        <w:rPr>
          <w:rFonts w:ascii="Calibri" w:hAnsi="Calibri"/>
          <w:color w:val="1F3864"/>
        </w:rPr>
        <w:t>3.3  Regressão quantílica e RIF-OB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penalidade racial é a mesma em toda a distribuição de renda, ou pesa mais no topo (teto de vidro) ou na base (piso pegajoso)?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Quantil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condicional (QR)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 (RIF, incondicional)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q10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26,5%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q25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22,3%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q50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−4,9%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20,6%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q75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16,9%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q90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−8,4%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Teste de heterogeneidade: diferença q90 − q10 = −0,0439, Z = −25,87, p &lt; 0,001. O erro-padrão vem de bootstrap m-out-of-n em blocos de UPA (1.243 de 41.459 UPAs por réplica, com reescala √(m/G)).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A pergunta que a banca vai fazer: “os dois padrões não se contradizem?”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Não. A QR estima quantis condicionais: β(τ) compara negros e brancos na mesma posição dentro da distribuição de pessoas com o mesmo perfil observável. O crescimento de |β(τ)| significa que a dispersão condicional é maior entre brancos (fanning out) — não que “os negros do topo sofrem mais”: quantis não seguem indivíduos.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RIF-OB decompõe quantis incondicionais da distribuição de renda do país. Como a composição observável concentra negros na base, a parcela de retornos é maior ali. Um resultado é sobre preço; o outro, sobre distribuição.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162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r_r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16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Teto de vidro entre pares (QR, condicional) e piso pegajoso na renda do país (RIF, incondicional): duas perguntas, dois padrões.</w:t>
      </w:r>
    </w:p>
    <w:p>
      <w:pPr>
        <w:pStyle w:val="Heading2"/>
      </w:pPr>
      <w:r>
        <w:rPr>
          <w:rFonts w:ascii="Calibri" w:hAnsi="Calibri"/>
          <w:color w:val="1F3864"/>
        </w:rPr>
        <w:t>3.4  GLMM logístico de acesso (lme4::glmer)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Controlando escolaridade, sexo, idade, estado e contexto do bairro, um trabalhador negro tem a mesma chance de ocupar um cargo qualificado ou de chegar ao topo da renda?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 w:val="true"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Desfecho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OR (IC 95%)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AME (p.p.)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ICC UPA (A2)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E-value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Cargo qualificado (CBO 1–4)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0,814 (0,810–0,818)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−2,6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0,054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Topo 20% da renda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0,769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0,083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0,872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10%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0,761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−1,7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0,116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0,900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2,0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Leitura em uma frase: a chance de um trabalhador negro ocupar cargo qualificado é 19% menor que a de um branco do mesmo bairro e perfil; no décimo superior da renda, 24% menor. O gradiente (0,814 → 0,769 → 0,761) é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Diga “chance” (odds), não “probabilidade”: por isso o AME está ao lado — 2,6 pontos percentuais de probabilidade.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Ajuste: AUC = 0,878 com efeito aleatório contra 0,870 só com efeitos fixos; corte de Youden 0,30 (sensibilidade 0,79, especificidade 0,79). O teste LR contra o logit pooled é 77.940 — o efeito aleatório de bairro não é 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348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mm_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4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porta é mais estreita para trabalhadores negros — e estreita ainda mais no topo da distribuição.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4 — A ROBUSTEZ (É AQUI QUE A DEFESA SE GANHA)</w:t>
      </w:r>
    </w:p>
    <w:p>
      <w:pPr>
        <w:pStyle w:val="Heading2"/>
      </w:pPr>
      <w:r>
        <w:rPr>
          <w:rFonts w:ascii="Calibri" w:hAnsi="Calibri"/>
          <w:color w:val="1F3864"/>
        </w:rPr>
        <w:t>4.1  Konfound e E-values — e se faltar uma variável?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Konfound (M3): seria preciso que 98,4% da estimativa fosse viés para invalidar a inferência; a correlação parcial exigida do confundidor (ITCV = 0,043) é maior que a de qualquer covariável observada.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E-value (acesso, A2) = 1,5: um confundidor não medido precisaria estar associado a ser negro e ao acesso com OR de pelo menos 1,5 (com o desfecho comum, a OR vira razão de risco pela raiz quadrada). É modesto — a escolaridade tem efeito muito maior sobre o acesso —; diga que o E-value mostra a escala do viés necessário, não que o descarta.</w:t>
      </w:r>
    </w:p>
    <w:p>
      <w:pPr>
        <w:pStyle w:val="Heading2"/>
      </w:pPr>
      <w:r>
        <w:rPr>
          <w:rFonts w:ascii="Calibri" w:hAnsi="Calibri"/>
          <w:color w:val="1F3864"/>
        </w:rPr>
        <w:t>4.2  Balanceamento e suporte comum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Das 18 covariáveis comparadas entre brancos e negros, 9 têm d de Cohen abaixo de 0,2 (desequilíbrio pequeno).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maior desequilíbrio é justamente o bairro (% negro na UPA (z), d = −1,17) — o que reforça a tese, não a enfraquece: a segregação residencial é o desequilíbrio, não um ruído a controlar.</w:t>
      </w:r>
    </w:p>
    <w:p>
      <w:pPr>
        <w:pStyle w:val="Heading2"/>
      </w:pPr>
      <w:r>
        <w:rPr>
          <w:rFonts w:ascii="Calibri" w:hAnsi="Calibri"/>
          <w:color w:val="1F3864"/>
        </w:rPr>
        <w:t>4.3  Multicolinearidade (VIF) no M4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VIF máximo = 2,66 (CBO: Profissionais); nenhum dos 23 preditores acima de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que importa: o VIF de 'negro' é 1,36. A colinearidade infla o erro-padrão dos retornos educacionais, não o do coeficiente de interesse.</w:t>
      </w:r>
    </w:p>
    <w:p>
      <w:pPr>
        <w:pStyle w:val="Heading2"/>
      </w:pPr>
      <w:r>
        <w:rPr>
          <w:rFonts w:ascii="Calibri" w:hAnsi="Calibri"/>
          <w:color w:val="1F3864"/>
        </w:rPr>
        <w:t>4.4  Machine learning: validação cruzada e SHAP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  <w:tblHeader w:val="true"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teste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treino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treino–teste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0,0003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0,644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0,653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0,0084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 sem renda da UPA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0,632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0,640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0,0081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Validação cruzada de 5 folds sobre a população (6.159.418 de treino, 1.539.855 de teste): R² = 0,644 ± 0,0006.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profundidade máxima 10 foi escolhida entre 6 configurações testadas numa partição de validação dentro do treino — a pior delas (profundidade 4) dava R² = 0,618. Diga isso se perguntarem por que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 na unidade original: mediana de R$ 664 por mês (34,6% do rendimento), com correção de smearing de Duan (1,159) — porque o modelo prevê log de renda.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SHAP: a variável racial ocupa a 14ª posição entre 28 preditores no XGBoost (|SHAP| = 0,0266). Sem a renda média do bairro entre as features, a contribuição da raça é 0,0295 — praticamente a mesma: o resultado não depende do preditor de vizinhança.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63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beeswarm_xg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6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Contexto do bairro, diploma superior e jornada dominam a previsão de renda; a raça aparece na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4.5  Interseccionalidade (raça × gênero)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Grupo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vs. homem branco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 do grupo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Mulher branca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19,9%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−97,0%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197,0%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1.429.355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Homem negro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56,4%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77,2%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22,8%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2.662.039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negra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80,7%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27,4%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72,6%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1.765.796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mulher negra teve o maior gap (80,7% contra o homem branco), mas suas desvantagens de raça e de gênero se acumularam sem se multiplicar: em log-pontos, o gap dela (0,592) ficou abaixo da soma das penalidades isoladas (0,629). Somar os percentuais (80,7 contra 19,9 + 56,4) daria a impressão contrária: a escala percentual é convexa, e só a de log-pontos é aditiva.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sinal negativo das dotações da mulher branca significa que as características observáveis dela superam as do homem branco: todo o gap dela vem de retornos.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aparente vantagem da mulher negra no acesso a cargos CBO 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mulher negra entra pelas ocupações feminizadas, mas não chega ao comando nem ao topo.</w:t>
      </w:r>
    </w:p>
    <w:p>
      <w:pPr>
        <w:pStyle w:val="Heading2"/>
      </w:pPr>
      <w:r>
        <w:rPr>
          <w:rFonts w:ascii="Calibri" w:hAnsi="Calibri"/>
          <w:color w:val="1F3864"/>
        </w:rPr>
        <w:t>4.6  O que o agregado esconde: cor, setor e idade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Pretos × pardos (mesmo perfil e bairro): salário 7,4% × 5,8%; acesso OR 0,785 × 0,820; top 10% OR 0,725 × 0,768. A distância cresce no topo (QR, 9º decil: 10,0% × 8,0%). Leitura: compatível com colorismo (discriminação graduada pela tonalidade da pele, Telles 2004); 'negro' segue como categoria da política, porque os dois grupos estão abaixo dos brancos em todas as medidas.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Setor: a porta é igualmente desigual (acesso OR 0,783 no privado × 0,786 no público); o teto não (top 10% 0,685 × 0,843; salário 7,2% × 4,6%).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Idade: 1,7% (14–29) a 14,7% (65+). Pergunta provável: 'é coorte ou ciclo de vida?' — resposta: dado transversal não separa; ciclo de vida é compatível com o teto de vidro, coorte com melhora entre gerações; 65+ é grupo selecionado (só quem ainda trabalha).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Teto de vidro dentro de cada UF: OR 0,762 — não decorre da composição regional dos salários. Peso amostral (V1028), no logit com efeito fixo de estado: OR do acesso 0,820 → 0,808. WeMix (pacote R de multinível ponderado): inviável com 41 mil UPAs.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5 — EQUAÇÕES PARA MEMORIZAR</w:t>
      </w:r>
    </w:p>
    <w:p>
      <w:pPr>
        <w:pStyle w:val="Heading2"/>
      </w:pPr>
      <w:r>
        <w:rPr>
          <w:rFonts w:ascii="Calibri" w:hAnsi="Calibri"/>
          <w:color w:val="1F3864"/>
        </w:rPr>
        <w:t>5.1  HLM de dois níveis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ln(W)ᵢⱼ = β₀ⱼ + β₁·Negroᵢⱼ + β₂·Sexoᵢⱼ + β₃·Xᵢⱼ + β₄·X²ᵢⱼ + Σₑ βₑ·Educₑ,ᵢⱼ + β₅′Zᵢⱼ + εᵢⱼ,  ε ~ N(0, σ²)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2 (bairro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β₀ⱼ = γ₀₀ + γ₀₁·%Negroⱼ + γ₀₂·Contextoⱼ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σ²) = 0,3018 / (0,3018 + 0,5524) = 0,353</w:t>
      </w:r>
    </w:p>
    <w:p>
      <w:pPr>
        <w:pStyle w:val="Heading2"/>
      </w:pPr>
      <w:r>
        <w:rPr>
          <w:rFonts w:ascii="Calibri" w:hAnsi="Calibri"/>
          <w:color w:val="1F3864"/>
        </w:rPr>
        <w:t>5.2  Oaxaca–Blinder (twofold, referência = estrutura de preços dos brancos)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2"/>
        </w:rPr>
        <w:t>ln(W̄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>) − ln(W̄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 = (X̄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)′β̂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 + 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′(β̂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β̂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after="80"/>
        <w:ind w:left="454"/>
      </w:pPr>
      <w:r>
        <w:rPr>
          <w:rFonts w:ascii="Calibri" w:hAnsi="Calibri"/>
          <w:b w:val="0"/>
          <w:i w:val="0"/>
          <w:sz w:val="20"/>
        </w:rPr>
        <w:t>dotações: (X̄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)′β̂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  ·   retornos: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′(β̂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β̂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</w:t>
      </w:r>
    </w:p>
    <w:p>
      <w:pPr>
        <w:pStyle w:val="Heading2"/>
      </w:pPr>
      <w:r>
        <w:rPr>
          <w:rFonts w:ascii="Calibri" w:hAnsi="Calibri"/>
          <w:color w:val="1F3864"/>
        </w:rPr>
        <w:t>5.3  GLMM logístico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logit(P(Yᵢⱼ = 1)) = γ₀₀ + β₁·Negroᵢⱼ + β′Xᵢⱼ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π²/3);  OR = exp(β₁) = 0,814</w:t>
      </w:r>
    </w:p>
    <w:p>
      <w:pPr>
        <w:pStyle w:val="Heading2"/>
      </w:pPr>
      <w:r>
        <w:rPr>
          <w:rFonts w:ascii="Calibri" w:hAnsi="Calibri"/>
          <w:color w:val="1F3864"/>
        </w:rPr>
        <w:t>5.4  E-value (VanderWeele &amp; Ding, 2017)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E = RR + √(RR·(RR − 1)),  com RR = 1/OR quando OR &lt; 1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Desfecho comum (prevalência ≥ 15%, como o acesso): RR ≈ √(1/OR) antes da fórmula.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Para OR = 0,814:  E = 1,46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6 — AS PERGUNTAS DIFÍCEIS, COM RESPOSTA PRONTA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B71C1C"/>
          <w:sz w:val="22"/>
        </w:rPr>
        <w:t>Regra de ouro: nunca diga “causa”, “prova” ou “determina”. Diga “associa-se”, “é consistente com”, “penalidade condicional a X”.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Isso é causal?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Não, e o trabalho não afirma que seja. O que se estima é associação condicional sob seleção em observáveis. A seção de limitações lista as sete hipóteses uma a uma e o que acontece se cada uma falhar. O que sustenta o diagnóstico é a convergência de quatro métodos e a magnitude: seria preciso 98,4% de viés, ou um confundidor com OR de 1,5, para anular o resultado.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Controlar por ocupação não é bad control?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É, e é por isso que as duas versões são reportadas lado a lado. Ocupação e formalidade são desfechos da própria discriminação: incluí-las (M4, especificação B da Oaxaca-Blinder) dá 5,6% — um limite inferior descritivo, a discriminação dentro da ocupação. Sem elas (M3, especificação A) o gap é 6,1%. A comparação com a literatura é feita sempre na mesma especificação.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renda média do bairro não é reflexo (Manski)?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— e por isso ela foi removida dos modelos de acesso e, no XGBoost, substituída pela média leave-one-out, que exclui o próprio indivíduo. O R² cai pouco e a contribuição SHAP da raça fica praticamente idêntica (0,0266 contra 0,0295 sem a variável). Ainda assim, choques comuns ao bairro impedem leitura causal do coeficiente contextual, e isso está dito nas limitações.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Os erros-padrão consideram o desenho da PNAD?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Sim. A PNAD amostra por conglomerados, então todos os modelos reportam erro-padrão agrupado por UPA ou modelam o bairro como efeito aleatório. Oaxaca-Blinder, regressão quantílica e RIF usam bootstrap em blocos de UPA. Para o agrupamento por UF, que tem só 27 clusters, usa-se t com G−1 graus de liberdade — abaixo das 42 unidades que Angrist e Pischke sugerem como piso para a aproximação normal.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usar os pesos amostrais?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As estimativas principais são não ponderadas e isso está declarado: elas descrevem a regressão na amostra, não a média populacional. Como robustez, o modelo-chave foi reestimado com o peso V1028 e o gap muda cerca de meio ponto percentual. Em regressão com os estratos do desenho entre os controles, ponderar altera pouco os coeficientes e infla a variância.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 7,7 milhões de observações, tudo não fica significativo?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Fica — e é por isso que a leitura privilegia magnitude, intervalos de confiança e E-values, não asteriscos. Um exemplo no próprio trabalho: a tendência temporal do gap tem p = 0,027, significante: 0,0009 log-ponto por ano. Mas o estudo de evento mostra que não é um ritmo: a penalidade oscilou sem tendência até 2019, caiu em 2020 (7,0% → 5,9%, com efeito fixo de bairro) e não voltou ao nível anterior (5,2% em 2025) — um degrau, não uma rampa a extrapolar.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E a quebra de 2020? A pandemia não contamina a série?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Testado com um estudo de evento (base 2019, efeito fixo de bairro, erro por UPA). A penalidade caiu de 7,0% para 5,9% em 2020 (1,0 log-ponto acima da tendência, p = 0,004) e não voltou (5,2% em 2025). Não é seleção: a ocupação dos negros caiu só 0,26 p.p. a mais em 2020, dentro da tendência, e cresceu mais que a dos brancos desde 2022. Não é a entrevista por telefone: persiste após a volta da coleta presencial. Sem grupo de controle, não se identifica a causa; os resultados agrupados de 2016–2025 são uma média de antes e depois do degrau.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UPA como efeito aleatório e UF como efeito fixo?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27 unidades são poucas para estimar uma distribuição no terceiro nível, e 26 dummies absorvem todo o contexto estadual sem hipótese distribucional. A hipótese em teste é sobre o bairro, que tem 41.454 unidades. Como contraprova, todos os coeficientes foram reestimados com efeitos fixos de UF e erro agrupado por UPA, com as mesmas conclusões.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Só analisa quem tem renda positiva — isso não é seleção?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condicionar no desfecho, sim. A direção provável do viés é de subestimação: se os trabalhadores negros que permanecem ocupados são positivamente selecionados em atributos não observados, o gap entre observados é menor que o gap potencial. O modelo logístico de acesso trata diretamente a outra metade do problema. Uma correção à Heckman exigiria uma variável de exclusão crível — algo que mude a chance de estar ocupado sem mudar o salário — e fica como extensão; por isso o gap reportado é o gap entre ocupados.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OR de 0,814 quer dizer 19% menos probabilidade?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Não: quer dizer 19% menos chance, no sentido de odds. Em probabilidade, o efeito marginal médio é de 2,6 pontos percentuais. Os dois números estão na tabela justamente para essa pergunta.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machine learning num trabalho de econometria?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Ele não estima efeito nenhum — tem função de contraprova. Se a penalidade racial fosse artefato da forma funcional linear imposta pelo HLM, um modelo sem essa imposição não daria peso à variável de raça. Dá: 14ª posição entre 28 preditores. É convergência entre dois regimes epistemológicos diferentes — um inferencial, outro preditivo.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Como sabe que o XGBoost não está sobreajustado?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Três evidências: o gap entre R² de treino e de teste é 0,0084; N é muitas ordens de grandeza maior que a complexidade do modelo regularizado; e o R² de teste é estável entre a validação cruzada de 5 folds (0,644 ± 0,0006) e a partição única. Ampliar a base de amostral para populacional reduz, não aumenta, o risco de sobreajuste.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há análise de redes sociais nem pesquisa operacional?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o escopo foi fechado em quatro métodos que respondem a quatro perguntas distintas e podem ser defendidos em profundidade. As análises de redes e de priorização de políticas existem, estão preservadas no branch mestrado-extenso do repositório, mas ficaram como agenda: sem dado de vínculo individual, a rede é de co-residência e não de indicação profissional — o mecanismo de Granovetter fica como hipótese não testada.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mulher negra tem penalidade dupla ou tripla?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Dupla, no sentido de que acumula as duas — não tripla. A mulher negra teve o maior gap (80,7% contra o homem branco), mas suas desvantagens de raça e de gênero se acumularam sem se multiplicar: em log-pontos, o gap dela (0,592) ficou abaixo da soma das penalidades isoladas (0,629). A interação negro × mulher do GLMM também é sub-aditiva. Dizer o número exato é mais forte que dizer “dupla discriminação”, e evita a armadilha de somar percentuais.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 que é a UPA? Esse “bairro” foi um recorte criado por vocês?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Não. A UPA — Unidade Primária de Amostragem — é do desenho da própria PNAD Contínua: em cada estrato, o IBGE sorteia setores censitários (ou pequenos conjuntos de setores vizinhos, quando o setor tem poucos domicílios) e, dentro de cada um, um grupo de domicílios entrevistado em cinco trimestres seguidos. O código vem no microdado público (variável UPA). Chamo de bairro porque é a menor unidade territorial que a PNAD identifica — algumas centenas de domicílios vizinhos. A correspondência é aproximada: em cidade grande, um bairro administrativo contém várias UPAs; na zona rural, uma UPA pode ser extensa. Por isso, nas equações e nos erros-padrão, o texto diz UPA.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Qual é a maior fragilidade do trabalho?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O desenho transversal. Não se observa a mesma pessoa ao longo do tempo, então nada aqui identifica trajetória individual — só diferenças entre pessoas comparáveis num dado momento. A segunda é que ocupação e vínculo são, eles próprios, desfechos do processo estudado (a jornada só o é no modelo de acesso): controlá-los (M4, A3) dá um limite inferior descritivo, não o efeito líquido da raça.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Checklist final da véspera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10,5% agregado → 39,5% mediado pelo bairro → 6,1% líquido → 5,6% dentro da ocupação.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OR 0,814 no acesso e 0,761 no topo 10%.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ICC 0,353 — 35% da variância é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bad control sem consultar anotação.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por que quantil condicional e incondicional não se contradizem.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o que faria diferente com dado longitudinal (RAIS identificada).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Não usei a palavra “causa” uma única vez.</w:t>
      </w:r>
    </w:p>
    <w:p>
      <w:pPr>
        <w:spacing w:before="0" w:after="240"/>
        <w:jc w:val="both"/>
      </w:pP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18"/>
        </w:rPr>
        <w:t>Guia gerado automaticamente por tcc/scripts/gerar_guia_estudo.py a partir dos csv de outputs/tables/. Se alguma análise for reexecutada, rode o gerador de novo para que os números acompanhem.</w:t>
      </w:r>
    </w:p>
    <w:sectPr w:rsidR="00FC693F" w:rsidRPr="0006063C" w:rsidSect="00034616">
      <w:foot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16161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