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A desigualdade racial operou em duas frentes que responderam de modo diferente à escolaridade: a penalidade salarial foi maior entre os menos escolarizados e pequena entre os pós-graduados, enquanto a desvantagem no acesso a cargos qualificados persistiu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diferencial racial de rendimentos;</w:t>
      </w:r>
      <w:r>
        <w:rPr>
          <w:rFonts w:ascii="Arial" w:hAnsi="Arial"/>
          <w:sz w:val="22"/>
        </w:rPr>
        <w:t xml:space="preserve"> </w:t>
      </w:r>
      <w:r>
        <w:rPr>
          <w:rFonts w:ascii="Arial" w:hAnsi="Arial"/>
          <w:sz w:val="22"/>
        </w:rPr>
        <w:t>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Racial inequality operated on two fronts that responded differently to schooling: the wage penalty was largest among the least educated and small among postgraduates, while the disadvantage in access to qualified jobs persisted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racial earnings gap; residential segregation; glass</w:t>
      </w:r>
      <w:r>
        <w:rPr>
          <w:rFonts w:ascii="Arial" w:hAnsi="Arial"/>
          <w:sz w:val="22"/>
        </w:rPr>
        <w:t xml:space="preserve"> </w:t>
      </w:r>
      <w:r>
        <w:rPr>
          <w:rFonts w:ascii="Arial" w:hAnsi="Arial"/>
          <w:sz w:val="22"/>
        </w:rPr>
        <w:t>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A</w:t>
      </w:r>
      <w:r>
        <w:rPr>
          <w:rFonts w:ascii="Arial" w:hAnsi="Arial"/>
          <w:sz w:val="22"/>
        </w:rPr>
        <w:t xml:space="preserve"> </w:t>
      </w:r>
      <w:r>
        <w:rPr>
          <w:rFonts w:ascii="Arial" w:hAnsi="Arial"/>
          <w:sz w:val="22"/>
        </w:rPr>
        <w:t>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ele é desvio moral de pessoas; na institucional, está nas regras e práticas das</w:t>
      </w:r>
      <w:r>
        <w:rPr>
          <w:rFonts w:ascii="Arial" w:hAnsi="Arial"/>
          <w:sz w:val="22"/>
        </w:rPr>
        <w:t xml:space="preserve"> </w:t>
      </w:r>
      <w:r>
        <w:rPr>
          <w:rFonts w:ascii="Arial" w:hAnsi="Arial"/>
          <w:sz w:val="22"/>
        </w:rPr>
        <w:t>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de igualadas as características individuais; a sua mediação por estruturas — o</w:t>
      </w:r>
      <w:r>
        <w:rPr>
          <w:rFonts w:ascii="Arial" w:hAnsi="Arial"/>
          <w:sz w:val="22"/>
        </w:rPr>
        <w:t xml:space="preserve"> </w:t>
      </w:r>
      <w:r>
        <w:rPr>
          <w:rFonts w:ascii="Arial" w:hAnsi="Arial"/>
          <w:sz w:val="22"/>
        </w:rPr>
        <w:t>bairro de moradia e a porta das ocupações; e a sua acumulação onde se decide a</w:t>
      </w:r>
      <w:r>
        <w:rPr>
          <w:rFonts w:ascii="Arial" w:hAnsi="Arial"/>
          <w:sz w:val="22"/>
        </w:rPr>
        <w:t xml:space="preserve"> </w:t>
      </w:r>
      <w:r>
        <w:rPr>
          <w:rFonts w:ascii="Arial" w:hAnsi="Arial"/>
          <w:sz w:val="22"/>
        </w:rPr>
        <w:t>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(Marques, 2010; Wilson, 1987; Sampson et al., 1997)</w:t>
      </w:r>
      <w:r>
        <w:rPr>
          <w:rFonts w:ascii="Arial" w:hAnsi="Arial"/>
          <w:sz w:val="22"/>
        </w:rPr>
        <w:t>;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mediada pelo bairro de moradia (H1); que a penalidade se agrava no topo da</w:t>
      </w:r>
      <w:r>
        <w:rPr>
          <w:rFonts w:ascii="Arial" w:hAnsi="Arial"/>
          <w:sz w:val="22"/>
        </w:rPr>
        <w:t xml:space="preserve"> </w:t>
      </w:r>
      <w:r>
        <w:rPr>
          <w:rFonts w:ascii="Arial" w:hAnsi="Arial"/>
          <w:sz w:val="22"/>
        </w:rPr>
        <w:t>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e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Fonte: Dados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tabela que mostra de que é feita a comparação (Angrist &amp; Pischke, cap. 3)</w:t>
      </w:r>
      <w:r>
        <w:rPr>
          <w:rFonts w:ascii="Arial" w:hAnsi="Arial"/>
          <w:sz w:val="22"/>
        </w:rPr>
        <w:t xml:space="preserve">. </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3.271.443 brancos e 4.427.835 negros)</w:t>
      </w:r>
      <w:r>
        <w:rPr>
          <w:rFonts w:ascii="Arial" w:hAnsi="Arial"/>
          <w:sz w:val="22"/>
        </w:rPr>
        <w:t xml:space="preserve">. </w:t>
      </w:r>
      <w:r>
        <w:rPr>
          <w:rFonts w:ascii="Arial" w:hAnsi="Arial"/>
          <w:sz w:val="22"/>
        </w:rPr>
        <w:t>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e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 dado pelas eq. (1) e (2):</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 eq. (1):</w:t>
      </w:r>
    </w:p>
    <w:p>
      <w:pPr>
        <w:pStyle w:val="BodyText"/>
        <w:ind w:firstLine="0"/>
        <w:jc w:val="right"/>
      </w:p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sSub>
          <m:e>
            <m:r>
              <m:t>X</m:t>
            </m:r>
          </m:e>
          <m:sub>
            <m:r>
              <m:t>i</m:t>
            </m:r>
            <m:r>
              <m:t>j</m:t>
            </m:r>
          </m:sub>
        </m:sSub>
        <m:r>
          <m:rPr>
            <m:sty m:val="p"/>
          </m:rPr>
          <m:t>+</m:t>
        </m:r>
        <m:sSub>
          <m:e>
            <m:r>
              <m:t>β</m:t>
            </m:r>
          </m:e>
          <m:sub>
            <m:r>
              <m:t>4</m:t>
            </m:r>
          </m:sub>
        </m:sSub>
        <m:sSubSup>
          <m:e>
            <m:r>
              <m:t>X</m:t>
            </m:r>
          </m:e>
          <m:sub>
            <m:r>
              <m:t>i</m:t>
            </m:r>
            <m:r>
              <m:t>j</m:t>
            </m:r>
          </m:sub>
          <m:sup>
            <m:r>
              <m:t>2</m:t>
            </m:r>
          </m:sup>
        </m:sSubSup>
        <m:r>
          <m:rPr>
            <m:sty m:val="p"/>
          </m:rPr>
          <m:t>+</m:t>
        </m:r>
        <m:sSubSup>
          <m:e>
            <m:r>
              <m:rPr>
                <m:sty m:val="bi"/>
              </m:rPr>
              <m:t>β</m:t>
            </m:r>
          </m:e>
          <m:sub>
            <m:r>
              <m:t>E</m:t>
            </m:r>
          </m:sub>
          <m:sup>
            <m:r>
              <m:rPr>
                <m:sty m:val="p"/>
              </m:rPr>
              <m:t>′</m:t>
            </m:r>
          </m:sup>
        </m:sSubSup>
        <m:sSub>
          <m:e>
            <m:r>
              <m:rPr>
                <m:sty m:val="bi"/>
              </m:rPr>
              <m:t>E</m:t>
            </m:r>
          </m:e>
          <m:sub>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
        </m:r>
      </m:oMath>
      <w:r>
        <w:rPr>
          <w:rFonts w:ascii="Arial" w:hAnsi="Arial"/>
        </w:rPr>
        <w:t xml:space="preserve">   (1)</w:t>
      </w:r>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E</m:t>
        </m:r>
      </m:oMath>
      <w:r>
        <w:rPr>
          <w:rFonts w:ascii="Arial" w:hAnsi="Arial"/>
          <w:sz w:val="22"/>
        </w:rPr>
        <w:t xml:space="preserve"> </w:t>
      </w:r>
      <w:r>
        <w:rPr>
          <w:rFonts w:ascii="Arial" w:hAnsi="Arial"/>
          <w:sz w:val="22"/>
        </w:rPr>
        <w:t xml:space="preserve">reúne as variáveis indicadoras cumulativas de escolaridade,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 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 eq. (2):</w:t>
      </w:r>
    </w:p>
    <w:p>
      <w:pPr>
        <w:pStyle w:val="BodyText"/>
        <w:ind w:firstLine="0"/>
        <w:jc w:val="right"/>
      </w:p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
        </m:r>
      </m:oMath>
      <w:r>
        <w:rPr>
          <w:rFonts w:ascii="Arial" w:hAnsi="Arial"/>
        </w:rPr>
        <w:t xml:space="preserve">   (2)</w:t>
      </w:r>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e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e Bryk (2002)</w:t>
      </w:r>
      <w:r>
        <w:rPr>
          <w:rFonts w:ascii="Arial" w:hAnsi="Arial"/>
          <w:sz w:val="22"/>
        </w:rPr>
        <w:t xml:space="preserve">, os modelos</w:t>
      </w:r>
      <w:r>
        <w:rPr>
          <w:rFonts w:ascii="Arial" w:hAnsi="Arial"/>
          <w:sz w:val="22"/>
        </w:rPr>
        <w:t xml:space="preserve"> </w:t>
      </w:r>
      <w:r>
        <w:rPr>
          <w:rFonts w:ascii="Arial" w:hAnsi="Arial"/>
          <w:sz w:val="22"/>
        </w:rPr>
        <w:t>são estimados em degraus aninhados: M0 (nulo: só o intercepto aleatório, que dá o ICC);</w:t>
      </w:r>
      <w:r>
        <w:rPr>
          <w:rFonts w:ascii="Arial" w:hAnsi="Arial"/>
          <w:sz w:val="22"/>
        </w:rPr>
        <w:t xml:space="preserve"> </w:t>
      </w:r>
      <w:r>
        <w:rPr>
          <w:rFonts w:ascii="Arial" w:hAnsi="Arial"/>
          <w:sz w:val="22"/>
        </w:rPr>
        <w:t>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estimados por máxima verossimilhança [ML], necessária para comparar efeitos fixos entre</w:t>
      </w:r>
      <w:r>
        <w:rPr>
          <w:rFonts w:ascii="Arial" w:hAnsi="Arial"/>
          <w:sz w:val="22"/>
        </w:rPr>
        <w:t xml:space="preserve"> </w:t>
      </w:r>
      <w:r>
        <w:rPr>
          <w:rFonts w:ascii="Arial" w:hAnsi="Arial"/>
          <w:sz w:val="22"/>
        </w:rPr>
        <w:t>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Blinder (1973)</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e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et al.,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e Bryk, 2002)</w:t>
      </w:r>
      <w:r>
        <w:rPr>
          <w:rFonts w:ascii="Arial" w:hAnsi="Arial"/>
          <w:sz w:val="22"/>
        </w:rPr>
        <w:t>,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e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e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e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e Pischke, 2009)</w:t>
      </w:r>
      <w:r>
        <w:rPr>
          <w:rFonts w:ascii="Arial" w:hAnsi="Arial"/>
          <w:sz w:val="22"/>
        </w:rPr>
        <w:t>;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e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Heterocedasticidade (Breusch–Pagan)</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vAlign w:val="top"/>
          </w:tcPr>
          <w:p>
            <w:pPr>
              <w:pStyle w:val="Compact"/>
              <w:keepNext/>
              <w:spacing w:line="240" w:lineRule="auto" w:after="80"/>
              <w:ind w:firstLine="0"/>
              <w:jc w:val="left"/>
            </w:pPr>
            <w:r>
              <w:rPr>
                <w:rFonts w:ascii="Arial" w:hAnsi="Arial"/>
                <w:b w:val="0"/>
                <w:sz w:val="22"/>
              </w:rPr>
              <w:t xml:space="preserve">erro-padrão agrupado por UPA e bootstrap em blocos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Forma funcional (RESET)</w:t>
            </w:r>
          </w:p>
        </w:tc>
        <w:tc>
          <w:tcPr>
            <w:tcW w:type="dxa" w:w="2821"/>
            <w:vAlign w:val="top"/>
          </w:tcPr>
          <w:p>
            <w:pPr>
              <w:pStyle w:val="Compact"/>
              <w:keepNext/>
              <w:spacing w:line="240" w:lineRule="auto" w:after="8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vAlign w:val="top"/>
          </w:tcPr>
          <w:p>
            <w:pPr>
              <w:pStyle w:val="Compact"/>
              <w:keepNext/>
              <w:spacing w:line="240" w:lineRule="auto" w:after="80"/>
              <w:ind w:firstLine="0"/>
              <w:jc w:val="left"/>
            </w:pPr>
            <w:r>
              <w:rPr>
                <w:rFonts w:ascii="Arial" w:hAnsi="Arial"/>
                <w:b w:val="0"/>
                <w:sz w:val="22"/>
              </w:rPr>
              <w:t xml:space="preserve">rejeição sem relevância prática; forma mantida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Multicolinearidade (VIF)</w:t>
            </w:r>
          </w:p>
        </w:tc>
        <w:tc>
          <w:tcPr>
            <w:tcW w:type="dxa" w:w="2821"/>
            <w:vAlign w:val="top"/>
          </w:tcPr>
          <w:p>
            <w:pPr>
              <w:pStyle w:val="Compact"/>
              <w:keepNext/>
              <w:spacing w:line="240" w:lineRule="auto" w:after="8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vAlign w:val="top"/>
          </w:tcPr>
          <w:p>
            <w:pPr>
              <w:pStyle w:val="Compact"/>
              <w:keepNext/>
              <w:spacing w:line="240" w:lineRule="auto" w:after="80"/>
              <w:ind w:firstLine="0"/>
              <w:jc w:val="left"/>
            </w:pPr>
            <w:r>
              <w:rPr>
                <w:rFonts w:ascii="Arial" w:hAnsi="Arial"/>
                <w:b w:val="0"/>
                <w:sz w:val="22"/>
              </w:rPr>
              <w:t xml:space="preserve">sem colinearidade relevante; o coeficiente de interesse não é afetado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Estrutura multinível (teste de razão de verossimilhança)</w:t>
            </w:r>
          </w:p>
        </w:tc>
        <w:tc>
          <w:tcPr>
            <w:tcW w:type="dxa" w:w="2821"/>
            <w:vAlign w:val="top"/>
          </w:tcPr>
          <w:p>
            <w:pPr>
              <w:pStyle w:val="Compact"/>
              <w:keepNext/>
              <w:spacing w:line="240" w:lineRule="auto" w:after="8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vAlign w:val="top"/>
          </w:tcPr>
          <w:p>
            <w:pPr>
              <w:pStyle w:val="Compact"/>
              <w:keepNext/>
              <w:spacing w:line="240" w:lineRule="auto" w:after="80"/>
              <w:ind w:firstLine="0"/>
              <w:jc w:val="left"/>
            </w:pPr>
            <w:r>
              <w:rPr>
                <w:rFonts w:ascii="Arial" w:hAnsi="Arial"/>
                <w:b w:val="0"/>
                <w:sz w:val="22"/>
              </w:rPr>
              <w:t xml:space="preserve">nível de bairro justificado (limiar de 5%)</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Método de estimação (ML vs. REML)</w:t>
            </w:r>
          </w:p>
        </w:tc>
        <w:tc>
          <w:tcPr>
            <w:tcW w:type="dxa" w:w="2821"/>
            <w:vAlign w:val="top"/>
          </w:tcPr>
          <w:p>
            <w:pPr>
              <w:pStyle w:val="Compact"/>
              <w:keepNext/>
              <w:spacing w:line="240" w:lineRule="auto" w:after="8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vAlign w:val="top"/>
          </w:tcPr>
          <w:p>
            <w:pPr>
              <w:pStyle w:val="Compact"/>
              <w:keepNext/>
              <w:spacing w:line="240" w:lineRule="auto" w:after="8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(Konfound/ITCV)</w:t>
            </w:r>
          </w:p>
        </w:tc>
        <w:tc>
          <w:tcPr>
            <w:tcW w:type="dxa" w:w="2821"/>
            <w:vAlign w:val="top"/>
          </w:tcPr>
          <w:p>
            <w:pPr>
              <w:pStyle w:val="Compact"/>
              <w:keepNext/>
              <w:spacing w:line="240" w:lineRule="auto" w:after="8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vAlign w:val="top"/>
          </w:tcPr>
          <w:p>
            <w:pPr>
              <w:pStyle w:val="Compact"/>
              <w:keepNext/>
              <w:spacing w:line="240" w:lineRule="auto" w:after="80"/>
              <w:ind w:firstLine="0"/>
              <w:jc w:val="left"/>
            </w:pPr>
            <w:r>
              <w:rPr>
                <w:rFonts w:ascii="Arial" w:hAnsi="Arial"/>
                <w:b w:val="0"/>
                <w:sz w:val="22"/>
              </w:rPr>
              <w:t xml:space="preserve">achado robusto a confundimento plausível</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(E-value)</w:t>
            </w:r>
          </w:p>
        </w:tc>
        <w:tc>
          <w:tcPr>
            <w:tcW w:type="dxa" w:w="2821"/>
            <w:vAlign w:val="top"/>
          </w:tcPr>
          <w:p>
            <w:pPr>
              <w:pStyle w:val="Compact"/>
              <w:keepNext/>
              <w:spacing w:line="240" w:lineRule="auto" w:after="8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vAlign w:val="top"/>
          </w:tcPr>
          <w:p>
            <w:pPr>
              <w:pStyle w:val="Compact"/>
              <w:keepNext/>
              <w:spacing w:line="240" w:lineRule="auto" w:after="80"/>
              <w:ind w:firstLine="0"/>
              <w:jc w:val="left"/>
            </w:pPr>
            <w:r>
              <w:rPr>
                <w:rFonts w:ascii="Arial" w:hAnsi="Arial"/>
                <w:b w:val="0"/>
                <w:sz w:val="22"/>
              </w:rPr>
              <w:t xml:space="preserve">um confundidor precisaria dessa força com raça e desfecho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Sobreajuste (treino vs. teste)</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vAlign w:val="top"/>
          </w:tcPr>
          <w:p>
            <w:pPr>
              <w:pStyle w:val="Compact"/>
              <w:keepNext/>
              <w:spacing w:line="240" w:lineRule="auto" w:after="8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Ganho do ML sobre o linear</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vAlign w:val="top"/>
          </w:tcPr>
          <w:p>
            <w:pPr>
              <w:pStyle w:val="Compact"/>
              <w:keepNext/>
              <w:spacing w:line="240" w:lineRule="auto" w:after="8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Peso amostral (V1028) no acesso, no topo e na decomposição</w:t>
            </w:r>
          </w:p>
        </w:tc>
        <w:tc>
          <w:tcPr>
            <w:tcW w:type="dxa" w:w="2821"/>
            <w:vAlign w:val="top"/>
          </w:tcPr>
          <w:p>
            <w:pPr>
              <w:pStyle w:val="Compact"/>
              <w:keepNext/>
              <w:spacing w:line="240" w:lineRule="auto" w:after="8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vAlign w:val="top"/>
          </w:tcPr>
          <w:p>
            <w:pPr>
              <w:pStyle w:val="Compact"/>
              <w:keepNext/>
              <w:spacing w:line="240" w:lineRule="auto" w:after="80"/>
              <w:ind w:firstLine="0"/>
              <w:jc w:val="left"/>
            </w:pPr>
            <w:r>
              <w:rPr>
                <w:rFonts w:ascii="Arial" w:hAnsi="Arial"/>
                <w:b w:val="0"/>
                <w:sz w:val="22"/>
              </w:rPr>
              <w:t xml:space="preserve">logit com efeito fixo de estado e erro agrupado por UPA; conclusão inalterada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vAlign w:val="top"/>
          </w:tcPr>
          <w:p>
            <w:pPr>
              <w:pStyle w:val="Compact"/>
              <w:keepNext/>
              <w:spacing w:line="240" w:lineRule="auto" w:after="80"/>
              <w:ind w:firstLine="0"/>
              <w:jc w:val="left"/>
            </w:pPr>
            <w:r>
              <w:rPr>
                <w:rFonts w:ascii="Arial" w:hAnsi="Arial"/>
                <w:b w:val="0"/>
                <w:sz w:val="22"/>
              </w:rPr>
              <w:t xml:space="preserve">hiperparâmetros escolhidos em partição de validação e confirmados por CV</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Balanceamento e suporte comum</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vAlign w:val="top"/>
          </w:tcPr>
          <w:p>
            <w:pPr>
              <w:pStyle w:val="Compact"/>
              <w:keepNext/>
              <w:spacing w:line="240" w:lineRule="auto" w:after="80"/>
              <w:ind w:firstLine="0"/>
              <w:jc w:val="left"/>
            </w:pPr>
            <w:r>
              <w:rPr>
                <w:rFonts w:ascii="Arial" w:hAnsi="Arial"/>
                <w:b w:val="0"/>
                <w:sz w:val="22"/>
              </w:rPr>
              <w:t xml:space="preserve">desequilíbrio concentrado no contexto de bairro, absorvido pelo nível 2</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Especificação do nível de estado</w:t>
            </w:r>
          </w:p>
        </w:tc>
        <w:tc>
          <w:tcPr>
            <w:tcW w:type="dxa" w:w="2821"/>
            <w:vAlign w:val="top"/>
          </w:tcPr>
          <w:p>
            <w:pPr>
              <w:pStyle w:val="Compact"/>
              <w:keepNext/>
              <w:spacing w:line="240" w:lineRule="auto" w:after="8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vAlign w:val="top"/>
          </w:tcPr>
          <w:p>
            <w:pPr>
              <w:pStyle w:val="Compact"/>
              <w:keepNext/>
              <w:spacing w:line="240" w:lineRule="auto" w:after="80"/>
              <w:ind w:firstLine="0"/>
              <w:jc w:val="left"/>
            </w:pPr>
            <w:r>
              <w:rPr>
                <w:rFonts w:ascii="Arial" w:hAnsi="Arial"/>
                <w:b w:val="0"/>
                <w:sz w:val="22"/>
              </w:rPr>
              <w:t xml:space="preserve">igual ao da UF como efeito fixo; resultado não depende da escolha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Vazamento das médias de contexto</w:t>
            </w:r>
          </w:p>
        </w:tc>
        <w:tc>
          <w:tcPr>
            <w:tcW w:type="dxa" w:w="2821"/>
            <w:vAlign w:val="top"/>
          </w:tcPr>
          <w:p>
            <w:pPr>
              <w:pStyle w:val="Compact"/>
              <w:keepNext/>
              <w:spacing w:line="240" w:lineRule="auto" w:after="80"/>
              <w:ind w:firstLine="0"/>
              <w:jc w:val="left"/>
            </w:pPr>
            <w:r>
              <w:rPr>
                <w:rFonts w:ascii="Arial" w:hAnsi="Arial"/>
                <w:b w:val="0"/>
                <w:sz w:val="22"/>
              </w:rPr>
              <w:t xml:space="preserve">médias do bairro e do estado calculadas sem a própria observação</w:t>
            </w:r>
          </w:p>
        </w:tc>
        <w:tc>
          <w:tcPr>
            <w:tcW w:type="dxa" w:w="3570"/>
            <w:vAlign w:val="top"/>
          </w:tcPr>
          <w:p>
            <w:pPr>
              <w:pStyle w:val="Compact"/>
              <w:keepNext/>
              <w:spacing w:line="240" w:lineRule="auto" w:after="8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erro-padrão agrupado por UPA em todos os modelos</w:t>
            </w:r>
          </w:p>
        </w:tc>
      </w:tr>
    </w:tbl>
    <w:bookmarkEnd w:id="30"/>
    <w:p>
      <w:pPr>
        <w:pStyle w:val="BodyText"/>
        <w:keepNext/>
        <w:spacing w:line="240" w:lineRule="auto" w:before="40" w:after="0"/>
        <w:ind w:firstLine="0"/>
        <w:jc w:val="both"/>
      </w:pPr>
      <w:r>
        <w:rPr>
          <w:rFonts w:ascii="Arial" w:hAnsi="Arial"/>
          <w:sz w:val="22"/>
        </w:rPr>
        <w:t>Fonte: Dados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e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e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7"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2"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3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bookmarkStart w:id="35" w:name="tab:hlm_resultados"/>
    <w:p>
      <w:pPr>
        <w:pStyle w:val="TableCaption"/>
        <w:keepNext/>
        <w:keepLines/>
        <w:spacing w:line="240" w:lineRule="auto" w:before="240" w:after="40"/>
        <w:ind w:firstLine="0"/>
        <w:jc w:val="both"/>
      </w:pPr>
      <w:r>
        <w:rPr>
          <w:rFonts w:ascii="Arial" w:hAnsi="Arial"/>
          <w:sz w:val="22"/>
        </w:rPr>
        <w:t xml:space="preserve">Tabela 3. HLM de dois níveis (indivíduo em UPA) com efeitos fixos de UF</w:t>
      </w:r>
    </w:p>
    <w:tbl>
      <w:tblPr>
        <w:tblStyle w:val="Table"/>
        <w:tblW w:type="auto" w:w="0"/>
        <w:tblLayout w:type="fixed"/>
        <w:tblLook w:firstRow="1" w:lastRow="0" w:firstColumn="0" w:lastColumn="0" w:noHBand="0" w:noVBand="0" w:val="0020"/>
        <w:tblCaption w:val="Tabela 3.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e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Intercepto</w:t>
            </w:r>
          </w:p>
        </w:tc>
        <w:tc>
          <w:tcPr>
            <w:tcW w:type="dxa" w:w="1415"/>
            <w:vAlign w:val="top"/>
          </w:tcPr>
          <w:p>
            <w:pPr>
              <w:pStyle w:val="Compact"/>
              <w:spacing w:line="240" w:lineRule="auto" w:after="80"/>
              <w:ind w:firstLine="0"/>
              <w:jc w:val="right"/>
            </w:pPr>
            <w:r>
              <w:rPr>
                <w:rFonts w:ascii="Arial" w:hAnsi="Arial"/>
                <w:b w:val="0"/>
                <w:sz w:val="20"/>
              </w:rPr>
              <w:t xml:space="preserve">7,5778 (0,0028)</w:t>
            </w:r>
          </w:p>
        </w:tc>
        <w:tc>
          <w:tcPr>
            <w:tcW w:type="dxa" w:w="1437"/>
            <w:vAlign w:val="top"/>
          </w:tcPr>
          <w:p>
            <w:pPr>
              <w:pStyle w:val="Compact"/>
              <w:spacing w:line="240" w:lineRule="auto" w:after="80"/>
              <w:ind w:firstLine="0"/>
              <w:jc w:val="right"/>
            </w:pPr>
            <w:r>
              <w:rPr>
                <w:rFonts w:ascii="Arial" w:hAnsi="Arial"/>
                <w:b w:val="0"/>
                <w:sz w:val="20"/>
              </w:rPr>
              <w:t xml:space="preserve">4,8436 (0,0039)</w:t>
            </w:r>
          </w:p>
        </w:tc>
        <w:tc>
          <w:tcPr>
            <w:tcW w:type="dxa" w:w="1437"/>
            <w:vAlign w:val="top"/>
          </w:tcPr>
          <w:p>
            <w:pPr>
              <w:pStyle w:val="Compact"/>
              <w:spacing w:line="240" w:lineRule="auto" w:after="80"/>
              <w:ind w:firstLine="0"/>
              <w:jc w:val="right"/>
            </w:pPr>
            <w:r>
              <w:rPr>
                <w:rFonts w:ascii="Arial" w:hAnsi="Arial"/>
                <w:b w:val="0"/>
                <w:sz w:val="20"/>
              </w:rPr>
              <w:t xml:space="preserve">5,0132 (0,0034)</w:t>
            </w:r>
          </w:p>
        </w:tc>
        <w:tc>
          <w:tcPr>
            <w:tcW w:type="dxa" w:w="1437"/>
            <w:vAlign w:val="top"/>
          </w:tcPr>
          <w:p>
            <w:pPr>
              <w:pStyle w:val="Compact"/>
              <w:spacing w:line="240" w:lineRule="auto" w:after="80"/>
              <w:ind w:firstLine="0"/>
              <w:jc w:val="right"/>
            </w:pPr>
            <w:r>
              <w:rPr>
                <w:rFonts w:ascii="Arial" w:hAnsi="Arial"/>
                <w:b w:val="0"/>
                <w:sz w:val="20"/>
              </w:rPr>
              <w:t xml:space="preserve">5,2269 (0,0078)</w:t>
            </w:r>
          </w:p>
        </w:tc>
        <w:tc>
          <w:tcPr>
            <w:tcW w:type="dxa" w:w="1450"/>
            <w:vAlign w:val="top"/>
          </w:tcPr>
          <w:p>
            <w:pPr>
              <w:pStyle w:val="Compact"/>
              <w:spacing w:line="240" w:lineRule="auto" w:after="80"/>
              <w:ind w:firstLine="0"/>
              <w:jc w:val="right"/>
            </w:pPr>
            <w:r>
              <w:rPr>
                <w:rFonts w:ascii="Arial" w:hAnsi="Arial"/>
                <w:b w:val="0"/>
                <w:sz w:val="20"/>
              </w:rPr>
              <w:t xml:space="preserve">5,4140 (0,0074)</w:t>
            </w:r>
          </w:p>
        </w:tc>
      </w:tr>
      <w:tr>
        <w:trPr>
          <w:cantSplit/>
        </w:trPr>
        <w:tc>
          <w:tcPr>
            <w:tcW w:type="dxa" w:w="1895"/>
            <w:vAlign w:val="top"/>
          </w:tcPr>
          <w:p>
            <w:pPr>
              <w:pStyle w:val="Compact"/>
              <w:spacing w:line="240" w:lineRule="auto" w:after="80"/>
              <w:ind w:firstLine="0"/>
              <w:jc w:val="left"/>
            </w:pPr>
            <w:r>
              <w:rPr>
                <w:rFonts w:ascii="Arial" w:hAnsi="Arial"/>
                <w:b w:val="0"/>
                <w:bCs/>
                <w:sz w:val="20"/>
              </w:rPr>
              <w:t xml:space="preserve">Raça (negro)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−0,0669 (0,0005)</w:t>
            </w:r>
          </w:p>
        </w:tc>
        <w:tc>
          <w:tcPr>
            <w:tcW w:type="dxa" w:w="1437"/>
            <w:vAlign w:val="top"/>
          </w:tcPr>
          <w:p>
            <w:pPr>
              <w:pStyle w:val="Compact"/>
              <w:spacing w:line="240" w:lineRule="auto" w:after="80"/>
              <w:ind w:firstLine="0"/>
              <w:jc w:val="right"/>
            </w:pPr>
            <w:r>
              <w:rPr>
                <w:rFonts w:ascii="Arial" w:hAnsi="Arial"/>
                <w:b w:val="0"/>
                <w:sz w:val="20"/>
              </w:rPr>
              <w:t xml:space="preserve">−0,0637 (0,0005)</w:t>
            </w:r>
          </w:p>
        </w:tc>
        <w:tc>
          <w:tcPr>
            <w:tcW w:type="dxa" w:w="1437"/>
            <w:vAlign w:val="top"/>
          </w:tcPr>
          <w:p>
            <w:pPr>
              <w:pStyle w:val="Compact"/>
              <w:spacing w:line="240" w:lineRule="auto" w:after="80"/>
              <w:ind w:firstLine="0"/>
              <w:jc w:val="right"/>
            </w:pPr>
            <w:r>
              <w:rPr>
                <w:rFonts w:ascii="Arial" w:hAnsi="Arial"/>
                <w:b w:val="0"/>
                <w:sz w:val="20"/>
              </w:rPr>
              <w:t xml:space="preserve">−0,0629 (0,0005)</w:t>
            </w:r>
          </w:p>
        </w:tc>
        <w:tc>
          <w:tcPr>
            <w:tcW w:type="dxa" w:w="1450"/>
            <w:vAlign w:val="top"/>
          </w:tcPr>
          <w:p>
            <w:pPr>
              <w:pStyle w:val="Compact"/>
              <w:spacing w:line="240" w:lineRule="auto" w:after="80"/>
              <w:ind w:firstLine="0"/>
              <w:jc w:val="right"/>
            </w:pPr>
            <w:r>
              <w:rPr>
                <w:rFonts w:ascii="Arial" w:hAnsi="Arial"/>
                <w:b w:val="0"/>
                <w:sz w:val="20"/>
              </w:rPr>
              <w:t xml:space="preserve">−0,0579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Sexo feminino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−0,2594 (0,0005)</w:t>
            </w:r>
          </w:p>
        </w:tc>
        <w:tc>
          <w:tcPr>
            <w:tcW w:type="dxa" w:w="1437"/>
            <w:vAlign w:val="top"/>
          </w:tcPr>
          <w:p>
            <w:pPr>
              <w:pStyle w:val="Compact"/>
              <w:spacing w:line="240" w:lineRule="auto" w:after="80"/>
              <w:ind w:firstLine="0"/>
              <w:jc w:val="right"/>
            </w:pPr>
            <w:r>
              <w:rPr>
                <w:rFonts w:ascii="Arial" w:hAnsi="Arial"/>
                <w:b w:val="0"/>
                <w:sz w:val="20"/>
              </w:rPr>
              <w:t xml:space="preserve">−0,2590 (0,0005)</w:t>
            </w:r>
          </w:p>
        </w:tc>
        <w:tc>
          <w:tcPr>
            <w:tcW w:type="dxa" w:w="1437"/>
            <w:vAlign w:val="top"/>
          </w:tcPr>
          <w:p>
            <w:pPr>
              <w:pStyle w:val="Compact"/>
              <w:spacing w:line="240" w:lineRule="auto" w:after="80"/>
              <w:ind w:firstLine="0"/>
              <w:jc w:val="right"/>
            </w:pPr>
            <w:r>
              <w:rPr>
                <w:rFonts w:ascii="Arial" w:hAnsi="Arial"/>
                <w:b w:val="0"/>
                <w:sz w:val="20"/>
              </w:rPr>
              <w:t xml:space="preserve">−0,2592 (0,0005)</w:t>
            </w:r>
          </w:p>
        </w:tc>
        <w:tc>
          <w:tcPr>
            <w:tcW w:type="dxa" w:w="1450"/>
            <w:vAlign w:val="top"/>
          </w:tcPr>
          <w:p>
            <w:pPr>
              <w:pStyle w:val="Compact"/>
              <w:spacing w:line="240" w:lineRule="auto" w:after="80"/>
              <w:ind w:firstLine="0"/>
              <w:jc w:val="right"/>
            </w:pPr>
            <w:r>
              <w:rPr>
                <w:rFonts w:ascii="Arial" w:hAnsi="Arial"/>
                <w:b w:val="0"/>
                <w:sz w:val="20"/>
              </w:rPr>
              <w:t xml:space="preserve">−0,2394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 (centrada)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0,0079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50"/>
            <w:vAlign w:val="top"/>
          </w:tcPr>
          <w:p>
            <w:pPr>
              <w:pStyle w:val="Compact"/>
              <w:spacing w:line="240" w:lineRule="auto" w:after="80"/>
              <w:ind w:firstLine="0"/>
              <w:jc w:val="right"/>
            </w:pPr>
            <w:r>
              <w:rPr>
                <w:rFonts w:ascii="Arial" w:hAnsi="Arial"/>
                <w:b w:val="0"/>
                <w:sz w:val="20"/>
              </w:rPr>
              <w:t xml:space="preserve">0,0088 (&lt;0,0001)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50"/>
            <w:vAlign w:val="top"/>
          </w:tcPr>
          <w:p>
            <w:pPr>
              <w:pStyle w:val="Compact"/>
              <w:spacing w:line="240" w:lineRule="auto" w:after="80"/>
              <w:ind w:firstLine="0"/>
              <w:jc w:val="right"/>
            </w:pPr>
            <w:r>
              <w:rPr>
                <w:rFonts w:ascii="Arial" w:hAnsi="Arial"/>
                <w:b w:val="0"/>
                <w:sz w:val="20"/>
              </w:rPr>
              <w:t xml:space="preserve">−0,0004 (&lt;0,0001)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fundamental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0,1884 (0,0007)</w:t>
            </w:r>
          </w:p>
        </w:tc>
        <w:tc>
          <w:tcPr>
            <w:tcW w:type="dxa" w:w="1437"/>
            <w:vAlign w:val="top"/>
          </w:tcPr>
          <w:p>
            <w:pPr>
              <w:pStyle w:val="Compact"/>
              <w:spacing w:line="240" w:lineRule="auto" w:after="80"/>
              <w:ind w:firstLine="0"/>
              <w:jc w:val="right"/>
            </w:pPr>
            <w:r>
              <w:rPr>
                <w:rFonts w:ascii="Arial" w:hAnsi="Arial"/>
                <w:b w:val="0"/>
                <w:sz w:val="20"/>
              </w:rPr>
              <w:t xml:space="preserve">0,1880 (0,0007)</w:t>
            </w:r>
          </w:p>
        </w:tc>
        <w:tc>
          <w:tcPr>
            <w:tcW w:type="dxa" w:w="1437"/>
            <w:vAlign w:val="top"/>
          </w:tcPr>
          <w:p>
            <w:pPr>
              <w:pStyle w:val="Compact"/>
              <w:spacing w:line="240" w:lineRule="auto" w:after="80"/>
              <w:ind w:firstLine="0"/>
              <w:jc w:val="right"/>
            </w:pPr>
            <w:r>
              <w:rPr>
                <w:rFonts w:ascii="Arial" w:hAnsi="Arial"/>
                <w:b w:val="0"/>
                <w:sz w:val="20"/>
              </w:rPr>
              <w:t xml:space="preserve">0,1877 (0,0007)</w:t>
            </w:r>
          </w:p>
        </w:tc>
        <w:tc>
          <w:tcPr>
            <w:tcW w:type="dxa" w:w="1450"/>
            <w:vAlign w:val="top"/>
          </w:tcPr>
          <w:p>
            <w:pPr>
              <w:pStyle w:val="Compact"/>
              <w:spacing w:line="240" w:lineRule="auto" w:after="80"/>
              <w:ind w:firstLine="0"/>
              <w:jc w:val="right"/>
            </w:pPr>
            <w:r>
              <w:rPr>
                <w:rFonts w:ascii="Arial" w:hAnsi="Arial"/>
                <w:b w:val="0"/>
                <w:sz w:val="20"/>
              </w:rPr>
              <w:t xml:space="preserve">0,1464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médio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0,1965 (0,0007)</w:t>
            </w:r>
          </w:p>
        </w:tc>
        <w:tc>
          <w:tcPr>
            <w:tcW w:type="dxa" w:w="1437"/>
            <w:vAlign w:val="top"/>
          </w:tcPr>
          <w:p>
            <w:pPr>
              <w:pStyle w:val="Compact"/>
              <w:spacing w:line="240" w:lineRule="auto" w:after="80"/>
              <w:ind w:firstLine="0"/>
              <w:jc w:val="right"/>
            </w:pPr>
            <w:r>
              <w:rPr>
                <w:rFonts w:ascii="Arial" w:hAnsi="Arial"/>
                <w:b w:val="0"/>
                <w:sz w:val="20"/>
              </w:rPr>
              <w:t xml:space="preserve">0,1956 (0,0007)</w:t>
            </w:r>
          </w:p>
        </w:tc>
        <w:tc>
          <w:tcPr>
            <w:tcW w:type="dxa" w:w="1437"/>
            <w:vAlign w:val="top"/>
          </w:tcPr>
          <w:p>
            <w:pPr>
              <w:pStyle w:val="Compact"/>
              <w:spacing w:line="240" w:lineRule="auto" w:after="80"/>
              <w:ind w:firstLine="0"/>
              <w:jc w:val="right"/>
            </w:pPr>
            <w:r>
              <w:rPr>
                <w:rFonts w:ascii="Arial" w:hAnsi="Arial"/>
                <w:b w:val="0"/>
                <w:sz w:val="20"/>
              </w:rPr>
              <w:t xml:space="preserve">0,1958 (0,0007)</w:t>
            </w:r>
          </w:p>
        </w:tc>
        <w:tc>
          <w:tcPr>
            <w:tcW w:type="dxa" w:w="1450"/>
            <w:vAlign w:val="top"/>
          </w:tcPr>
          <w:p>
            <w:pPr>
              <w:pStyle w:val="Compact"/>
              <w:spacing w:line="240" w:lineRule="auto" w:after="80"/>
              <w:ind w:firstLine="0"/>
              <w:jc w:val="right"/>
            </w:pPr>
            <w:r>
              <w:rPr>
                <w:rFonts w:ascii="Arial" w:hAnsi="Arial"/>
                <w:b w:val="0"/>
                <w:sz w:val="20"/>
              </w:rPr>
              <w:t xml:space="preserve">0,1013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superior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0,5133 (0,0007)</w:t>
            </w:r>
          </w:p>
        </w:tc>
        <w:tc>
          <w:tcPr>
            <w:tcW w:type="dxa" w:w="1437"/>
            <w:vAlign w:val="top"/>
          </w:tcPr>
          <w:p>
            <w:pPr>
              <w:pStyle w:val="Compact"/>
              <w:spacing w:line="240" w:lineRule="auto" w:after="80"/>
              <w:ind w:firstLine="0"/>
              <w:jc w:val="right"/>
            </w:pPr>
            <w:r>
              <w:rPr>
                <w:rFonts w:ascii="Arial" w:hAnsi="Arial"/>
                <w:b w:val="0"/>
                <w:sz w:val="20"/>
              </w:rPr>
              <w:t xml:space="preserve">0,5107 (0,0007)</w:t>
            </w:r>
          </w:p>
        </w:tc>
        <w:tc>
          <w:tcPr>
            <w:tcW w:type="dxa" w:w="1437"/>
            <w:vAlign w:val="top"/>
          </w:tcPr>
          <w:p>
            <w:pPr>
              <w:pStyle w:val="Compact"/>
              <w:spacing w:line="240" w:lineRule="auto" w:after="80"/>
              <w:ind w:firstLine="0"/>
              <w:jc w:val="right"/>
            </w:pPr>
            <w:r>
              <w:rPr>
                <w:rFonts w:ascii="Arial" w:hAnsi="Arial"/>
                <w:b w:val="0"/>
                <w:sz w:val="20"/>
              </w:rPr>
              <w:t xml:space="preserve">0,5112 (0,0007)</w:t>
            </w:r>
          </w:p>
        </w:tc>
        <w:tc>
          <w:tcPr>
            <w:tcW w:type="dxa" w:w="1450"/>
            <w:vAlign w:val="top"/>
          </w:tcPr>
          <w:p>
            <w:pPr>
              <w:pStyle w:val="Compact"/>
              <w:spacing w:line="240" w:lineRule="auto" w:after="80"/>
              <w:ind w:firstLine="0"/>
              <w:jc w:val="right"/>
            </w:pPr>
            <w:r>
              <w:rPr>
                <w:rFonts w:ascii="Arial" w:hAnsi="Arial"/>
                <w:b w:val="0"/>
                <w:sz w:val="20"/>
              </w:rPr>
              <w:t xml:space="preserve">0,2937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pós-graduação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0,3359 (0,0011)</w:t>
            </w:r>
          </w:p>
        </w:tc>
        <w:tc>
          <w:tcPr>
            <w:tcW w:type="dxa" w:w="1437"/>
            <w:vAlign w:val="top"/>
          </w:tcPr>
          <w:p>
            <w:pPr>
              <w:pStyle w:val="Compact"/>
              <w:spacing w:line="240" w:lineRule="auto" w:after="80"/>
              <w:ind w:firstLine="0"/>
              <w:jc w:val="right"/>
            </w:pPr>
            <w:r>
              <w:rPr>
                <w:rFonts w:ascii="Arial" w:hAnsi="Arial"/>
                <w:b w:val="0"/>
                <w:sz w:val="20"/>
              </w:rPr>
              <w:t xml:space="preserve">0,3341 (0,0011)</w:t>
            </w:r>
          </w:p>
        </w:tc>
        <w:tc>
          <w:tcPr>
            <w:tcW w:type="dxa" w:w="1437"/>
            <w:vAlign w:val="top"/>
          </w:tcPr>
          <w:p>
            <w:pPr>
              <w:pStyle w:val="Compact"/>
              <w:spacing w:line="240" w:lineRule="auto" w:after="80"/>
              <w:ind w:firstLine="0"/>
              <w:jc w:val="right"/>
            </w:pPr>
            <w:r>
              <w:rPr>
                <w:rFonts w:ascii="Arial" w:hAnsi="Arial"/>
                <w:b w:val="0"/>
                <w:sz w:val="20"/>
              </w:rPr>
              <w:t xml:space="preserve">0,3350 (0,0011)</w:t>
            </w:r>
          </w:p>
        </w:tc>
        <w:tc>
          <w:tcPr>
            <w:tcW w:type="dxa" w:w="1450"/>
            <w:vAlign w:val="top"/>
          </w:tcPr>
          <w:p>
            <w:pPr>
              <w:pStyle w:val="Compact"/>
              <w:spacing w:line="240" w:lineRule="auto" w:after="80"/>
              <w:ind w:firstLine="0"/>
              <w:jc w:val="right"/>
            </w:pPr>
            <w:r>
              <w:rPr>
                <w:rFonts w:ascii="Arial" w:hAnsi="Arial"/>
                <w:b w:val="0"/>
                <w:sz w:val="20"/>
              </w:rPr>
              <w:t xml:space="preserve">0,2445 (0,0011)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log(horas)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0,6536 (0,0006)</w:t>
            </w:r>
          </w:p>
        </w:tc>
        <w:tc>
          <w:tcPr>
            <w:tcW w:type="dxa" w:w="1437"/>
            <w:vAlign w:val="top"/>
          </w:tcPr>
          <w:p>
            <w:pPr>
              <w:pStyle w:val="Compact"/>
              <w:spacing w:line="240" w:lineRule="auto" w:after="80"/>
              <w:ind w:firstLine="0"/>
              <w:jc w:val="right"/>
            </w:pPr>
            <w:r>
              <w:rPr>
                <w:rFonts w:ascii="Arial" w:hAnsi="Arial"/>
                <w:b w:val="0"/>
                <w:sz w:val="20"/>
              </w:rPr>
              <w:t xml:space="preserve">0,6539 (0,0006)</w:t>
            </w:r>
          </w:p>
        </w:tc>
        <w:tc>
          <w:tcPr>
            <w:tcW w:type="dxa" w:w="1437"/>
            <w:vAlign w:val="top"/>
          </w:tcPr>
          <w:p>
            <w:pPr>
              <w:pStyle w:val="Compact"/>
              <w:spacing w:line="240" w:lineRule="auto" w:after="80"/>
              <w:ind w:firstLine="0"/>
              <w:jc w:val="right"/>
            </w:pPr>
            <w:r>
              <w:rPr>
                <w:rFonts w:ascii="Arial" w:hAnsi="Arial"/>
                <w:b w:val="0"/>
                <w:sz w:val="20"/>
              </w:rPr>
              <w:t xml:space="preserve">0,6534 (0,0006)</w:t>
            </w:r>
          </w:p>
        </w:tc>
        <w:tc>
          <w:tcPr>
            <w:tcW w:type="dxa" w:w="1450"/>
            <w:vAlign w:val="top"/>
          </w:tcPr>
          <w:p>
            <w:pPr>
              <w:pStyle w:val="Compact"/>
              <w:spacing w:line="240" w:lineRule="auto" w:after="80"/>
              <w:ind w:firstLine="0"/>
              <w:jc w:val="right"/>
            </w:pPr>
            <w:r>
              <w:rPr>
                <w:rFonts w:ascii="Arial" w:hAnsi="Arial"/>
                <w:b w:val="0"/>
                <w:sz w:val="20"/>
              </w:rPr>
              <w:t xml:space="preserve">0,5801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Urbano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0,3419 (0,0037)</w:t>
            </w:r>
          </w:p>
        </w:tc>
        <w:tc>
          <w:tcPr>
            <w:tcW w:type="dxa" w:w="1437"/>
            <w:vAlign w:val="top"/>
          </w:tcPr>
          <w:p>
            <w:pPr>
              <w:pStyle w:val="Compact"/>
              <w:spacing w:line="240" w:lineRule="auto" w:after="80"/>
              <w:ind w:firstLine="0"/>
              <w:jc w:val="right"/>
            </w:pPr>
            <w:r>
              <w:rPr>
                <w:rFonts w:ascii="Arial" w:hAnsi="Arial"/>
                <w:b w:val="0"/>
                <w:sz w:val="20"/>
              </w:rPr>
              <w:t xml:space="preserve">0,0927 (0,0032)</w:t>
            </w:r>
          </w:p>
        </w:tc>
        <w:tc>
          <w:tcPr>
            <w:tcW w:type="dxa" w:w="1437"/>
            <w:vAlign w:val="top"/>
          </w:tcPr>
          <w:p>
            <w:pPr>
              <w:pStyle w:val="Compact"/>
              <w:spacing w:line="240" w:lineRule="auto" w:after="80"/>
              <w:ind w:firstLine="0"/>
              <w:jc w:val="right"/>
            </w:pPr>
            <w:r>
              <w:rPr>
                <w:rFonts w:ascii="Arial" w:hAnsi="Arial"/>
                <w:b w:val="0"/>
                <w:sz w:val="20"/>
              </w:rPr>
              <w:t xml:space="preserve">0,0492 (0,0027)</w:t>
            </w:r>
          </w:p>
        </w:tc>
        <w:tc>
          <w:tcPr>
            <w:tcW w:type="dxa" w:w="1450"/>
            <w:vAlign w:val="top"/>
          </w:tcPr>
          <w:p>
            <w:pPr>
              <w:pStyle w:val="Compact"/>
              <w:spacing w:line="240" w:lineRule="auto" w:after="80"/>
              <w:ind w:firstLine="0"/>
              <w:jc w:val="right"/>
            </w:pPr>
            <w:r>
              <w:rPr>
                <w:rFonts w:ascii="Arial" w:hAnsi="Arial"/>
                <w:b w:val="0"/>
                <w:sz w:val="20"/>
              </w:rPr>
              <w:t xml:space="preserve">0,0071 (0,0025)</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−0,1272 (0,0013)</w:t>
            </w:r>
          </w:p>
        </w:tc>
        <w:tc>
          <w:tcPr>
            <w:tcW w:type="dxa" w:w="1437"/>
            <w:vAlign w:val="top"/>
          </w:tcPr>
          <w:p>
            <w:pPr>
              <w:pStyle w:val="Compact"/>
              <w:spacing w:line="240" w:lineRule="auto" w:after="80"/>
              <w:ind w:firstLine="0"/>
              <w:jc w:val="right"/>
            </w:pPr>
            <w:r>
              <w:rPr>
                <w:rFonts w:ascii="Arial" w:hAnsi="Arial"/>
                <w:b w:val="0"/>
                <w:sz w:val="20"/>
              </w:rPr>
              <w:t xml:space="preserve">−0,0528 (0,0018)</w:t>
            </w:r>
          </w:p>
        </w:tc>
        <w:tc>
          <w:tcPr>
            <w:tcW w:type="dxa" w:w="1450"/>
            <w:vAlign w:val="top"/>
          </w:tcPr>
          <w:p>
            <w:pPr>
              <w:pStyle w:val="Compact"/>
              <w:spacing w:line="240" w:lineRule="auto" w:after="80"/>
              <w:ind w:firstLine="0"/>
              <w:jc w:val="right"/>
            </w:pPr>
            <w:r>
              <w:rPr>
                <w:rFonts w:ascii="Arial" w:hAnsi="Arial"/>
                <w:b w:val="0"/>
                <w:sz w:val="20"/>
              </w:rPr>
              <w:t xml:space="preserve">−0,0576 (0,0017)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−0,0183 (0,0012)</w:t>
            </w:r>
          </w:p>
        </w:tc>
        <w:tc>
          <w:tcPr>
            <w:tcW w:type="dxa" w:w="1437"/>
            <w:vAlign w:val="top"/>
          </w:tcPr>
          <w:p>
            <w:pPr>
              <w:pStyle w:val="Compact"/>
              <w:spacing w:line="240" w:lineRule="auto" w:after="80"/>
              <w:ind w:firstLine="0"/>
              <w:jc w:val="right"/>
            </w:pPr>
            <w:r>
              <w:rPr>
                <w:rFonts w:ascii="Arial" w:hAnsi="Arial"/>
                <w:b w:val="0"/>
                <w:sz w:val="20"/>
              </w:rPr>
              <w:t xml:space="preserve">−0,0007 (0,0010)</w:t>
            </w:r>
          </w:p>
        </w:tc>
        <w:tc>
          <w:tcPr>
            <w:tcW w:type="dxa" w:w="1450"/>
            <w:vAlign w:val="top"/>
          </w:tcPr>
          <w:p>
            <w:pPr>
              <w:pStyle w:val="Compact"/>
              <w:spacing w:line="240" w:lineRule="auto" w:after="80"/>
              <w:ind w:firstLine="0"/>
              <w:jc w:val="right"/>
            </w:pPr>
            <w:r>
              <w:rPr>
                <w:rFonts w:ascii="Arial" w:hAnsi="Arial"/>
                <w:b w:val="0"/>
                <w:sz w:val="20"/>
              </w:rPr>
              <w:t xml:space="preserve">−0,0051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0,1577 (0,0014)</w:t>
            </w:r>
          </w:p>
        </w:tc>
        <w:tc>
          <w:tcPr>
            <w:tcW w:type="dxa" w:w="1437"/>
            <w:vAlign w:val="top"/>
          </w:tcPr>
          <w:p>
            <w:pPr>
              <w:pStyle w:val="Compact"/>
              <w:spacing w:line="240" w:lineRule="auto" w:after="80"/>
              <w:ind w:firstLine="0"/>
              <w:jc w:val="right"/>
            </w:pPr>
            <w:r>
              <w:rPr>
                <w:rFonts w:ascii="Arial" w:hAnsi="Arial"/>
                <w:b w:val="0"/>
                <w:sz w:val="20"/>
              </w:rPr>
              <w:t xml:space="preserve">0,1694 (0,0013)</w:t>
            </w:r>
          </w:p>
        </w:tc>
        <w:tc>
          <w:tcPr>
            <w:tcW w:type="dxa" w:w="1450"/>
            <w:vAlign w:val="top"/>
          </w:tcPr>
          <w:p>
            <w:pPr>
              <w:pStyle w:val="Compact"/>
              <w:spacing w:line="240" w:lineRule="auto" w:after="80"/>
              <w:ind w:firstLine="0"/>
              <w:jc w:val="right"/>
            </w:pPr>
            <w:r>
              <w:rPr>
                <w:rFonts w:ascii="Arial" w:hAnsi="Arial"/>
                <w:b w:val="0"/>
                <w:sz w:val="20"/>
              </w:rPr>
              <w:t xml:space="preserve">0,1427 (0,0012)</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Emprego formal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0,1585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Conta própria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−0,1658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Trab. doméstico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−0,1052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dirigente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0,6250 (0,0013)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profissional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0,5608 (0,0011)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técnico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0,4001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administrativo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0,1771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serviços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0,1517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agropecuária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0,0844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operário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0,1839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operador</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0,2152 (0,0009)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FFAA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0,7871 (0,0023)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[−0,0679; −0,0658]</w:t>
            </w:r>
          </w:p>
        </w:tc>
        <w:tc>
          <w:tcPr>
            <w:tcW w:type="dxa" w:w="1437"/>
            <w:vAlign w:val="top"/>
          </w:tcPr>
          <w:p>
            <w:pPr>
              <w:pStyle w:val="Compact"/>
              <w:spacing w:line="240" w:lineRule="auto" w:after="80"/>
              <w:ind w:firstLine="0"/>
              <w:jc w:val="left"/>
            </w:pPr>
            <w:r>
              <w:rPr>
                <w:rFonts w:ascii="Arial" w:hAnsi="Arial"/>
                <w:b w:val="0"/>
                <w:sz w:val="20"/>
              </w:rPr>
              <w:t xml:space="preserve">[−0,0647; −0,0627]</w:t>
            </w:r>
          </w:p>
        </w:tc>
        <w:tc>
          <w:tcPr>
            <w:tcW w:type="dxa" w:w="1437"/>
            <w:vAlign w:val="top"/>
          </w:tcPr>
          <w:p>
            <w:pPr>
              <w:pStyle w:val="Compact"/>
              <w:spacing w:line="240" w:lineRule="auto" w:after="80"/>
              <w:ind w:firstLine="0"/>
              <w:jc w:val="left"/>
            </w:pPr>
            <w:r>
              <w:rPr>
                <w:rFonts w:ascii="Arial" w:hAnsi="Arial"/>
                <w:b w:val="0"/>
                <w:sz w:val="20"/>
              </w:rPr>
              <w:t xml:space="preserve">[−0,0639; −0,0619]</w:t>
            </w:r>
          </w:p>
        </w:tc>
        <w:tc>
          <w:tcPr>
            <w:tcW w:type="dxa" w:w="1450"/>
            <w:vAlign w:val="top"/>
          </w:tcPr>
          <w:p>
            <w:pPr>
              <w:pStyle w:val="Compact"/>
              <w:spacing w:line="240" w:lineRule="auto" w:after="80"/>
              <w:ind w:firstLine="0"/>
              <w:jc w:val="left"/>
            </w:pPr>
            <w:r>
              <w:rPr>
                <w:rFonts w:ascii="Arial" w:hAnsi="Arial"/>
                <w:b w:val="0"/>
                <w:sz w:val="20"/>
              </w:rPr>
              <w:t xml:space="preserve">[−0,0588; −0,0569]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−6,5</w:t>
            </w:r>
          </w:p>
        </w:tc>
        <w:tc>
          <w:tcPr>
            <w:tcW w:type="dxa" w:w="1437"/>
            <w:vAlign w:val="top"/>
          </w:tcPr>
          <w:p>
            <w:pPr>
              <w:pStyle w:val="Compact"/>
              <w:spacing w:line="240" w:lineRule="auto" w:after="80"/>
              <w:ind w:firstLine="0"/>
              <w:jc w:val="right"/>
            </w:pPr>
            <w:r>
              <w:rPr>
                <w:rFonts w:ascii="Arial" w:hAnsi="Arial"/>
                <w:b w:val="0"/>
                <w:sz w:val="20"/>
              </w:rPr>
              <w:t xml:space="preserve">−6,2</w:t>
            </w:r>
          </w:p>
        </w:tc>
        <w:tc>
          <w:tcPr>
            <w:tcW w:type="dxa" w:w="1437"/>
            <w:vAlign w:val="top"/>
          </w:tcPr>
          <w:p>
            <w:pPr>
              <w:pStyle w:val="Compact"/>
              <w:spacing w:line="240" w:lineRule="auto" w:after="80"/>
              <w:ind w:firstLine="0"/>
              <w:jc w:val="right"/>
            </w:pPr>
            <w:r>
              <w:rPr>
                <w:rFonts w:ascii="Arial" w:hAnsi="Arial"/>
                <w:b w:val="0"/>
                <w:sz w:val="20"/>
              </w:rPr>
              <w:t xml:space="preserve">−6,1</w:t>
            </w:r>
          </w:p>
        </w:tc>
        <w:tc>
          <w:tcPr>
            <w:tcW w:type="dxa" w:w="1450"/>
            <w:vAlign w:val="top"/>
          </w:tcPr>
          <w:p>
            <w:pPr>
              <w:pStyle w:val="Compact"/>
              <w:spacing w:line="240" w:lineRule="auto" w:after="80"/>
              <w:ind w:firstLine="0"/>
              <w:jc w:val="right"/>
            </w:pPr>
            <w:r>
              <w:rPr>
                <w:rFonts w:ascii="Arial" w:hAnsi="Arial"/>
                <w:b w:val="0"/>
                <w:sz w:val="20"/>
              </w:rPr>
              <w:t xml:space="preserve">−5,6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Efeitos fixos de UF</w:t>
            </w:r>
          </w:p>
        </w:tc>
        <w:tc>
          <w:tcPr>
            <w:tcW w:type="dxa" w:w="1415"/>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sim</w:t>
            </w:r>
          </w:p>
        </w:tc>
        <w:tc>
          <w:tcPr>
            <w:tcW w:type="dxa" w:w="1450"/>
            <w:vAlign w:val="top"/>
          </w:tcPr>
          <w:p>
            <w:pPr>
              <w:pStyle w:val="Compact"/>
              <w:spacing w:line="240" w:lineRule="auto" w:after="80"/>
              <w:ind w:firstLine="0"/>
              <w:jc w:val="left"/>
            </w:pPr>
            <w:r>
              <w:rPr>
                <w:rFonts w:ascii="Arial" w:hAnsi="Arial"/>
                <w:b w:val="0"/>
                <w:sz w:val="20"/>
              </w:rPr>
              <w:t xml:space="preserve">sim</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vAlign w:val="top"/>
          </w:tcPr>
          <w:p>
            <w:pPr>
              <w:pStyle w:val="Compact"/>
              <w:spacing w:line="240" w:lineRule="auto" w:after="80"/>
              <w:ind w:firstLine="0"/>
              <w:jc w:val="right"/>
            </w:pPr>
            <w:r>
              <w:rPr>
                <w:rFonts w:ascii="Arial" w:hAnsi="Arial"/>
                <w:b w:val="0"/>
                <w:sz w:val="20"/>
              </w:rPr>
              <w:t xml:space="preserve">0,3018</w:t>
            </w:r>
          </w:p>
        </w:tc>
        <w:tc>
          <w:tcPr>
            <w:tcW w:type="dxa" w:w="1437"/>
            <w:vAlign w:val="top"/>
          </w:tcPr>
          <w:p>
            <w:pPr>
              <w:pStyle w:val="Compact"/>
              <w:spacing w:line="240" w:lineRule="auto" w:after="80"/>
              <w:ind w:firstLine="0"/>
              <w:jc w:val="right"/>
            </w:pPr>
            <w:r>
              <w:rPr>
                <w:rFonts w:ascii="Arial" w:hAnsi="Arial"/>
                <w:b w:val="0"/>
                <w:sz w:val="20"/>
              </w:rPr>
              <w:t xml:space="preserve">0,1012</w:t>
            </w:r>
          </w:p>
        </w:tc>
        <w:tc>
          <w:tcPr>
            <w:tcW w:type="dxa" w:w="1437"/>
            <w:vAlign w:val="top"/>
          </w:tcPr>
          <w:p>
            <w:pPr>
              <w:pStyle w:val="Compact"/>
              <w:spacing w:line="240" w:lineRule="auto" w:after="80"/>
              <w:ind w:firstLine="0"/>
              <w:jc w:val="right"/>
            </w:pPr>
            <w:r>
              <w:rPr>
                <w:rFonts w:ascii="Arial" w:hAnsi="Arial"/>
                <w:b w:val="0"/>
                <w:sz w:val="20"/>
              </w:rPr>
              <w:t xml:space="preserve">0,0454</w:t>
            </w:r>
          </w:p>
        </w:tc>
        <w:tc>
          <w:tcPr>
            <w:tcW w:type="dxa" w:w="1437"/>
            <w:vAlign w:val="top"/>
          </w:tcPr>
          <w:p>
            <w:pPr>
              <w:pStyle w:val="Compact"/>
              <w:spacing w:line="240" w:lineRule="auto" w:after="80"/>
              <w:ind w:firstLine="0"/>
              <w:jc w:val="right"/>
            </w:pPr>
            <w:r>
              <w:rPr>
                <w:rFonts w:ascii="Arial" w:hAnsi="Arial"/>
                <w:b w:val="0"/>
                <w:sz w:val="20"/>
              </w:rPr>
              <w:t xml:space="preserve">0,0297</w:t>
            </w:r>
          </w:p>
        </w:tc>
        <w:tc>
          <w:tcPr>
            <w:tcW w:type="dxa" w:w="1450"/>
            <w:vAlign w:val="top"/>
          </w:tcPr>
          <w:p>
            <w:pPr>
              <w:pStyle w:val="Compact"/>
              <w:spacing w:line="240" w:lineRule="auto" w:after="80"/>
              <w:ind w:firstLine="0"/>
              <w:jc w:val="right"/>
            </w:pPr>
            <w:r>
              <w:rPr>
                <w:rFonts w:ascii="Arial" w:hAnsi="Arial"/>
                <w:b w:val="0"/>
                <w:sz w:val="20"/>
              </w:rPr>
              <w:t xml:space="preserve">0,0263</w:t>
            </w:r>
          </w:p>
        </w:tc>
      </w:tr>
      <w:tr>
        <w:trPr>
          <w:cantSplit/>
        </w:trPr>
        <w:tc>
          <w:tcPr>
            <w:tcW w:type="dxa" w:w="1895"/>
            <w:vAlign w:val="top"/>
          </w:tcPr>
          <w:p>
            <w:pPr>
              <w:pStyle w:val="Compact"/>
              <w:spacing w:line="240" w:lineRule="auto" w:after="8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vAlign w:val="top"/>
          </w:tcPr>
          <w:p>
            <w:pPr>
              <w:pStyle w:val="Compact"/>
              <w:spacing w:line="240" w:lineRule="auto" w:after="80"/>
              <w:ind w:firstLine="0"/>
              <w:jc w:val="right"/>
            </w:pPr>
            <w:r>
              <w:rPr>
                <w:rFonts w:ascii="Arial" w:hAnsi="Arial"/>
                <w:b w:val="0"/>
                <w:sz w:val="20"/>
              </w:rPr>
              <w:t xml:space="preserve">0,5524</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0,3620</w:t>
            </w:r>
          </w:p>
        </w:tc>
        <w:tc>
          <w:tcPr>
            <w:tcW w:type="dxa" w:w="1450"/>
            <w:vAlign w:val="top"/>
          </w:tcPr>
          <w:p>
            <w:pPr>
              <w:pStyle w:val="Compact"/>
              <w:spacing w:line="240" w:lineRule="auto" w:after="80"/>
              <w:ind w:firstLine="0"/>
              <w:jc w:val="right"/>
            </w:pPr>
            <w:r>
              <w:rPr>
                <w:rFonts w:ascii="Arial" w:hAnsi="Arial"/>
                <w:b w:val="0"/>
                <w:sz w:val="20"/>
              </w:rPr>
              <w:t xml:space="preserve">0,3237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ICC</w:t>
            </w:r>
            <m:oMath>
              <m:sSub>
                <m:e>
                  <m:r>
                    <m:t>​</m:t>
                  </m:r>
                </m:e>
                <m:sub>
                  <m:r>
                    <m:rPr>
                      <m:nor/>
                      <m:sty m:val="p"/>
                    </m:rPr>
                    <m:t>UPA</m:t>
                  </m:r>
                </m:sub>
              </m:sSub>
            </m:oMath>
          </w:p>
        </w:tc>
        <w:tc>
          <w:tcPr>
            <w:tcW w:type="dxa" w:w="1415"/>
            <w:vAlign w:val="top"/>
          </w:tcPr>
          <w:p>
            <w:pPr>
              <w:pStyle w:val="Compact"/>
              <w:spacing w:line="240" w:lineRule="auto" w:after="80"/>
              <w:ind w:firstLine="0"/>
              <w:jc w:val="right"/>
            </w:pPr>
            <w:r>
              <w:rPr>
                <w:rFonts w:ascii="Arial" w:hAnsi="Arial"/>
                <w:b w:val="0"/>
                <w:sz w:val="20"/>
              </w:rPr>
              <w:t xml:space="preserve">0,353</w:t>
            </w:r>
          </w:p>
        </w:tc>
        <w:tc>
          <w:tcPr>
            <w:tcW w:type="dxa" w:w="1437"/>
            <w:vAlign w:val="top"/>
          </w:tcPr>
          <w:p>
            <w:pPr>
              <w:pStyle w:val="Compact"/>
              <w:spacing w:line="240" w:lineRule="auto" w:after="80"/>
              <w:ind w:firstLine="0"/>
              <w:jc w:val="right"/>
            </w:pPr>
            <w:r>
              <w:rPr>
                <w:rFonts w:ascii="Arial" w:hAnsi="Arial"/>
                <w:b w:val="0"/>
                <w:sz w:val="20"/>
              </w:rPr>
              <w:t xml:space="preserve">0,219</w:t>
            </w:r>
          </w:p>
        </w:tc>
        <w:tc>
          <w:tcPr>
            <w:tcW w:type="dxa" w:w="1437"/>
            <w:vAlign w:val="top"/>
          </w:tcPr>
          <w:p>
            <w:pPr>
              <w:pStyle w:val="Compact"/>
              <w:spacing w:line="240" w:lineRule="auto" w:after="80"/>
              <w:ind w:firstLine="0"/>
              <w:jc w:val="right"/>
            </w:pPr>
            <w:r>
              <w:rPr>
                <w:rFonts w:ascii="Arial" w:hAnsi="Arial"/>
                <w:b w:val="0"/>
                <w:sz w:val="20"/>
              </w:rPr>
              <w:t xml:space="preserve">0,111</w:t>
            </w:r>
          </w:p>
        </w:tc>
        <w:tc>
          <w:tcPr>
            <w:tcW w:type="dxa" w:w="1437"/>
            <w:vAlign w:val="top"/>
          </w:tcPr>
          <w:p>
            <w:pPr>
              <w:pStyle w:val="Compact"/>
              <w:spacing w:line="240" w:lineRule="auto" w:after="80"/>
              <w:ind w:firstLine="0"/>
              <w:jc w:val="right"/>
            </w:pPr>
            <w:r>
              <w:rPr>
                <w:rFonts w:ascii="Arial" w:hAnsi="Arial"/>
                <w:b w:val="0"/>
                <w:sz w:val="20"/>
              </w:rPr>
              <w:t xml:space="preserve">0,076</w:t>
            </w:r>
          </w:p>
        </w:tc>
        <w:tc>
          <w:tcPr>
            <w:tcW w:type="dxa" w:w="1450"/>
            <w:vAlign w:val="top"/>
          </w:tcPr>
          <w:p>
            <w:pPr>
              <w:pStyle w:val="Compact"/>
              <w:spacing w:line="240" w:lineRule="auto" w:after="80"/>
              <w:ind w:firstLine="0"/>
              <w:jc w:val="right"/>
            </w:pPr>
            <w:r>
              <w:rPr>
                <w:rFonts w:ascii="Arial" w:hAnsi="Arial"/>
                <w:b w:val="0"/>
                <w:sz w:val="20"/>
              </w:rPr>
              <w:t xml:space="preserve">0,075</w:t>
            </w:r>
          </w:p>
        </w:tc>
      </w:tr>
      <w:tr>
        <w:trPr>
          <w:cantSplit/>
        </w:trPr>
        <w:tc>
          <w:tcPr>
            <w:tcW w:type="dxa" w:w="1895"/>
            <w:vAlign w:val="top"/>
          </w:tcPr>
          <w:p>
            <w:pPr>
              <w:pStyle w:val="Compact"/>
              <w:spacing w:line="240" w:lineRule="auto" w:after="8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66,5</w:t>
            </w:r>
          </w:p>
        </w:tc>
        <w:tc>
          <w:tcPr>
            <w:tcW w:type="dxa" w:w="1437"/>
            <w:vAlign w:val="top"/>
          </w:tcPr>
          <w:p>
            <w:pPr>
              <w:pStyle w:val="Compact"/>
              <w:spacing w:line="240" w:lineRule="auto" w:after="80"/>
              <w:ind w:firstLine="0"/>
              <w:jc w:val="right"/>
            </w:pPr>
            <w:r>
              <w:rPr>
                <w:rFonts w:ascii="Arial" w:hAnsi="Arial"/>
                <w:b w:val="0"/>
                <w:sz w:val="20"/>
              </w:rPr>
              <w:t xml:space="preserve">85,0</w:t>
            </w:r>
          </w:p>
        </w:tc>
        <w:tc>
          <w:tcPr>
            <w:tcW w:type="dxa" w:w="1437"/>
            <w:vAlign w:val="top"/>
          </w:tcPr>
          <w:p>
            <w:pPr>
              <w:pStyle w:val="Compact"/>
              <w:spacing w:line="240" w:lineRule="auto" w:after="80"/>
              <w:ind w:firstLine="0"/>
              <w:jc w:val="right"/>
            </w:pPr>
            <w:r>
              <w:rPr>
                <w:rFonts w:ascii="Arial" w:hAnsi="Arial"/>
                <w:b w:val="0"/>
                <w:sz w:val="20"/>
              </w:rPr>
              <w:t xml:space="preserve">90,1</w:t>
            </w:r>
          </w:p>
        </w:tc>
        <w:tc>
          <w:tcPr>
            <w:tcW w:type="dxa" w:w="1450"/>
            <w:vAlign w:val="top"/>
          </w:tcPr>
          <w:p>
            <w:pPr>
              <w:pStyle w:val="Compact"/>
              <w:spacing w:line="240" w:lineRule="auto" w:after="80"/>
              <w:ind w:firstLine="0"/>
              <w:jc w:val="right"/>
            </w:pPr>
            <w:r>
              <w:rPr>
                <w:rFonts w:ascii="Arial" w:hAnsi="Arial"/>
                <w:b w:val="0"/>
                <w:sz w:val="20"/>
              </w:rPr>
              <w:t xml:space="preserve">91,3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−2 LL (deviance)</w:t>
            </w:r>
          </w:p>
        </w:tc>
        <w:tc>
          <w:tcPr>
            <w:tcW w:type="dxa" w:w="1415"/>
            <w:vAlign w:val="top"/>
          </w:tcPr>
          <w:p>
            <w:pPr>
              <w:pStyle w:val="Compact"/>
              <w:spacing w:line="240" w:lineRule="auto" w:after="80"/>
              <w:ind w:firstLine="0"/>
              <w:jc w:val="right"/>
            </w:pPr>
            <w:r>
              <w:rPr>
                <w:rFonts w:ascii="Arial" w:hAnsi="Arial"/>
                <w:b w:val="0"/>
                <w:sz w:val="20"/>
              </w:rPr>
              <w:t xml:space="preserve">17.439.754</w:t>
            </w:r>
          </w:p>
        </w:tc>
        <w:tc>
          <w:tcPr>
            <w:tcW w:type="dxa" w:w="1437"/>
            <w:vAlign w:val="top"/>
          </w:tcPr>
          <w:p>
            <w:pPr>
              <w:pStyle w:val="Compact"/>
              <w:spacing w:line="240" w:lineRule="auto" w:after="80"/>
              <w:ind w:firstLine="0"/>
              <w:jc w:val="right"/>
            </w:pPr>
            <w:r>
              <w:rPr>
                <w:rFonts w:ascii="Arial" w:hAnsi="Arial"/>
                <w:b w:val="0"/>
                <w:sz w:val="20"/>
              </w:rPr>
              <w:t xml:space="preserve">14.160.374</w:t>
            </w:r>
          </w:p>
        </w:tc>
        <w:tc>
          <w:tcPr>
            <w:tcW w:type="dxa" w:w="1437"/>
            <w:vAlign w:val="top"/>
          </w:tcPr>
          <w:p>
            <w:pPr>
              <w:pStyle w:val="Compact"/>
              <w:spacing w:line="240" w:lineRule="auto" w:after="80"/>
              <w:ind w:firstLine="0"/>
              <w:jc w:val="right"/>
            </w:pPr>
            <w:r>
              <w:rPr>
                <w:rFonts w:ascii="Arial" w:hAnsi="Arial"/>
                <w:b w:val="0"/>
                <w:sz w:val="20"/>
              </w:rPr>
              <w:t xml:space="preserve">14.130.562</w:t>
            </w:r>
          </w:p>
        </w:tc>
        <w:tc>
          <w:tcPr>
            <w:tcW w:type="dxa" w:w="1437"/>
            <w:vAlign w:val="top"/>
          </w:tcPr>
          <w:p>
            <w:pPr>
              <w:pStyle w:val="Compact"/>
              <w:spacing w:line="240" w:lineRule="auto" w:after="80"/>
              <w:ind w:firstLine="0"/>
              <w:jc w:val="right"/>
            </w:pPr>
            <w:r>
              <w:rPr>
                <w:rFonts w:ascii="Arial" w:hAnsi="Arial"/>
                <w:b w:val="0"/>
                <w:sz w:val="20"/>
              </w:rPr>
              <w:t xml:space="preserve">14.115.850</w:t>
            </w:r>
          </w:p>
        </w:tc>
        <w:tc>
          <w:tcPr>
            <w:tcW w:type="dxa" w:w="1450"/>
            <w:vAlign w:val="top"/>
          </w:tcPr>
          <w:p>
            <w:pPr>
              <w:pStyle w:val="Compact"/>
              <w:spacing w:line="240" w:lineRule="auto" w:after="80"/>
              <w:ind w:firstLine="0"/>
              <w:jc w:val="right"/>
            </w:pPr>
            <w:r>
              <w:rPr>
                <w:rFonts w:ascii="Arial" w:hAnsi="Arial"/>
                <w:b w:val="0"/>
                <w:sz w:val="20"/>
              </w:rPr>
              <w:t xml:space="preserve">13.255.146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AIC</w:t>
            </w:r>
          </w:p>
        </w:tc>
        <w:tc>
          <w:tcPr>
            <w:tcW w:type="dxa" w:w="1415"/>
            <w:vAlign w:val="top"/>
          </w:tcPr>
          <w:p>
            <w:pPr>
              <w:pStyle w:val="Compact"/>
              <w:spacing w:line="240" w:lineRule="auto" w:after="80"/>
              <w:ind w:firstLine="0"/>
              <w:jc w:val="right"/>
            </w:pPr>
            <w:r>
              <w:rPr>
                <w:rFonts w:ascii="Arial" w:hAnsi="Arial"/>
                <w:b w:val="0"/>
                <w:sz w:val="20"/>
              </w:rPr>
              <w:t xml:space="preserve">17.439.760</w:t>
            </w:r>
          </w:p>
        </w:tc>
        <w:tc>
          <w:tcPr>
            <w:tcW w:type="dxa" w:w="1437"/>
            <w:vAlign w:val="top"/>
          </w:tcPr>
          <w:p>
            <w:pPr>
              <w:pStyle w:val="Compact"/>
              <w:spacing w:line="240" w:lineRule="auto" w:after="80"/>
              <w:ind w:firstLine="0"/>
              <w:jc w:val="right"/>
            </w:pPr>
            <w:r>
              <w:rPr>
                <w:rFonts w:ascii="Arial" w:hAnsi="Arial"/>
                <w:b w:val="0"/>
                <w:sz w:val="20"/>
              </w:rPr>
              <w:t xml:space="preserve">14.160.418</w:t>
            </w:r>
          </w:p>
        </w:tc>
        <w:tc>
          <w:tcPr>
            <w:tcW w:type="dxa" w:w="1437"/>
            <w:vAlign w:val="top"/>
          </w:tcPr>
          <w:p>
            <w:pPr>
              <w:pStyle w:val="Compact"/>
              <w:spacing w:line="240" w:lineRule="auto" w:after="80"/>
              <w:ind w:firstLine="0"/>
              <w:jc w:val="right"/>
            </w:pPr>
            <w:r>
              <w:rPr>
                <w:rFonts w:ascii="Arial" w:hAnsi="Arial"/>
                <w:b w:val="0"/>
                <w:sz w:val="20"/>
              </w:rPr>
              <w:t xml:space="preserve">14.130.612</w:t>
            </w:r>
          </w:p>
        </w:tc>
        <w:tc>
          <w:tcPr>
            <w:tcW w:type="dxa" w:w="1437"/>
            <w:vAlign w:val="top"/>
          </w:tcPr>
          <w:p>
            <w:pPr>
              <w:pStyle w:val="Compact"/>
              <w:spacing w:line="240" w:lineRule="auto" w:after="80"/>
              <w:ind w:firstLine="0"/>
              <w:jc w:val="right"/>
            </w:pPr>
            <w:r>
              <w:rPr>
                <w:rFonts w:ascii="Arial" w:hAnsi="Arial"/>
                <w:b w:val="0"/>
                <w:sz w:val="20"/>
              </w:rPr>
              <w:t xml:space="preserve">14.115.952</w:t>
            </w:r>
          </w:p>
        </w:tc>
        <w:tc>
          <w:tcPr>
            <w:tcW w:type="dxa" w:w="1450"/>
            <w:vAlign w:val="top"/>
          </w:tcPr>
          <w:p>
            <w:pPr>
              <w:pStyle w:val="Compact"/>
              <w:spacing w:line="240" w:lineRule="auto" w:after="80"/>
              <w:ind w:firstLine="0"/>
              <w:jc w:val="right"/>
            </w:pPr>
            <w:r>
              <w:rPr>
                <w:rFonts w:ascii="Arial" w:hAnsi="Arial"/>
                <w:b w:val="0"/>
                <w:sz w:val="20"/>
              </w:rPr>
              <w:t xml:space="preserve">13.255.272</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BIC</w:t>
            </w:r>
          </w:p>
        </w:tc>
        <w:tc>
          <w:tcPr>
            <w:tcW w:type="dxa" w:w="1415"/>
            <w:vAlign w:val="top"/>
          </w:tcPr>
          <w:p>
            <w:pPr>
              <w:pStyle w:val="Compact"/>
              <w:spacing w:line="240" w:lineRule="auto" w:after="80"/>
              <w:ind w:firstLine="0"/>
              <w:jc w:val="right"/>
            </w:pPr>
            <w:r>
              <w:rPr>
                <w:rFonts w:ascii="Arial" w:hAnsi="Arial"/>
                <w:b w:val="0"/>
                <w:sz w:val="20"/>
              </w:rPr>
              <w:t xml:space="preserve">17.439.802</w:t>
            </w:r>
          </w:p>
        </w:tc>
        <w:tc>
          <w:tcPr>
            <w:tcW w:type="dxa" w:w="1437"/>
            <w:vAlign w:val="top"/>
          </w:tcPr>
          <w:p>
            <w:pPr>
              <w:pStyle w:val="Compact"/>
              <w:spacing w:line="240" w:lineRule="auto" w:after="80"/>
              <w:ind w:firstLine="0"/>
              <w:jc w:val="right"/>
            </w:pPr>
            <w:r>
              <w:rPr>
                <w:rFonts w:ascii="Arial" w:hAnsi="Arial"/>
                <w:b w:val="0"/>
                <w:sz w:val="20"/>
              </w:rPr>
              <w:t xml:space="preserve">14.160.722</w:t>
            </w:r>
          </w:p>
        </w:tc>
        <w:tc>
          <w:tcPr>
            <w:tcW w:type="dxa" w:w="1437"/>
            <w:vAlign w:val="top"/>
          </w:tcPr>
          <w:p>
            <w:pPr>
              <w:pStyle w:val="Compact"/>
              <w:spacing w:line="240" w:lineRule="auto" w:after="80"/>
              <w:ind w:firstLine="0"/>
              <w:jc w:val="right"/>
            </w:pPr>
            <w:r>
              <w:rPr>
                <w:rFonts w:ascii="Arial" w:hAnsi="Arial"/>
                <w:b w:val="0"/>
                <w:sz w:val="20"/>
              </w:rPr>
              <w:t xml:space="preserve">14.130.959</w:t>
            </w:r>
          </w:p>
        </w:tc>
        <w:tc>
          <w:tcPr>
            <w:tcW w:type="dxa" w:w="1437"/>
            <w:vAlign w:val="top"/>
          </w:tcPr>
          <w:p>
            <w:pPr>
              <w:pStyle w:val="Compact"/>
              <w:spacing w:line="240" w:lineRule="auto" w:after="80"/>
              <w:ind w:firstLine="0"/>
              <w:jc w:val="right"/>
            </w:pPr>
            <w:r>
              <w:rPr>
                <w:rFonts w:ascii="Arial" w:hAnsi="Arial"/>
                <w:b w:val="0"/>
                <w:sz w:val="20"/>
              </w:rPr>
              <w:t xml:space="preserve">14.116.659</w:t>
            </w:r>
          </w:p>
        </w:tc>
        <w:tc>
          <w:tcPr>
            <w:tcW w:type="dxa" w:w="1450"/>
            <w:vAlign w:val="top"/>
          </w:tcPr>
          <w:p>
            <w:pPr>
              <w:pStyle w:val="Compact"/>
              <w:spacing w:line="240" w:lineRule="auto" w:after="80"/>
              <w:ind w:firstLine="0"/>
              <w:jc w:val="right"/>
            </w:pPr>
            <w:r>
              <w:rPr>
                <w:rFonts w:ascii="Arial" w:hAnsi="Arial"/>
                <w:b w:val="0"/>
                <w:sz w:val="20"/>
              </w:rPr>
              <w:t xml:space="preserve">13.256.145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3.279.380 (19)</w:t>
            </w:r>
          </w:p>
        </w:tc>
        <w:tc>
          <w:tcPr>
            <w:tcW w:type="dxa" w:w="1437"/>
            <w:vAlign w:val="top"/>
          </w:tcPr>
          <w:p>
            <w:pPr>
              <w:pStyle w:val="Compact"/>
              <w:spacing w:line="240" w:lineRule="auto" w:after="80"/>
              <w:ind w:firstLine="0"/>
              <w:jc w:val="right"/>
            </w:pPr>
            <w:r>
              <w:rPr>
                <w:rFonts w:ascii="Arial" w:hAnsi="Arial"/>
                <w:b w:val="0"/>
                <w:sz w:val="20"/>
              </w:rPr>
              <w:t xml:space="preserve">29.811 (3)</w:t>
            </w:r>
          </w:p>
        </w:tc>
        <w:tc>
          <w:tcPr>
            <w:tcW w:type="dxa" w:w="1437"/>
            <w:vAlign w:val="top"/>
          </w:tcPr>
          <w:p>
            <w:pPr>
              <w:pStyle w:val="Compact"/>
              <w:spacing w:line="240" w:lineRule="auto" w:after="80"/>
              <w:ind w:firstLine="0"/>
              <w:jc w:val="right"/>
            </w:pPr>
            <w:r>
              <w:rPr>
                <w:rFonts w:ascii="Arial" w:hAnsi="Arial"/>
                <w:b w:val="0"/>
                <w:sz w:val="20"/>
              </w:rPr>
              <w:t xml:space="preserve">14.712 (26)</w:t>
            </w:r>
          </w:p>
        </w:tc>
        <w:tc>
          <w:tcPr>
            <w:tcW w:type="dxa" w:w="1450"/>
            <w:vAlign w:val="top"/>
          </w:tcPr>
          <w:p>
            <w:pPr>
              <w:pStyle w:val="Compact"/>
              <w:spacing w:line="240" w:lineRule="auto" w:after="8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vAlign w:val="top"/>
          </w:tcPr>
          <w:p>
            <w:pPr>
              <w:pStyle w:val="Compact"/>
              <w:spacing w:line="240" w:lineRule="auto" w:after="8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50"/>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r>
    </w:tbl>
    <w:bookmarkEnd w:id="3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40.728 UPAs; 27 UFs)</w:t>
      </w:r>
      <w:r>
        <w:rPr>
          <w:rFonts w:ascii="Arial" w:hAnsi="Arial"/>
          <w:sz w:val="22"/>
        </w:rPr>
        <w:t xml:space="preserve">. </w:t>
      </w:r>
      <w:r>
        <w:rPr>
          <w:rFonts w:ascii="Arial" w:hAnsi="Arial"/>
          <w:sz w:val="22"/>
        </w:rPr>
        <w:t xml:space="preserve">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e Pischke, 2009, cap. 8)</w:t>
      </w:r>
      <w:r>
        <w:rPr>
          <w:rFonts w:ascii="Arial" w:hAnsi="Arial"/>
          <w:sz w:val="22"/>
        </w:rPr>
        <w:t xml:space="preserve"/>
      </w:r>
      <w:r>
        <w:rPr>
          <w:rFonts w:ascii="Arial" w:hAnsi="Arial"/>
          <w:sz w:val="22"/>
        </w:rPr>
        <w:t xml:space="preserve">. </w:t>
      </w:r>
      <w:r>
        <w:rPr>
          <w:rFonts w:ascii="Arial" w:hAnsi="Arial"/>
          <w:sz w:val="22"/>
        </w:rPr>
        <w:t>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6"/>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e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7"/>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8"/>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9"/>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1"/>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r>
        <w:rPr>
          <w:rFonts w:ascii="Arial" w:hAnsi="Arial"/>
          <w:sz w:val="22"/>
        </w:rPr>
        <w:t xml:space="preserve"> </w:t>
      </w:r>
      <w:r>
        <w:rPr>
          <w:rFonts w:ascii="Arial" w:hAnsi="Arial"/>
          <w:sz w:val="22"/>
        </w:rPr>
        <w:t xml:space="preserve">(Tabela 4):</w:t>
      </w:r>
    </w:p>
    <w:bookmarkStart w:id="42" w:name="tab:simetria"/>
    <w:p>
      <w:pPr>
        <w:pStyle w:val="TableCaption"/>
        <w:keepNext/>
        <w:keepLines/>
        <w:spacing w:line="240" w:lineRule="auto" w:before="240" w:after="40"/>
        <w:ind w:firstLine="0"/>
        <w:jc w:val="both"/>
      </w:pPr>
      <w:r>
        <w:rPr>
          <w:rFonts w:ascii="Arial" w:hAnsi="Arial"/>
          <w:sz w:val="22"/>
        </w:rPr>
        <w:t xml:space="preserve">Tabela 4. Simetria dos controles entre os dois modelos</w:t>
      </w:r>
    </w:p>
    <w:tbl>
      <w:tblPr>
        <w:tblStyle w:val="Table"/>
        <w:tblW w:type="auto" w:w="0"/>
        <w:tblLayout w:type="fixed"/>
        <w:tblLook w:firstRow="1" w:lastRow="0" w:firstColumn="0" w:lastColumn="0" w:noHBand="0" w:noVBand="0" w:val="0020"/>
        <w:tblCaption w:val="Tabela 4.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Predeterminados</w:t>
            </w:r>
          </w:p>
        </w:tc>
        <w:tc>
          <w:tcPr>
            <w:tcW w:type="dxa" w:w="3564"/>
            <w:vAlign w:val="top"/>
          </w:tcPr>
          <w:p>
            <w:pPr>
              <w:pStyle w:val="Compact"/>
              <w:keepNext/>
              <w:spacing w:line="240" w:lineRule="auto" w:after="8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Contexto do bairro</w:t>
            </w:r>
          </w:p>
        </w:tc>
        <w:tc>
          <w:tcPr>
            <w:tcW w:type="dxa" w:w="3564"/>
            <w:vAlign w:val="top"/>
          </w:tcPr>
          <w:p>
            <w:pPr>
              <w:pStyle w:val="Compact"/>
              <w:keepNext/>
              <w:spacing w:line="240" w:lineRule="auto" w:after="80"/>
              <w:ind w:firstLine="0"/>
              <w:jc w:val="left"/>
            </w:pPr>
            <w:r>
              <w:rPr>
                <w:rFonts w:ascii="Arial" w:hAnsi="Arial"/>
                <w:b w:val="0"/>
                <w:sz w:val="22"/>
              </w:rPr>
              <w:t xml:space="preserve">% negro, desemprego e escolaridade média da UPA</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Jornada</w:t>
            </w:r>
          </w:p>
        </w:tc>
        <w:tc>
          <w:tcPr>
            <w:tcW w:type="dxa" w:w="3564"/>
            <w:vAlign w:val="top"/>
          </w:tcPr>
          <w:p>
            <w:pPr>
              <w:pStyle w:val="Compact"/>
              <w:keepNext/>
              <w:spacing w:line="240" w:lineRule="auto" w:after="80"/>
              <w:ind w:firstLine="0"/>
              <w:jc w:val="left"/>
            </w:pPr>
            <w:r>
              <w:rPr>
                <w:rFonts w:ascii="Arial" w:hAnsi="Arial"/>
                <w:b w:val="0"/>
                <w:sz w:val="22"/>
              </w:rPr>
              <w:t xml:space="preserve">controle necessário: o desfecho é rendimento mensal</w:t>
            </w:r>
          </w:p>
        </w:tc>
        <w:tc>
          <w:tcPr>
            <w:tcW w:type="dxa" w:w="3337"/>
            <w:vAlign w:val="top"/>
          </w:tcPr>
          <w:p>
            <w:pPr>
              <w:pStyle w:val="Compact"/>
              <w:keepNext/>
              <w:spacing w:line="240" w:lineRule="auto" w:after="8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Os blocos predeterminados são</w:t>
      </w:r>
      <w:r>
        <w:rPr>
          <w:rFonts w:ascii="Arial" w:hAnsi="Arial"/>
          <w:sz w:val="22"/>
        </w:rPr>
        <w:t xml:space="preserve"> </w:t>
      </w:r>
      <w:r>
        <w:rPr>
          <w:rFonts w:ascii="Arial" w:hAnsi="Arial"/>
          <w:sz w:val="22"/>
        </w:rPr>
        <w:t>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3"/>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7" w:name="fig:hlm_blups"/>
    <w:p>
      <w:pPr>
        <w:pStyle w:val="CaptionedFigure"/>
        <w:keepNext/>
        <w:keepLines/>
      </w:pPr>
      <w:r>
        <w:rPr>
          <w:rFonts w:ascii="Arial" w:hAnsi="Arial"/>
          <w:sz w:val="22"/>
        </w:rPr>
        <w:drawing>
          <wp:inline>
            <wp:extent cx="5753100" cy="2525043"/>
            <wp:effectExtent b="0" l="0" r="0" t="0"/>
            <wp:docPr descr="" title="" id="45" name="Picture"/>
            <a:graphic>
              <a:graphicData uri="http://schemas.openxmlformats.org/drawingml/2006/picture">
                <pic:pic>
                  <pic:nvPicPr>
                    <pic:cNvPr descr="outputs/figures/hlm_efeitos_uf_blup_upa.png" id="46" name="Picture"/>
                    <pic:cNvPicPr>
                      <a:picLocks noChangeArrowheads="1" noChangeAspect="1"/>
                    </pic:cNvPicPr>
                  </pic:nvPicPr>
                  <pic:blipFill>
                    <a:blip r:embed="rId44"/>
                    <a:stretch>
                      <a:fillRect/>
                    </a:stretch>
                  </pic:blipFill>
                  <pic:spPr bwMode="auto">
                    <a:xfrm>
                      <a:off x="0" y="0"/>
                      <a:ext cx="5753100" cy="25250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No painel A, os</w:t>
      </w:r>
      <w:r>
        <w:rPr>
          <w:rFonts w:ascii="Arial" w:hAnsi="Arial"/>
          <w:sz w:val="22"/>
        </w:rPr>
        <w:t xml:space="preserve"> </w:t>
      </w:r>
      <w:r>
        <w:rPr>
          <w:rFonts w:ascii="Arial" w:hAnsi="Arial"/>
          <w:sz w:val="22"/>
        </w:rPr>
        <w:t>efeitos fixos de UF do M3 com IC 95% (referência: primeira UF); no painel B,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1: cada ponto no painel A é um estado;</w:t>
      </w:r>
      <w:r>
        <w:rPr>
          <w:rFonts w:ascii="Arial" w:hAnsi="Arial"/>
          <w:sz w:val="22"/>
        </w:rPr>
        <w:t xml:space="preserve"> </w:t>
      </w:r>
      <w:r>
        <w:rPr>
          <w:rFonts w:ascii="Arial" w:hAnsi="Arial"/>
          <w:sz w:val="22"/>
        </w:rPr>
        <w:t xml:space="preserve">a largura do histograma no painel B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1" w:name="fig:hlm_rs"/>
    <w:p>
      <w:pPr>
        <w:pStyle w:val="CaptionedFigure"/>
        <w:keepNext/>
        <w:keepLines/>
      </w:pPr>
      <w:r>
        <w:rPr>
          <w:rFonts w:ascii="Arial" w:hAnsi="Arial"/>
          <w:sz w:val="22"/>
        </w:rPr>
        <w:drawing>
          <wp:inline>
            <wp:extent cx="5753100" cy="2510443"/>
            <wp:effectExtent b="0" l="0" r="0" t="0"/>
            <wp:docPr descr="" title="" id="49" name="Picture"/>
            <a:graphic>
              <a:graphicData uri="http://schemas.openxmlformats.org/drawingml/2006/picture">
                <pic:pic>
                  <pic:nvPicPr>
                    <pic:cNvPr descr="outputs/figures/hlm_rs_retas_upa.png" id="50" name="Picture"/>
                    <pic:cNvPicPr>
                      <a:picLocks noChangeArrowheads="1" noChangeAspect="1"/>
                    </pic:cNvPicPr>
                  </pic:nvPicPr>
                  <pic:blipFill>
                    <a:blip r:embed="rId48"/>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no painel A, a reta ajustada</w:t>
      </w:r>
      <w:r>
        <w:rPr>
          <w:rFonts w:ascii="Arial" w:hAnsi="Arial"/>
          <w:sz w:val="22"/>
        </w:rPr>
        <w:t xml:space="preserve"> </w:t>
      </w:r>
      <w:r>
        <w:rPr>
          <w:rFonts w:ascii="Arial" w:hAnsi="Arial"/>
          <w:sz w:val="22"/>
        </w:rPr>
        <w:t>de cada bairro (amostra de 250 UPAs com brancos e negros) e, em azul, a média; no painel B,</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no painel 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No painel B,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e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pelo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8)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End w:id="52"/>
    <w:bookmarkStart w:id="58"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3"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Agregado: individual + UF, sem efeito de bairro (OLS)</w:t>
            </w:r>
          </w:p>
        </w:tc>
        <w:tc>
          <w:tcPr>
            <w:tcW w:type="dxa" w:w="1471"/>
            <w:vAlign w:val="top"/>
          </w:tcPr>
          <w:p>
            <w:pPr>
              <w:pStyle w:val="Compact"/>
              <w:keepNext/>
              <w:spacing w:line="240" w:lineRule="auto" w:after="80"/>
              <w:ind w:firstLine="0"/>
              <w:jc w:val="right"/>
            </w:pPr>
            <w:r>
              <w:rPr>
                <w:rFonts w:ascii="Arial" w:hAnsi="Arial"/>
                <w:b w:val="0"/>
                <w:sz w:val="22"/>
              </w:rPr>
              <w:t xml:space="preserve">−0,1104</w:t>
            </w:r>
          </w:p>
        </w:tc>
        <w:tc>
          <w:tcPr>
            <w:tcW w:type="dxa" w:w="1056"/>
            <w:vAlign w:val="top"/>
          </w:tcPr>
          <w:p>
            <w:pPr>
              <w:pStyle w:val="Compact"/>
              <w:keepNext/>
              <w:spacing w:line="240" w:lineRule="auto" w:after="80"/>
              <w:ind w:firstLine="0"/>
              <w:jc w:val="right"/>
            </w:pPr>
            <w:r>
              <w:rPr>
                <w:rFonts w:ascii="Arial" w:hAnsi="Arial"/>
                <w:b w:val="0"/>
                <w:sz w:val="22"/>
              </w:rPr>
              <w:t xml:space="preserve">−10,5</w:t>
            </w:r>
          </w:p>
        </w:tc>
        <w:tc>
          <w:tcPr>
            <w:tcW w:type="dxa" w:w="1276"/>
            <w:vAlign w:val="top"/>
          </w:tcPr>
          <w:p>
            <w:pPr>
              <w:pStyle w:val="Compact"/>
              <w:keepNext/>
              <w:spacing w:line="240" w:lineRule="auto" w:after="80"/>
              <w:ind w:firstLine="0"/>
              <w:jc w:val="left"/>
            </w:pPr>
            <w:r>
              <w:rPr>
                <w:rFonts w:ascii="Arial" w:hAnsi="Arial"/>
                <w:b w:val="0"/>
                <w:sz w:val="22"/>
              </w:rPr>
              <w:t xml:space="preserve">—</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M1: + intercepto aleatório de bairro (UPA)</w:t>
            </w:r>
          </w:p>
        </w:tc>
        <w:tc>
          <w:tcPr>
            <w:tcW w:type="dxa" w:w="1471"/>
            <w:vAlign w:val="top"/>
          </w:tcPr>
          <w:p>
            <w:pPr>
              <w:pStyle w:val="Compact"/>
              <w:keepNext/>
              <w:spacing w:line="240" w:lineRule="auto" w:after="80"/>
              <w:ind w:firstLine="0"/>
              <w:jc w:val="right"/>
            </w:pPr>
            <w:r>
              <w:rPr>
                <w:rFonts w:ascii="Arial" w:hAnsi="Arial"/>
                <w:b w:val="0"/>
                <w:sz w:val="22"/>
              </w:rPr>
              <w:t xml:space="preserve">−0,0669</w:t>
            </w:r>
          </w:p>
        </w:tc>
        <w:tc>
          <w:tcPr>
            <w:tcW w:type="dxa" w:w="1056"/>
            <w:vAlign w:val="top"/>
          </w:tcPr>
          <w:p>
            <w:pPr>
              <w:pStyle w:val="Compact"/>
              <w:keepNext/>
              <w:spacing w:line="240" w:lineRule="auto" w:after="80"/>
              <w:ind w:firstLine="0"/>
              <w:jc w:val="right"/>
            </w:pPr>
            <w:r>
              <w:rPr>
                <w:rFonts w:ascii="Arial" w:hAnsi="Arial"/>
                <w:b w:val="0"/>
                <w:sz w:val="22"/>
              </w:rPr>
              <w:t xml:space="preserve">−6,5</w:t>
            </w:r>
          </w:p>
        </w:tc>
        <w:tc>
          <w:tcPr>
            <w:tcW w:type="dxa" w:w="1276"/>
            <w:vAlign w:val="top"/>
          </w:tcPr>
          <w:p>
            <w:pPr>
              <w:pStyle w:val="Compact"/>
              <w:keepNext/>
              <w:spacing w:line="240" w:lineRule="auto" w:after="80"/>
              <w:ind w:firstLine="0"/>
              <w:jc w:val="right"/>
            </w:pPr>
            <w:r>
              <w:rPr>
                <w:rFonts w:ascii="Arial" w:hAnsi="Arial"/>
                <w:b w:val="0"/>
                <w:sz w:val="22"/>
              </w:rPr>
              <w:t xml:space="preserve">39,5</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M2: + contexto do bairro (UPA)</w:t>
            </w:r>
          </w:p>
        </w:tc>
        <w:tc>
          <w:tcPr>
            <w:tcW w:type="dxa" w:w="1471"/>
            <w:vAlign w:val="top"/>
          </w:tcPr>
          <w:p>
            <w:pPr>
              <w:pStyle w:val="Compact"/>
              <w:keepNext/>
              <w:spacing w:line="240" w:lineRule="auto" w:after="80"/>
              <w:ind w:firstLine="0"/>
              <w:jc w:val="right"/>
            </w:pPr>
            <w:r>
              <w:rPr>
                <w:rFonts w:ascii="Arial" w:hAnsi="Arial"/>
                <w:b w:val="0"/>
                <w:sz w:val="22"/>
              </w:rPr>
              <w:t xml:space="preserve">−0,0637</w:t>
            </w:r>
          </w:p>
        </w:tc>
        <w:tc>
          <w:tcPr>
            <w:tcW w:type="dxa" w:w="1056"/>
            <w:vAlign w:val="top"/>
          </w:tcPr>
          <w:p>
            <w:pPr>
              <w:pStyle w:val="Compact"/>
              <w:keepNext/>
              <w:spacing w:line="240" w:lineRule="auto" w:after="80"/>
              <w:ind w:firstLine="0"/>
              <w:jc w:val="right"/>
            </w:pPr>
            <w:r>
              <w:rPr>
                <w:rFonts w:ascii="Arial" w:hAnsi="Arial"/>
                <w:b w:val="0"/>
                <w:sz w:val="22"/>
              </w:rPr>
              <w:t xml:space="preserve">−6,2</w:t>
            </w:r>
          </w:p>
        </w:tc>
        <w:tc>
          <w:tcPr>
            <w:tcW w:type="dxa" w:w="1276"/>
            <w:vAlign w:val="top"/>
          </w:tcPr>
          <w:p>
            <w:pPr>
              <w:pStyle w:val="Compact"/>
              <w:keepNext/>
              <w:spacing w:line="240" w:lineRule="auto" w:after="80"/>
              <w:ind w:firstLine="0"/>
              <w:jc w:val="right"/>
            </w:pPr>
            <w:r>
              <w:rPr>
                <w:rFonts w:ascii="Arial" w:hAnsi="Arial"/>
                <w:b w:val="0"/>
                <w:sz w:val="22"/>
              </w:rPr>
              <w:t xml:space="preserve">42,3</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M3: + efeitos fixos de UF (gap líquido)</w:t>
            </w:r>
          </w:p>
        </w:tc>
        <w:tc>
          <w:tcPr>
            <w:tcW w:type="dxa" w:w="1471"/>
            <w:vAlign w:val="top"/>
          </w:tcPr>
          <w:p>
            <w:pPr>
              <w:pStyle w:val="Compact"/>
              <w:keepNext/>
              <w:spacing w:line="240" w:lineRule="auto" w:after="80"/>
              <w:ind w:firstLine="0"/>
              <w:jc w:val="right"/>
            </w:pPr>
            <w:r>
              <w:rPr>
                <w:rFonts w:ascii="Arial" w:hAnsi="Arial"/>
                <w:b w:val="0"/>
                <w:sz w:val="22"/>
              </w:rPr>
              <w:t xml:space="preserve">−0,0629</w:t>
            </w:r>
          </w:p>
        </w:tc>
        <w:tc>
          <w:tcPr>
            <w:tcW w:type="dxa" w:w="1056"/>
            <w:vAlign w:val="top"/>
          </w:tcPr>
          <w:p>
            <w:pPr>
              <w:pStyle w:val="Compact"/>
              <w:keepNext/>
              <w:spacing w:line="240" w:lineRule="auto" w:after="80"/>
              <w:ind w:firstLine="0"/>
              <w:jc w:val="right"/>
            </w:pPr>
            <w:r>
              <w:rPr>
                <w:rFonts w:ascii="Arial" w:hAnsi="Arial"/>
                <w:b w:val="0"/>
                <w:sz w:val="22"/>
              </w:rPr>
              <w:t xml:space="preserve">−6,1</w:t>
            </w:r>
          </w:p>
        </w:tc>
        <w:tc>
          <w:tcPr>
            <w:tcW w:type="dxa" w:w="1276"/>
            <w:vAlign w:val="top"/>
          </w:tcPr>
          <w:p>
            <w:pPr>
              <w:pStyle w:val="Compact"/>
              <w:keepNext/>
              <w:spacing w:line="240" w:lineRule="auto" w:after="8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−0,0579</w:t>
            </w:r>
          </w:p>
        </w:tc>
        <w:tc>
          <w:tcPr>
            <w:tcW w:type="dxa" w:w="105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−5,6</w:t>
            </w:r>
          </w:p>
        </w:tc>
        <w:tc>
          <w:tcPr>
            <w:tcW w:type="dxa" w:w="127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47,6</w:t>
            </w:r>
          </w:p>
        </w:tc>
      </w:tr>
    </w:tbl>
    <w:bookmarkEnd w:id="5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(HLM de dois níveis, indivíduos em UPA, com efeitos fixos de UF; PNAD Contínua</w:t>
      </w:r>
      <w:r>
        <w:rPr>
          <w:rFonts w:ascii="Arial" w:hAnsi="Arial"/>
          <w:sz w:val="22"/>
        </w:rPr>
        <w:t xml:space="preserve"> </w:t>
      </w:r>
      <w:r>
        <w:rPr>
          <w:rFonts w:ascii="Arial" w:hAnsi="Arial"/>
          <w:sz w:val="22"/>
        </w:rPr>
        <w:t xml:space="preserve">2016–2025, população completa)</w:t>
      </w:r>
      <w:r>
        <w:rPr>
          <w:rFonts w:ascii="Arial" w:hAnsi="Arial"/>
          <w:sz w:val="22"/>
        </w:rPr>
        <w:t xml:space="preserve">. </w:t>
      </w:r>
      <w:r>
        <w:rPr>
          <w:rFonts w:ascii="Arial" w:hAnsi="Arial"/>
          <w:sz w:val="22"/>
        </w:rPr>
        <w:t xml:space="preserve">Cada linha</w:t>
      </w:r>
      <w:r>
        <w:rPr>
          <w:rFonts w:ascii="Arial" w:hAnsi="Arial"/>
          <w:sz w:val="22"/>
        </w:rPr>
        <w:t xml:space="preserve"> </w:t>
      </w:r>
      <w:r>
        <w:rPr>
          <w:rFonts w:ascii="Arial" w:hAnsi="Arial"/>
          <w:sz w:val="22"/>
        </w:rPr>
        <w:t>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r>
        <w:rPr>
          <w:rFonts w:ascii="Arial" w:hAnsi="Arial"/>
          <w:sz w:val="22"/>
        </w:rPr>
        <w:t xml:space="preserve">. </w:t>
      </w:r>
      <w:r>
        <w:rPr>
          <w:rFonts w:ascii="Arial" w:hAnsi="Arial"/>
          <w:sz w:val="22"/>
        </w:rPr>
        <w:t xml:space="preserve">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3 resume a sequência de degraus em barras.</w:t>
      </w:r>
    </w:p>
    <w:bookmarkStart w:id="57" w:name="fig:hlm_gap"/>
    <w:p>
      <w:pPr>
        <w:pStyle w:val="CaptionedFigure"/>
        <w:keepNext/>
        <w:keepLines/>
      </w:pPr>
      <w:r>
        <w:rPr>
          <w:rFonts w:ascii="Arial" w:hAnsi="Arial"/>
          <w:sz w:val="22"/>
        </w:rPr>
        <w:drawing>
          <wp:inline>
            <wp:extent cx="5292852" cy="2089283"/>
            <wp:effectExtent b="0" l="0" r="0" t="0"/>
            <wp:docPr descr="" title="" id="55" name="Picture"/>
            <a:graphic>
              <a:graphicData uri="http://schemas.openxmlformats.org/drawingml/2006/picture">
                <pic:pic>
                  <pic:nvPicPr>
                    <pic:cNvPr descr="outputs/figures/fig_hlm_gap.png" id="56" name="Picture"/>
                    <pic:cNvPicPr>
                      <a:picLocks noChangeArrowheads="1" noChangeAspect="1"/>
                    </pic:cNvPicPr>
                  </pic:nvPicPr>
                  <pic:blipFill>
                    <a:blip r:embed="rId54"/>
                    <a:stretch>
                      <a:fillRect/>
                    </a:stretch>
                  </pic:blipFill>
                  <pic:spPr bwMode="auto">
                    <a:xfrm>
                      <a:off x="0" y="0"/>
                      <a:ext cx="5292852" cy="208928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de milhões);</w:t>
      </w:r>
      <w:r>
        <w:rPr>
          <w:rFonts w:ascii="Arial" w:hAnsi="Arial"/>
          <w:sz w:val="22"/>
        </w:rPr>
        <w:t xml:space="preserve"> </w:t>
      </w:r>
      <w:r>
        <w:rPr>
          <w:rFonts w:ascii="Arial" w:hAnsi="Arial"/>
          <w:sz w:val="22"/>
        </w:rPr>
        <w:t xml:space="preserve">rótulo: gap em % de renda. Em azul, o M3 (gap líquido)</w:t>
      </w:r>
    </w:p>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3: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58"/>
    <w:bookmarkStart w:id="64"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bookmarkStart w:id="59"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e Ransom, 1999) (ver o GLMM de acesso, Tabela 8).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Componente</w:t>
            </w:r>
          </w:p>
        </w:tc>
        <w:tc>
          <w:tcPr>
            <w:tcW w:type="dxa" w:w="1415"/>
            <w:vAlign w:val="top"/>
          </w:tcPr>
          <w:p>
            <w:pPr>
              <w:pStyle w:val="Compact"/>
              <w:keepNext/>
              <w:spacing w:line="240" w:lineRule="auto" w:after="80"/>
              <w:ind w:firstLine="0"/>
              <w:jc w:val="left"/>
            </w:pPr>
            <w:r>
              <w:rPr>
                <w:rFonts w:ascii="Arial" w:hAnsi="Arial"/>
                <w:b w:val="0"/>
                <w:sz w:val="20"/>
              </w:rPr>
              <w:t xml:space="preserve">log-pontos (SE)</w:t>
            </w:r>
          </w:p>
        </w:tc>
        <w:tc>
          <w:tcPr>
            <w:tcW w:type="dxa" w:w="1189"/>
            <w:vAlign w:val="top"/>
          </w:tcPr>
          <w:p>
            <w:pPr>
              <w:pStyle w:val="Compact"/>
              <w:keepNext/>
              <w:spacing w:line="240" w:lineRule="auto" w:after="80"/>
              <w:ind w:firstLine="0"/>
              <w:jc w:val="left"/>
            </w:pPr>
            <w:r>
              <w:rPr>
                <w:rFonts w:ascii="Arial" w:hAnsi="Arial"/>
                <w:b w:val="0"/>
                <w:sz w:val="20"/>
              </w:rPr>
              <w:t xml:space="preserve">% do gap</w:t>
            </w:r>
          </w:p>
        </w:tc>
        <w:tc>
          <w:tcPr>
            <w:tcW w:type="dxa" w:w="1805"/>
            <w:vAlign w:val="top"/>
          </w:tcPr>
          <w:p>
            <w:pPr>
              <w:pStyle w:val="Compact"/>
              <w:keepNext/>
              <w:spacing w:line="240" w:lineRule="auto" w:after="80"/>
              <w:ind w:firstLine="0"/>
              <w:jc w:val="left"/>
            </w:pPr>
            <w:r>
              <w:rPr>
                <w:rFonts w:ascii="Arial" w:hAnsi="Arial"/>
                <w:b w:val="0"/>
                <w:sz w:val="20"/>
              </w:rPr>
              <w:t xml:space="preserve">log-pontos (SE)</w:t>
            </w:r>
          </w:p>
        </w:tc>
        <w:tc>
          <w:tcPr>
            <w:tcW w:type="dxa" w:w="1791"/>
            <w:vAlign w:val="top"/>
          </w:tcPr>
          <w:p>
            <w:pPr>
              <w:pStyle w:val="Compact"/>
              <w:keepNext/>
              <w:spacing w:line="240" w:lineRule="auto" w:after="80"/>
              <w:ind w:firstLine="0"/>
              <w:jc w:val="left"/>
            </w:pPr>
            <w:r>
              <w:rPr>
                <w:rFonts w:ascii="Arial" w:hAnsi="Arial"/>
                <w:b w:val="0"/>
                <w:sz w:val="20"/>
              </w:rPr>
              <w:t xml:space="preserve">% do gap</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Gap total (branco − negro)</w:t>
            </w:r>
          </w:p>
        </w:tc>
        <w:tc>
          <w:tcPr>
            <w:tcW w:type="dxa" w:w="1415"/>
            <w:vAlign w:val="top"/>
          </w:tcPr>
          <w:p>
            <w:pPr>
              <w:pStyle w:val="Compact"/>
              <w:keepNext/>
              <w:spacing w:line="240" w:lineRule="auto" w:after="80"/>
              <w:ind w:firstLine="0"/>
              <w:jc w:val="right"/>
            </w:pPr>
            <w:r>
              <w:rPr>
                <w:rFonts w:ascii="Arial" w:hAnsi="Arial"/>
                <w:b w:val="0"/>
                <w:sz w:val="20"/>
              </w:rPr>
              <w:t xml:space="preserve">0,4252 (0,0033)</w:t>
            </w:r>
          </w:p>
        </w:tc>
        <w:tc>
          <w:tcPr>
            <w:tcW w:type="dxa" w:w="1189"/>
            <w:vAlign w:val="top"/>
          </w:tcPr>
          <w:p>
            <w:pPr>
              <w:pStyle w:val="Compact"/>
              <w:keepNext/>
              <w:spacing w:line="240" w:lineRule="auto" w:after="80"/>
              <w:ind w:firstLine="0"/>
              <w:jc w:val="right"/>
            </w:pPr>
            <w:r>
              <w:rPr>
                <w:rFonts w:ascii="Arial" w:hAnsi="Arial"/>
                <w:b w:val="0"/>
                <w:sz w:val="20"/>
              </w:rPr>
              <w:t xml:space="preserve">100,0</w:t>
            </w:r>
          </w:p>
        </w:tc>
        <w:tc>
          <w:tcPr>
            <w:tcW w:type="dxa" w:w="1805"/>
            <w:vAlign w:val="top"/>
          </w:tcPr>
          <w:p>
            <w:pPr>
              <w:pStyle w:val="Compact"/>
              <w:keepNext/>
              <w:spacing w:line="240" w:lineRule="auto" w:after="80"/>
              <w:ind w:firstLine="0"/>
              <w:jc w:val="right"/>
            </w:pPr>
            <w:r>
              <w:rPr>
                <w:rFonts w:ascii="Arial" w:hAnsi="Arial"/>
                <w:b w:val="0"/>
                <w:sz w:val="20"/>
              </w:rPr>
              <w:t xml:space="preserve">0,4252 (0,0032)</w:t>
            </w:r>
          </w:p>
        </w:tc>
        <w:tc>
          <w:tcPr>
            <w:tcW w:type="dxa" w:w="1791"/>
            <w:vAlign w:val="top"/>
          </w:tcPr>
          <w:p>
            <w:pPr>
              <w:pStyle w:val="Compact"/>
              <w:keepNext/>
              <w:spacing w:line="240" w:lineRule="auto" w:after="80"/>
              <w:ind w:firstLine="0"/>
              <w:jc w:val="right"/>
            </w:pPr>
            <w:r>
              <w:rPr>
                <w:rFonts w:ascii="Arial" w:hAnsi="Arial"/>
                <w:b w:val="0"/>
                <w:sz w:val="20"/>
              </w:rPr>
              <w:t xml:space="preserve">100,0</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Dotações (características observáveis)</w:t>
            </w:r>
          </w:p>
        </w:tc>
        <w:tc>
          <w:tcPr>
            <w:tcW w:type="dxa" w:w="1415"/>
            <w:vAlign w:val="top"/>
          </w:tcPr>
          <w:p>
            <w:pPr>
              <w:pStyle w:val="Compact"/>
              <w:keepNext/>
              <w:spacing w:line="240" w:lineRule="auto" w:after="80"/>
              <w:ind w:firstLine="0"/>
              <w:jc w:val="right"/>
            </w:pPr>
            <w:r>
              <w:rPr>
                <w:rFonts w:ascii="Arial" w:hAnsi="Arial"/>
                <w:b w:val="0"/>
                <w:sz w:val="20"/>
              </w:rPr>
              <w:t xml:space="preserve">0,3491 (0,0033)</w:t>
            </w:r>
          </w:p>
        </w:tc>
        <w:tc>
          <w:tcPr>
            <w:tcW w:type="dxa" w:w="1189"/>
            <w:vAlign w:val="top"/>
          </w:tcPr>
          <w:p>
            <w:pPr>
              <w:pStyle w:val="Compact"/>
              <w:keepNext/>
              <w:spacing w:line="240" w:lineRule="auto" w:after="80"/>
              <w:ind w:firstLine="0"/>
              <w:jc w:val="right"/>
            </w:pPr>
            <w:r>
              <w:rPr>
                <w:rFonts w:ascii="Arial" w:hAnsi="Arial"/>
                <w:b w:val="0"/>
                <w:sz w:val="20"/>
              </w:rPr>
              <w:t xml:space="preserve">82,1</w:t>
            </w:r>
          </w:p>
        </w:tc>
        <w:tc>
          <w:tcPr>
            <w:tcW w:type="dxa" w:w="1805"/>
            <w:vAlign w:val="top"/>
          </w:tcPr>
          <w:p>
            <w:pPr>
              <w:pStyle w:val="Compact"/>
              <w:keepNext/>
              <w:spacing w:line="240" w:lineRule="auto" w:after="80"/>
              <w:ind w:firstLine="0"/>
              <w:jc w:val="right"/>
            </w:pPr>
            <w:r>
              <w:rPr>
                <w:rFonts w:ascii="Arial" w:hAnsi="Arial"/>
                <w:b w:val="0"/>
                <w:sz w:val="20"/>
              </w:rPr>
              <w:t xml:space="preserve">0,3598 (0,0032)</w:t>
            </w:r>
          </w:p>
        </w:tc>
        <w:tc>
          <w:tcPr>
            <w:tcW w:type="dxa" w:w="1791"/>
            <w:vAlign w:val="top"/>
          </w:tcPr>
          <w:p>
            <w:pPr>
              <w:pStyle w:val="Compact"/>
              <w:keepNext/>
              <w:spacing w:line="240" w:lineRule="auto" w:after="8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0,0761 (0,0012)</w:t>
            </w:r>
          </w:p>
        </w:tc>
        <w:tc>
          <w:tcPr>
            <w:tcW w:type="dxa" w:w="1189"/>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17,9</w:t>
            </w:r>
          </w:p>
        </w:tc>
        <w:tc>
          <w:tcPr>
            <w:tcW w:type="dxa" w:w="180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0,0654 (0,0011)</w:t>
            </w:r>
          </w:p>
        </w:tc>
        <w:tc>
          <w:tcPr>
            <w:tcW w:type="dxa" w:w="179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15,4</w:t>
            </w:r>
          </w:p>
        </w:tc>
      </w:tr>
    </w:tbl>
    <w:bookmarkEnd w:id="5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e Ransom, 1999)</w:t>
      </w:r>
      <w:r>
        <w:rPr>
          <w:rFonts w:ascii="Arial" w:hAnsi="Arial"/>
          <w:sz w:val="22"/>
        </w:rPr>
        <w:t xml:space="preserve"> </w:t>
      </w:r>
      <w:r>
        <w:rPr>
          <w:rFonts w:ascii="Arial" w:hAnsi="Arial"/>
          <w:sz w:val="22"/>
        </w:rPr>
        <w:t xml:space="preserve">(ver o GLMM de acesso, Tabela 8).</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41.459 UPAs).</w:t>
      </w:r>
      <w:r>
        <w:rPr>
          <w:rFonts w:ascii="Arial" w:hAnsi="Arial"/>
          <w:sz w:val="22"/>
        </w:rPr>
        <w:t xml:space="preserve"> </w:t>
      </w:r>
      <w:r>
        <w:rPr>
          <w:rFonts w:ascii="Arial" w:hAnsi="Arial"/>
          <w:sz w:val="22"/>
        </w:rPr>
        <w:t xml:space="preserve">Erros-padrão entre parênteses: bootstrap em blocos por UPA (500 réplicas)</w:t>
      </w:r>
      <w:r>
        <w:rPr>
          <w:rFonts w:ascii="Arial" w:hAnsi="Arial"/>
          <w:sz w:val="22"/>
        </w:rPr>
        <w:t xml:space="preserve">. </w:t>
      </w:r>
      <w:r>
        <w:rPr>
          <w:rFonts w:ascii="Arial" w:hAnsi="Arial"/>
          <w:sz w:val="22"/>
        </w:rPr>
        <w:t xml:space="preserve">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e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e Pischke, 2009)</w:t>
      </w:r>
      <w:r>
        <w:rPr>
          <w:rFonts w:ascii="Arial" w:hAnsi="Arial"/>
          <w:sz w:val="22"/>
        </w:rPr>
        <w:t xml:space="preserve">.</w:t>
      </w:r>
    </w:p>
    <w:p>
      <w:pPr>
        <w:pStyle w:val="BodyText"/>
        <w:spacing w:line="360" w:lineRule="auto" w:after="0"/>
        <w:ind w:firstLine="709"/>
        <w:jc w:val="both"/>
      </w:pPr>
      <w:r>
        <w:rPr>
          <w:rFonts w:ascii="Arial" w:hAnsi="Arial"/>
          <w:sz w:val="22"/>
        </w:rPr>
        <w:t xml:space="preserve">A Figura 4 apresenta as duas especificações em forma de cascata.</w:t>
      </w:r>
    </w:p>
    <w:bookmarkStart w:id="63" w:name="fig:ob_cascata"/>
    <w:p>
      <w:pPr>
        <w:pStyle w:val="CaptionedFigure"/>
        <w:keepNext/>
        <w:keepLines/>
      </w:pPr>
      <w:r>
        <w:rPr>
          <w:rFonts w:ascii="Arial" w:hAnsi="Arial"/>
          <w:sz w:val="22"/>
        </w:rPr>
        <w:drawing>
          <wp:inline>
            <wp:extent cx="5465445" cy="1713149"/>
            <wp:effectExtent b="0" l="0" r="0" t="0"/>
            <wp:docPr descr="" title="" id="61" name="Picture"/>
            <a:graphic>
              <a:graphicData uri="http://schemas.openxmlformats.org/drawingml/2006/picture">
                <pic:pic>
                  <pic:nvPicPr>
                    <pic:cNvPr descr="outputs/figures/fig_ob_cascata.png" id="62" name="Picture"/>
                    <pic:cNvPicPr>
                      <a:picLocks noChangeArrowheads="1" noChangeAspect="1"/>
                    </pic:cNvPicPr>
                  </pic:nvPicPr>
                  <pic:blipFill>
                    <a:blip r:embed="rId60"/>
                    <a:stretch>
                      <a:fillRect/>
                    </a:stretch>
                  </pic:blipFill>
                  <pic:spPr bwMode="auto">
                    <a:xfrm>
                      <a:off x="0" y="0"/>
                      <a:ext cx="5465445" cy="171314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opera na porta de entrada das ocupações — medida diretamente pelo modelo de acesso. O painel A traz a especificação A, sem ocupação; o painel B, a especificação B, com ocupação e vínculo</w:t>
      </w:r>
    </w:p>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4: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4"/>
    <w:bookmarkStart w:id="76"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A decomposição mostrou que parte do diferencial opera na entrada das ocupações; o modelo de acesso mede essa porta diretamente.</w:t>
      </w:r>
      <w:r>
        <w:rPr>
          <w:rFonts w:ascii="Arial" w:hAnsi="Arial"/>
          <w:sz w:val="22"/>
        </w:rPr>
        <w:t xml:space="preserve"> </w:t>
      </w:r>
      <w:bookmarkStart w:id="65" w:name="subsec:glmm_resultados"/>
      <w:bookmarkEnd w:id="65"/>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de UF; o ajuste e a classificação de cada degrau estão na Tabela 7.</w:t>
      </w:r>
      <w:r>
        <w:rPr>
          <w:rStyle w:val="FootnoteReference"/>
          <w:rFonts w:ascii="Arial" w:hAnsi="Arial"/>
          <w:sz w:val="22"/>
          <w:vertAlign w:val="superscript"/>
        </w:rPr>
        <w:footnoteReference w:id="66"/>
      </w:r>
    </w:p>
    <w:bookmarkStart w:id="67" w:name="tab:glmm_ajuste"/>
    <w:p>
      <w:pPr>
        <w:pStyle w:val="TableCaption"/>
        <w:keepNext/>
        <w:keepLines/>
        <w:spacing w:line="240" w:lineRule="auto" w:before="240" w:after="40"/>
        <w:ind w:firstLine="0"/>
        <w:jc w:val="both"/>
      </w:pPr>
      <w:r>
        <w:rPr>
          <w:rFonts w:ascii="Arial" w:hAnsi="Arial"/>
          <w:sz w:val="22"/>
        </w:rPr>
        <w:t xml:space="preserve">Tabela 7. GLMM logístico — ajuste e desempenho de classificação por degrau</w:t>
      </w:r>
    </w:p>
    <w:tbl>
      <w:tblPr>
        <w:tblStyle w:val="Table"/>
        <w:tblW w:type="auto" w:w="0"/>
        <w:tblLayout w:type="fixed"/>
        <w:tblLook w:firstRow="1" w:lastRow="0" w:firstColumn="0" w:lastColumn="0" w:noHBand="0" w:noVBand="0" w:val="0020"/>
        <w:tblCaption w:val="Tabela 7.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8.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especificidade) com as taxas correspondentes; Hosmer–Lemeshow em 10 decis. Modelos A1–A4 como na Tabela 8.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68"/>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69"/>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e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5 reúne as razões</w:t>
      </w:r>
      <w:r>
        <w:rPr>
          <w:rFonts w:ascii="Arial" w:hAnsi="Arial"/>
          <w:sz w:val="22"/>
        </w:rPr>
        <w:t xml:space="preserve"> </w:t>
      </w:r>
      <w:r>
        <w:rPr>
          <w:rFonts w:ascii="Arial" w:hAnsi="Arial"/>
          <w:sz w:val="22"/>
        </w:rPr>
        <w:t xml:space="preserve">de chance dos três desfechos e dos modelos de cada um.</w:t>
      </w:r>
    </w:p>
    <w:bookmarkStart w:id="73" w:name="fig:glmm_or"/>
    <w:p>
      <w:pPr>
        <w:pStyle w:val="CaptionedFigure"/>
        <w:keepNext/>
        <w:keepLines/>
      </w:pPr>
      <w:r>
        <w:rPr>
          <w:rFonts w:ascii="Arial" w:hAnsi="Arial"/>
          <w:sz w:val="22"/>
        </w:rPr>
        <w:drawing>
          <wp:inline>
            <wp:extent cx="5465445" cy="1993096"/>
            <wp:effectExtent b="0" l="0" r="0" t="0"/>
            <wp:docPr descr="" title="" id="71" name="Picture"/>
            <a:graphic>
              <a:graphicData uri="http://schemas.openxmlformats.org/drawingml/2006/picture">
                <pic:pic>
                  <pic:nvPicPr>
                    <pic:cNvPr descr="outputs/figures/fig_glmm_or.png" id="72" name="Picture"/>
                    <pic:cNvPicPr>
                      <a:picLocks noChangeArrowheads="1" noChangeAspect="1"/>
                    </pic:cNvPicPr>
                  </pic:nvPicPr>
                  <pic:blipFill>
                    <a:blip r:embed="rId70"/>
                    <a:stretch>
                      <a:fillRect/>
                    </a:stretch>
                  </pic:blipFill>
                  <pic:spPr bwMode="auto">
                    <a:xfrm>
                      <a:off x="0" y="0"/>
                      <a:ext cx="5465445" cy="1993096"/>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IC 95%, por desfecho e degrau; em azul, o modelo com contexto de bairro (A2)</w:t>
      </w:r>
    </w:p>
    <w:bookmarkEnd w:id="7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5: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4"/>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Tabela 8)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5" w:name="tab:glmm_glassceil"/>
    <w:p>
      <w:pPr>
        <w:pStyle w:val="TableCaption"/>
        <w:keepNext/>
        <w:keepLines/>
        <w:spacing w:line="240" w:lineRule="auto" w:before="240" w:after="40"/>
        <w:ind w:firstLine="0"/>
        <w:jc w:val="both"/>
      </w:pPr>
      <w:r>
        <w:rPr>
          <w:rFonts w:ascii="Arial" w:hAnsi="Arial"/>
          <w:sz w:val="22"/>
        </w:rPr>
        <w:t xml:space="preserve">Tabela 8.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p>
    <w:tbl>
      <w:tblPr>
        <w:tblStyle w:val="Table"/>
        <w:tblW w:type="auto" w:w="0"/>
        <w:tblLayout w:type="fixed"/>
        <w:tblLook w:firstRow="1" w:lastRow="0" w:firstColumn="0" w:lastColumn="0" w:noHBand="0" w:noVBand="0" w:val="0020"/>
        <w:tblCaption w:val="Tabela 8.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r>
        <w:rPr>
          <w:rFonts w:ascii="Arial" w:hAnsi="Arial"/>
          <w:sz w:val="22"/>
        </w:rPr>
        <w:t xml:space="preserve">. </w:t>
      </w:r>
      <w:r>
        <w:rPr>
          <w:rFonts w:ascii="Arial" w:hAnsi="Arial"/>
          <w:sz w:val="22"/>
        </w:rPr>
        <w:t xml:space="preserve">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com o desfecho para anular o OR; o E-value (IC) faz o mesmo para o limite do intervalo. A coluna logit-FE mostra que a conclusão não depende da hipótese de efeitos aleatórios</w:t>
      </w:r>
    </w:p>
    <w:bookmarkEnd w:id="76"/>
    <w:bookmarkStart w:id="84"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77" w:name="subsec:qr_rif"/>
      <w:bookmarkEnd w:id="77"/>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10</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pessoas de mesmo perfil); a</w:t>
      </w:r>
      <w:r>
        <w:rPr>
          <w:rFonts w:ascii="Arial" w:hAnsi="Arial"/>
          <w:sz w:val="22"/>
        </w:rPr>
        <w:t xml:space="preserve"> </w:t>
      </w:r>
      <w:r>
        <w:rPr>
          <w:rFonts w:ascii="Arial" w:hAnsi="Arial"/>
          <w:sz w:val="22"/>
        </w:rPr>
        <w:t xml:space="preserve">Tabela 9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9,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bookmarkStart w:id="78" w:name="tab:rif_ob"/>
    <w:p>
      <w:pPr>
        <w:pStyle w:val="TableCaption"/>
        <w:keepNext/>
        <w:keepLines/>
        <w:spacing w:line="240" w:lineRule="auto" w:before="240" w:after="40"/>
        <w:ind w:firstLine="0"/>
        <w:jc w:val="both"/>
      </w:pPr>
      <w:r>
        <w:rPr>
          <w:rFonts w:ascii="Arial" w:hAnsi="Arial"/>
          <w:sz w:val="22"/>
        </w:rPr>
        <w:t xml:space="preserve">Tabela 9. Decomposição RIF-OB</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r>
    </w:p>
    <w:tbl>
      <w:tblPr>
        <w:tblStyle w:val="Table"/>
        <w:tblW w:type="auto" w:w="0"/>
        <w:tblLayout w:type="fixed"/>
        <w:tblLook w:firstRow="1" w:lastRow="0" w:firstColumn="0" w:lastColumn="0" w:noHBand="0" w:noVBand="0" w:val="0020"/>
        <w:tblCaption w:val="Tabela 9. Decomposição RIF-OB (Firpo et al.,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w:t>
      </w:r>
      <w:r>
        <w:rPr>
          <w:rFonts w:ascii="Arial" w:hAnsi="Arial"/>
          <w:sz w:val="22"/>
        </w:rPr>
        <w:t xml:space="preserve">. </w:t>
      </w:r>
      <w:r>
        <w:rPr>
          <w:rFonts w:ascii="Arial" w:hAnsi="Arial"/>
          <w:sz w:val="22"/>
        </w:rPr>
        <w:t xml:space="preserve">Mesmos controles da decomposição de Oaxaca–Blinder sem ocupação (escolaridade,</w:t>
      </w:r>
      <w:r>
        <w:rPr>
          <w:rFonts w:ascii="Arial" w:hAnsi="Arial"/>
          <w:sz w:val="22"/>
        </w:rPr>
        <w:t xml:space="preserve"> </w:t>
      </w:r>
      <w:r>
        <w:rPr>
          <w:rFonts w:ascii="Arial" w:hAnsi="Arial"/>
          <w:sz w:val="22"/>
        </w:rPr>
        <w:t>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As colunas por sexo da Tabela 10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bookmarkStart w:id="79" w:name="tab:qr_melhorias"/>
    <w:p>
      <w:pPr>
        <w:pStyle w:val="TableCaption"/>
        <w:keepNext/>
        <w:keepLines/>
        <w:spacing w:line="240" w:lineRule="auto" w:before="240" w:after="40"/>
        <w:ind w:firstLine="0"/>
        <w:jc w:val="both"/>
      </w:pPr>
      <w:r>
        <w:rPr>
          <w:rFonts w:ascii="Arial" w:hAnsi="Arial"/>
          <w:sz w:val="22"/>
        </w:rPr>
        <w:t xml:space="preserve">Tabela 10.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p>
    <w:tbl>
      <w:tblPr>
        <w:tblStyle w:val="Table"/>
        <w:tblW w:type="auto" w:w="0"/>
        <w:tblLayout w:type="fixed"/>
        <w:tblLook w:firstRow="0" w:lastRow="0" w:firstColumn="0" w:lastColumn="0" w:noHBand="0" w:noVBand="0" w:val="0000"/>
        <w:tblCaption w:val="Tabela 10.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7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e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et al.,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p>
      <w:pPr>
        <w:pStyle w:val="BodyText"/>
        <w:spacing w:line="360" w:lineRule="auto" w:after="0"/>
        <w:ind w:firstLine="709"/>
        <w:jc w:val="both"/>
      </w:pPr>
      <w:r>
        <w:rPr>
          <w:rFonts w:ascii="Arial" w:hAnsi="Arial"/>
          <w:sz w:val="22"/>
        </w:rPr>
        <w:t xml:space="preserve">A Figura 6 põe os dois ângulos lado a lado.</w:t>
      </w:r>
    </w:p>
    <w:bookmarkStart w:id="83" w:name="fig:qr_rif"/>
    <w:p>
      <w:pPr>
        <w:pStyle w:val="CaptionedFigure"/>
        <w:keepNext/>
        <w:keepLines/>
      </w:pPr>
      <w:r>
        <w:rPr>
          <w:rFonts w:ascii="Arial" w:hAnsi="Arial"/>
          <w:sz w:val="22"/>
        </w:rPr>
        <w:drawing>
          <wp:inline>
            <wp:extent cx="5638038" cy="1633018"/>
            <wp:effectExtent b="0" l="0" r="0" t="0"/>
            <wp:docPr descr="" title="" id="81" name="Picture"/>
            <a:graphic>
              <a:graphicData uri="http://schemas.openxmlformats.org/drawingml/2006/picture">
                <pic:pic>
                  <pic:nvPicPr>
                    <pic:cNvPr descr="outputs/figures/fig_qr_rif.png" id="82" name="Picture"/>
                    <pic:cNvPicPr>
                      <a:picLocks noChangeArrowheads="1" noChangeAspect="1"/>
                    </pic:cNvPicPr>
                  </pic:nvPicPr>
                  <pic:blipFill>
                    <a:blip r:embed="rId80"/>
                    <a:stretch>
                      <a:fillRect/>
                    </a:stretch>
                  </pic:blipFill>
                  <pic:spPr bwMode="auto">
                    <a:xfrm>
                      <a:off x="0" y="0"/>
                      <a:ext cx="5638038" cy="1633018"/>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por bootstrap em blocos de UPA); no painel B,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no painel 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No painel B,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4"/>
    <w:bookmarkStart w:id="93"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Até aqui, raça foi tratada como um eixo só; a última etapa pergunta quem está na interseção.</w:t>
      </w:r>
      <w:r>
        <w:rPr>
          <w:rFonts w:ascii="Arial" w:hAnsi="Arial"/>
          <w:sz w:val="22"/>
        </w:rPr>
        <w:t xml:space="preserve"> </w:t>
      </w:r>
      <w:bookmarkStart w:id="85" w:name="subsec:interseccional"/>
      <w:bookmarkEnd w:id="85"/>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86"/>
      </w:r>
      <w:r>
        <w:rPr>
          <w:rFonts w:ascii="Arial" w:hAnsi="Arial"/>
          <w:sz w:val="22"/>
        </w:rPr>
        <w:t xml:space="preserve"> </w:t>
      </w:r>
      <w:r>
        <w:rPr>
          <w:rFonts w:ascii="Arial" w:hAnsi="Arial"/>
          <w:sz w:val="22"/>
        </w:rPr>
        <w:t xml:space="preserve">A Tabela 11 traz a decomposição de Oaxaca–Blinder dos quatro grupos contra o homem branco, e a Figura 7, as razões de chance nos três desfechos.</w:t>
      </w:r>
    </w:p>
    <w:bookmarkStart w:id="87"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Dotações: parcela explicada por</w:t>
      </w:r>
      <w:r>
        <w:rPr>
          <w:rFonts w:ascii="Arial" w:hAnsi="Arial"/>
          <w:sz w:val="22"/>
        </w:rPr>
        <w:t xml:space="preserve"> </w:t>
      </w:r>
      <w:r>
        <w:rPr>
          <w:rFonts w:ascii="Arial" w:hAnsi="Arial"/>
          <w:sz w:val="22"/>
        </w:rPr>
        <w:t>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1" w:name="fig:interseccional"/>
    <w:p>
      <w:pPr>
        <w:pStyle w:val="CaptionedFigure"/>
        <w:keepNext/>
        <w:keepLines/>
      </w:pPr>
      <w:r>
        <w:rPr>
          <w:rFonts w:ascii="Arial" w:hAnsi="Arial"/>
          <w:sz w:val="22"/>
        </w:rPr>
        <w:drawing>
          <wp:inline>
            <wp:extent cx="4717542" cy="1814439"/>
            <wp:effectExtent b="0" l="0" r="0" t="0"/>
            <wp:docPr descr="" title="" id="89" name="Picture"/>
            <a:graphic>
              <a:graphicData uri="http://schemas.openxmlformats.org/drawingml/2006/picture">
                <pic:pic>
                  <pic:nvPicPr>
                    <pic:cNvPr descr="outputs/figures/grupo_rg_interseccional.png" id="90" name="Picture"/>
                    <pic:cNvPicPr>
                      <a:picLocks noChangeArrowheads="1" noChangeAspect="1"/>
                    </pic:cNvPicPr>
                  </pic:nvPicPr>
                  <pic:blipFill>
                    <a:blip r:embed="rId88"/>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cada série é um grupo raça</w:t>
      </w:r>
      <m:oMath>
        <m:r>
          <m:rPr>
            <m:sty m:val="p"/>
          </m:rPr>
          <m:t>×</m:t>
        </m:r>
      </m:oMath>
      <w:r>
        <w:rPr>
          <w:rFonts w:ascii="Arial" w:hAnsi="Arial"/>
          <w:sz w:val="22"/>
        </w:rPr>
        <w:t>gênero e cada ponto, a razão de chances contra o homem branco, cuja referência é a linha tracejada em 1; abaixo dela, o grupo tem menos chance que ele. No painel A, siga a série azul (mulher negra): ela aparece acima da referência na categoria agregada e termina como o grupo mais distante da referência no topo da renda. No painel B,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2"/>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3"/>
    <w:bookmarkStart w:id="95"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bookmarkStart w:id="94"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4"/>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Penalidade salarial: HLM M3 (mesmo bairro, escolaridade, idade, sexo,</w:t>
      </w:r>
      <w:r>
        <w:rPr>
          <w:rFonts w:ascii="Arial" w:hAnsi="Arial"/>
          <w:sz w:val="22"/>
        </w:rPr>
        <w:t xml:space="preserve"> </w:t>
      </w:r>
      <w:r>
        <w:rPr>
          <w:rFonts w:ascii="Arial" w:hAnsi="Arial"/>
          <w:sz w:val="22"/>
        </w:rPr>
        <w:t>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r>
        <w:rPr>
          <w:rFonts w:ascii="Arial" w:hAnsi="Arial"/>
          <w:sz w:val="22"/>
        </w:rPr>
        <w:t xml:space="preserve">. </w:t>
      </w:r>
      <w:r>
        <w:rPr>
          <w:rFonts w:ascii="Arial" w:hAnsi="Arial"/>
          <w:sz w:val="22"/>
        </w:rPr>
        <w:t xml:space="preserve">OR abaixo de 1 é menor chance que a de um branco</w:t>
      </w:r>
      <w:r>
        <w:rPr>
          <w:rFonts w:ascii="Arial" w:hAnsi="Arial"/>
          <w:sz w:val="22"/>
        </w:rPr>
        <w:t xml:space="preserve"> </w:t>
      </w:r>
      <w:r>
        <w:rPr>
          <w:rFonts w:ascii="Arial" w:hAnsi="Arial"/>
          <w:sz w:val="22"/>
        </w:rPr>
        <w:t>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A penalidade cresce com a idade: 1,7% entre 14 e 29 anos, 8,8% entre 50 e 64 e 14,7% a partir dos 65. Dados transversais não separam as duas leituras possíveis: a de ciclo de vida (a desigualdade se acumula ao longo da carreira) é compatível com o teto de vidro; a de coorte, com melhora entre gerações. Acima dos 65 anos, o grupo é selecionado — só quem ainda trabalha — e menor, o que pede cautela com essa estimativa.</w:t>
      </w:r>
    </w:p>
    <w:bookmarkEnd w:id="95"/>
    <w:bookmarkStart w:id="113"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96" w:name="subsec:ml"/>
      <w:bookmarkEnd w:id="96"/>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97"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9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r>
        <w:rPr>
          <w:rFonts w:ascii="Arial" w:hAnsi="Arial"/>
          <w:sz w:val="22"/>
        </w:rPr>
        <w:t xml:space="preserve">. </w:t>
      </w:r>
      <w:r>
        <w:rPr>
          <w:rFonts w:ascii="Arial" w:hAnsi="Arial"/>
          <w:sz w:val="22"/>
        </w:rPr>
        <w:t>Como ler a Tabela 13: R</w:t>
      </w:r>
      <w:r>
        <w:rPr>
          <w:rFonts w:ascii="Arial" w:hAnsi="Arial"/>
          <w:sz w:val="22"/>
          <w:vertAlign w:val="superscript"/>
        </w:rPr>
        <w:t xml:space="preserve">2</w:t>
      </w:r>
      <w:r>
        <w:rPr>
          <w:rFonts w:ascii="Arial" w:hAnsi="Arial"/>
          <w:sz w:val="22"/>
        </w:rPr>
        <w:t xml:space="preserve"> </w:t>
      </w:r>
      <w:r>
        <w:rPr>
          <w:rFonts w:ascii="Arial" w:hAnsi="Arial"/>
          <w:sz w:val="22"/>
        </w:rPr>
        <w:t>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e Tabela 15).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 e Tabela 15).</w:t>
      </w:r>
      <w:r>
        <w:rPr>
          <w:rStyle w:val="FootnoteReference"/>
          <w:rFonts w:ascii="Arial" w:hAnsi="Arial"/>
          <w:sz w:val="22"/>
          <w:vertAlign w:val="superscript"/>
        </w:rPr>
        <w:footnoteReference w:id="98"/>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99" w:name="tab:ml_cv"/>
    <w:p>
      <w:pPr>
        <w:pStyle w:val="TableCaption"/>
        <w:keepNext/>
        <w:keepLines/>
        <w:spacing w:line="240" w:lineRule="auto" w:before="240" w:after="40"/>
        <w:ind w:firstLine="0"/>
        <w:jc w:val="both"/>
      </w:pPr>
      <w:r>
        <w:rPr>
          <w:rFonts w:ascii="Arial" w:hAnsi="Arial"/>
          <w:sz w:val="22"/>
        </w:rPr>
        <w:t xml:space="preserve">Tabela 14. Escolha de hiperparâmetros do XGBoost na partição de validação</w:t>
      </w:r>
      <w:r>
        <w:rPr>
          <w:rFonts w:ascii="Arial" w:hAnsi="Arial"/>
          <w:sz w:val="22"/>
        </w:rPr>
        <w:t xml:space="preserve"> </w:t>
      </w:r>
      <w:r>
        <w:rPr>
          <w:rFonts w:ascii="Arial" w:hAnsi="Arial"/>
          <w:sz w:val="22"/>
        </w:rPr>
        <w:t>(Alencar, 2026a, b, c; Géron, 2021)</w:t>
      </w:r>
      <w:r>
        <w:rPr>
          <w:rFonts w:ascii="Arial" w:hAnsi="Arial"/>
          <w:sz w:val="22"/>
        </w:rPr>
        <w:t xml:space="preserve"/>
      </w:r>
    </w:p>
    <w:tbl>
      <w:tblPr>
        <w:tblStyle w:val="Table"/>
        <w:tblW w:type="auto" w:w="0"/>
        <w:tblLayout w:type="fixed"/>
        <w:tblLook w:firstRow="1" w:lastRow="0" w:firstColumn="0" w:lastColumn="0" w:noHBand="0" w:noVBand="0" w:val="0020"/>
        <w:tblCaption w:val="Tabela 14. Escolha de hiperparâmetros do XGBoost na partição de validação (Alencar, 2026a, b, c; Géron, 2021). Seis configurações comparadas dentro do treino — o conjunto de teste permanece intocado. População completa: 6.159.418 observações de treino e 1.539.855 de teste; nenhuma amostragem."/>
        <w:tblBorders>
          <w:top w:val="nil"/>
          <w:left w:val="nil"/>
          <w:bottom w:val="nil"/>
          <w:right w:val="nil"/>
          <w:insideH w:val="nil"/>
          <w:insideV w:val="nil"/>
        </w:tblBorders>
      </w:tblPr>
      <w:tblGrid>
        <w:gridCol w:w="1647"/>
        <w:gridCol w:w="1531"/>
        <w:gridCol w:w="1773"/>
        <w:gridCol w:w="1268"/>
        <w:gridCol w:w="1268"/>
        <w:gridCol w:w="1585"/>
      </w:tblGrid>
      <w:tr>
        <w:trPr>
          <w:tblHeader w:val="on"/>
          <w:cantSplit/>
        </w:trPr>
        <w:tc>
          <w:tcPr>
            <w:tcW w:type="dxa" w:w="164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Profundidade</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Taxa de aprendizado</w:t>
            </w:r>
          </w:p>
        </w:tc>
        <w:tc>
          <w:tcPr>
            <w:tcW w:type="dxa" w:w="177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Árvores</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MAE</w:t>
            </w:r>
          </w:p>
        </w:tc>
        <w:tc>
          <w:tcPr>
            <w:tcW w:type="dxa" w:w="158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sz w:val="20"/>
              </w:rPr>
              <w:t xml:space="preserve">10</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0,6427</w:t>
            </w:r>
          </w:p>
        </w:tc>
        <w:tc>
          <w:tcPr>
            <w:tcW w:type="dxa" w:w="1268"/>
          </w:tcPr>
          <w:p>
            <w:pPr>
              <w:pStyle w:val="Compact"/>
              <w:keepNext/>
              <w:spacing w:line="240" w:lineRule="auto" w:after="0"/>
              <w:ind w:firstLine="0"/>
              <w:jc w:val="right"/>
            </w:pPr>
            <w:r>
              <w:rPr>
                <w:rFonts w:ascii="Arial" w:hAnsi="Arial"/>
                <w:b w:val="0"/>
                <w:sz w:val="20"/>
              </w:rPr>
              <w:t xml:space="preserve">0,3977</w:t>
            </w:r>
          </w:p>
        </w:tc>
        <w:tc>
          <w:tcPr>
            <w:tcW w:type="dxa" w:w="1585"/>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600</w:t>
            </w:r>
          </w:p>
        </w:tc>
        <w:tc>
          <w:tcPr>
            <w:tcW w:type="dxa" w:w="1268"/>
          </w:tcPr>
          <w:p>
            <w:pPr>
              <w:pStyle w:val="Compact"/>
              <w:keepNext/>
              <w:spacing w:line="240" w:lineRule="auto" w:after="0"/>
              <w:ind w:firstLine="0"/>
              <w:jc w:val="right"/>
            </w:pPr>
            <w:r>
              <w:rPr>
                <w:rFonts w:ascii="Arial" w:hAnsi="Arial"/>
                <w:b w:val="0"/>
                <w:sz w:val="20"/>
              </w:rPr>
              <w:t xml:space="preserve">0,6395</w:t>
            </w:r>
          </w:p>
        </w:tc>
        <w:tc>
          <w:tcPr>
            <w:tcW w:type="dxa" w:w="1268"/>
          </w:tcPr>
          <w:p>
            <w:pPr>
              <w:pStyle w:val="Compact"/>
              <w:keepNext/>
              <w:spacing w:line="240" w:lineRule="auto" w:after="0"/>
              <w:ind w:firstLine="0"/>
              <w:jc w:val="right"/>
            </w:pPr>
            <w:r>
              <w:rPr>
                <w:rFonts w:ascii="Arial" w:hAnsi="Arial"/>
                <w:b w:val="0"/>
                <w:sz w:val="20"/>
              </w:rPr>
              <w:t xml:space="preserve">0,3995</w:t>
            </w:r>
          </w:p>
        </w:tc>
        <w:tc>
          <w:tcPr>
            <w:tcW w:type="dxa" w:w="1585"/>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0,6352</w:t>
            </w:r>
          </w:p>
        </w:tc>
        <w:tc>
          <w:tcPr>
            <w:tcW w:type="dxa" w:w="1268"/>
          </w:tcPr>
          <w:p>
            <w:pPr>
              <w:pStyle w:val="Compact"/>
              <w:keepNext/>
              <w:spacing w:line="240" w:lineRule="auto" w:after="0"/>
              <w:ind w:firstLine="0"/>
              <w:jc w:val="right"/>
            </w:pPr>
            <w:r>
              <w:rPr>
                <w:rFonts w:ascii="Arial" w:hAnsi="Arial"/>
                <w:b w:val="0"/>
                <w:sz w:val="20"/>
              </w:rPr>
              <w:t xml:space="preserve">0,4022</w:t>
            </w:r>
          </w:p>
        </w:tc>
        <w:tc>
          <w:tcPr>
            <w:tcW w:type="dxa" w:w="1585"/>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0,10</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0,6322</w:t>
            </w:r>
          </w:p>
        </w:tc>
        <w:tc>
          <w:tcPr>
            <w:tcW w:type="dxa" w:w="1268"/>
          </w:tcPr>
          <w:p>
            <w:pPr>
              <w:pStyle w:val="Compact"/>
              <w:keepNext/>
              <w:spacing w:line="240" w:lineRule="auto" w:after="0"/>
              <w:ind w:firstLine="0"/>
              <w:jc w:val="right"/>
            </w:pPr>
            <w:r>
              <w:rPr>
                <w:rFonts w:ascii="Arial" w:hAnsi="Arial"/>
                <w:b w:val="0"/>
                <w:sz w:val="20"/>
              </w:rPr>
              <w:t xml:space="preserve">0,4041</w:t>
            </w:r>
          </w:p>
        </w:tc>
        <w:tc>
          <w:tcPr>
            <w:tcW w:type="dxa" w:w="1585"/>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 (referência)</w:t>
            </w:r>
          </w:p>
        </w:tc>
        <w:tc>
          <w:tcPr>
            <w:tcW w:type="dxa" w:w="1268"/>
          </w:tcPr>
          <w:p>
            <w:pPr>
              <w:pStyle w:val="Compact"/>
              <w:keepNext/>
              <w:spacing w:line="240" w:lineRule="auto" w:after="0"/>
              <w:ind w:firstLine="0"/>
              <w:jc w:val="right"/>
            </w:pPr>
            <w:r>
              <w:rPr>
                <w:rFonts w:ascii="Arial" w:hAnsi="Arial"/>
                <w:b w:val="0"/>
                <w:sz w:val="20"/>
              </w:rPr>
              <w:t xml:space="preserve">0,6286</w:t>
            </w:r>
          </w:p>
        </w:tc>
        <w:tc>
          <w:tcPr>
            <w:tcW w:type="dxa" w:w="1268"/>
          </w:tcPr>
          <w:p>
            <w:pPr>
              <w:pStyle w:val="Compact"/>
              <w:keepNext/>
              <w:spacing w:line="240" w:lineRule="auto" w:after="0"/>
              <w:ind w:firstLine="0"/>
              <w:jc w:val="right"/>
            </w:pPr>
            <w:r>
              <w:rPr>
                <w:rFonts w:ascii="Arial" w:hAnsi="Arial"/>
                <w:b w:val="0"/>
                <w:sz w:val="20"/>
              </w:rPr>
              <w:t xml:space="preserve">0,4062</w:t>
            </w:r>
          </w:p>
        </w:tc>
        <w:tc>
          <w:tcPr>
            <w:tcW w:type="dxa" w:w="1585"/>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77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8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9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Seis configurações comparadas</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População completa:</w:t>
      </w:r>
      <w:r>
        <w:rPr>
          <w:rFonts w:ascii="Arial" w:hAnsi="Arial"/>
          <w:sz w:val="22"/>
        </w:rPr>
        <w:t xml:space="preserve"> </w:t>
      </w:r>
      <w:r>
        <w:rPr>
          <w:rFonts w:ascii="Arial" w:hAnsi="Arial"/>
          <w:sz w:val="22"/>
        </w:rPr>
        <w:t>6.159.418 observações de treino e 1.539.855 de teste; nenhuma amostragem</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primeira linha é a configuração escolhida</w:t>
      </w:r>
    </w:p>
    <w:bookmarkStart w:id="100" w:name="tab:ml_cv_b"/>
    <w:p>
      <w:pPr>
        <w:pStyle w:val="TableCaption"/>
        <w:keepNext/>
        <w:keepLines/>
        <w:spacing w:line="240" w:lineRule="auto" w:before="240" w:after="40"/>
        <w:ind w:firstLine="0"/>
        <w:jc w:val="both"/>
      </w:pPr>
      <w:r>
        <w:rPr>
          <w:rFonts w:ascii="Arial" w:hAnsi="Arial"/>
          <w:sz w:val="22"/>
        </w:rPr>
        <w:t xml:space="preserve">Tabela 15.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do XGBoost no treino completo,</w:t>
      </w:r>
      <w:r>
        <w:rPr>
          <w:rFonts w:ascii="Arial" w:hAnsi="Arial"/>
          <w:sz w:val="22"/>
        </w:rPr>
        <w:t xml:space="preserve"> </w:t>
      </w:r>
      <w:r>
        <w:rPr>
          <w:rFonts w:ascii="Arial" w:hAnsi="Arial"/>
          <w:sz w:val="22"/>
        </w:rPr>
        <w:t xml:space="preserve">com média e desvio-padrão entre</w:t>
      </w:r>
      <w:r>
        <w:rPr>
          <w:rFonts w:ascii="Arial" w:hAnsi="Arial"/>
          <w:sz w:val="22"/>
        </w:rPr>
        <w:t xml:space="preserve"> </w:t>
      </w:r>
      <w:r>
        <w:rPr>
          <w:rFonts w:ascii="Arial" w:hAnsi="Arial"/>
          <w:sz w:val="22"/>
        </w:rPr>
        <w:t xml:space="preserve">folds</w:t>
      </w:r>
      <w:r>
        <w:rPr>
          <w:rFonts w:ascii="Arial" w:hAnsi="Arial"/>
          <w:sz w:val="22"/>
        </w:rPr>
        <w:t xml:space="preserve"/>
      </w:r>
    </w:p>
    <w:tbl>
      <w:tblPr>
        <w:tblStyle w:val="Table"/>
        <w:tblW w:type="auto" w:w="0"/>
        <w:tblLayout w:type="fixed"/>
        <w:tblLook w:firstRow="1" w:lastRow="0" w:firstColumn="0" w:lastColumn="0" w:noHBand="0" w:noVBand="0" w:val="0020"/>
        <w:tblCaption w:val="Tabela 15. Validação cruzada k-fold (k=5) do XGBoost no treino completo, com média e desvio-padrão entre folds."/>
        <w:tblBorders>
          <w:top w:val="nil"/>
          <w:left w:val="nil"/>
          <w:bottom w:val="nil"/>
          <w:right w:val="nil"/>
          <w:insideH w:val="nil"/>
          <w:insideV w:val="nil"/>
        </w:tblBorders>
      </w:tblPr>
      <w:tblGrid>
        <w:gridCol w:w="3402"/>
        <w:gridCol w:w="1890"/>
        <w:gridCol w:w="1890"/>
        <w:gridCol w:w="1890"/>
      </w:tblGrid>
      <w:tr>
        <w:trPr>
          <w:tblHeader w:val="on"/>
          <w:cantSplit/>
        </w:trPr>
        <w:tc>
          <w:tcPr>
            <w:tcW w:type="dxa" w:w="340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Configuração</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MAE</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RMSE</w:t>
            </w:r>
          </w:p>
        </w:tc>
      </w:tr>
      <w:tr>
        <w:trPr>
          <w:cantSplit/>
        </w:trPr>
        <w:tc>
          <w:tcPr>
            <w:tcW w:type="dxa" w:w="3402"/>
          </w:tcPr>
          <w:p>
            <w:pPr>
              <w:pStyle w:val="Compact"/>
              <w:keepNext/>
              <w:spacing w:line="240" w:lineRule="auto" w:after="0"/>
              <w:ind w:firstLine="0"/>
              <w:jc w:val="left"/>
            </w:pPr>
            <w:r>
              <w:rPr>
                <w:rFonts w:ascii="Arial" w:hAnsi="Arial"/>
                <w:b w:val="0"/>
                <w:sz w:val="22"/>
              </w:rPr>
              <w:t xml:space="preserve">Escolhida (profundidade 10)</w:t>
            </w:r>
          </w:p>
        </w:tc>
        <w:tc>
          <w:tcPr>
            <w:tcW w:type="dxa" w:w="1890"/>
          </w:tcPr>
          <w:p>
            <w:pPr>
              <w:pStyle w:val="Compact"/>
              <w:keepNext/>
              <w:spacing w:line="240" w:lineRule="auto" w:after="0"/>
              <w:ind w:firstLine="0"/>
              <w:jc w:val="left"/>
            </w:pPr>
            <w:r>
              <w:rPr>
                <w:rFonts w:ascii="Arial" w:hAnsi="Arial"/>
                <w:b w:val="0"/>
                <w:sz w:val="22"/>
              </w:rPr>
              <w:t xml:space="preserve">0,6435 ± 0,0006</w:t>
            </w:r>
          </w:p>
        </w:tc>
        <w:tc>
          <w:tcPr>
            <w:tcW w:type="dxa" w:w="1890"/>
          </w:tcPr>
          <w:p>
            <w:pPr>
              <w:pStyle w:val="Compact"/>
              <w:keepNext/>
              <w:spacing w:line="240" w:lineRule="auto" w:after="0"/>
              <w:ind w:firstLine="0"/>
              <w:jc w:val="left"/>
            </w:pPr>
            <w:r>
              <w:rPr>
                <w:rFonts w:ascii="Arial" w:hAnsi="Arial"/>
                <w:b w:val="0"/>
                <w:sz w:val="22"/>
              </w:rPr>
              <w:t xml:space="preserve">0,3978 ± 0,0002</w:t>
            </w:r>
          </w:p>
        </w:tc>
        <w:tc>
          <w:tcPr>
            <w:tcW w:type="dxa" w:w="1890"/>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340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bookmarkEnd w:id="10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A configuração escolhida ganha 1,4 ponto percentual</w:t>
      </w:r>
      <w:r>
        <w:rPr>
          <w:rFonts w:ascii="Arial" w:hAnsi="Arial"/>
          <w:sz w:val="22"/>
        </w:rPr>
        <w:t xml:space="preserve"> </w:t>
      </w:r>
      <w:r>
        <w:rPr>
          <w:rFonts w:ascii="Arial" w:hAnsi="Arial"/>
          <w:sz w:val="22"/>
        </w:rPr>
        <w:t xml:space="preserve">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 sobreajuste maior, mas ainda pequeno (Tabela 14). No</w:t>
      </w:r>
      <w:r>
        <w:rPr>
          <w:rFonts w:ascii="Arial" w:hAnsi="Arial"/>
          <w:sz w:val="22"/>
        </w:rPr>
        <w:t xml:space="preserve"> </w:t>
      </w:r>
      <w:r>
        <w:rPr>
          <w:rFonts w:ascii="Arial" w:hAnsi="Arial"/>
          <w:sz w:val="22"/>
        </w:rPr>
        <w:t xml:space="preserve">conjunto de teste (intocado durante a 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1"/>
      </w:r>
      <w:r>
        <w:rPr>
          <w:rFonts w:ascii="Arial" w:hAnsi="Arial"/>
          <w:sz w:val="22"/>
        </w:rPr>
        <w:t xml:space="preserve">. Três evidências</w:t>
      </w:r>
      <w:r>
        <w:rPr>
          <w:rFonts w:ascii="Arial" w:hAnsi="Arial"/>
          <w:sz w:val="22"/>
        </w:rPr>
        <w:t xml:space="preserve"> </w:t>
      </w:r>
      <w:r>
        <w:rPr>
          <w:rFonts w:ascii="Arial" w:hAnsi="Arial"/>
          <w:sz w:val="22"/>
        </w:rPr>
        <w:t>convergem: a diferença entre treino e teste é praticamente nula; o número de observações</w:t>
      </w:r>
      <w:r>
        <w:rPr>
          <w:rFonts w:ascii="Arial" w:hAnsi="Arial"/>
          <w:sz w:val="22"/>
        </w:rPr>
        <w:t xml:space="preserve"> </w:t>
      </w:r>
      <w:r>
        <w:rPr>
          <w:rFonts w:ascii="Arial" w:hAnsi="Arial"/>
          <w:sz w:val="22"/>
        </w:rPr>
        <w:t>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16 traz o ranking completo das variáveis nos dois modelos, e a Figura 8 mostra como cada uma move a previsão, trabalhador a trabalhador.</w:t>
      </w:r>
    </w:p>
    <w:bookmarkStart w:id="102" w:name="tab:shap_importance"/>
    <w:p>
      <w:pPr>
        <w:pStyle w:val="TableCaption"/>
        <w:keepNext/>
        <w:keepLines/>
        <w:spacing w:line="240" w:lineRule="auto" w:before="240" w:after="40"/>
        <w:ind w:firstLine="0"/>
        <w:jc w:val="both"/>
      </w:pPr>
      <w:r>
        <w:rPr>
          <w:rFonts w:ascii="Arial" w:hAnsi="Arial"/>
          <w:sz w:val="22"/>
        </w:rPr>
        <w:t xml:space="preserve">Tabela 16. Importância SHAP Comparada — Random Forest e XGBoost</w:t>
      </w:r>
    </w:p>
    <w:tbl>
      <w:tblPr>
        <w:tblStyle w:val="Table"/>
        <w:tblW w:type="auto" w:w="0"/>
        <w:tblLayout w:type="fixed"/>
        <w:tblLook w:firstRow="1" w:lastRow="0" w:firstColumn="0" w:lastColumn="0" w:noHBand="0" w:noVBand="0" w:val="0020"/>
        <w:tblCaption w:val="Tabela 16. Importância SHAP Comparada — Random Forest e XGBoost. Predição de log-rendimento, PNAD 2016–2025 (N_{\text{SHAP}}=50.000). Valores: |\text{SHAP}| médio."/>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Renda média UPA (exceto o próprio)</w:t>
            </w:r>
          </w:p>
        </w:tc>
        <w:tc>
          <w:tcPr>
            <w:tcW w:type="dxa" w:w="1602"/>
            <w:vAlign w:val="top"/>
          </w:tcPr>
          <w:p>
            <w:pPr>
              <w:pStyle w:val="Compact"/>
              <w:keepNext/>
              <w:spacing w:line="240" w:lineRule="auto" w:after="80"/>
              <w:ind w:firstLine="0"/>
              <w:jc w:val="right"/>
            </w:pPr>
            <w:r>
              <w:rPr>
                <w:rFonts w:ascii="Arial" w:hAnsi="Arial"/>
                <w:b w:val="0"/>
                <w:sz w:val="20"/>
              </w:rPr>
              <w:t xml:space="preserve">0,21008</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c>
          <w:tcPr>
            <w:tcW w:type="dxa" w:w="1602"/>
            <w:vAlign w:val="top"/>
          </w:tcPr>
          <w:p>
            <w:pPr>
              <w:pStyle w:val="Compact"/>
              <w:keepNext/>
              <w:spacing w:line="240" w:lineRule="auto" w:after="80"/>
              <w:ind w:firstLine="0"/>
              <w:jc w:val="right"/>
            </w:pPr>
            <w:r>
              <w:rPr>
                <w:rFonts w:ascii="Arial" w:hAnsi="Arial"/>
                <w:b w:val="0"/>
                <w:sz w:val="20"/>
              </w:rPr>
              <w:t xml:space="preserve">0,18775</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superior completo</w:t>
            </w:r>
          </w:p>
        </w:tc>
        <w:tc>
          <w:tcPr>
            <w:tcW w:type="dxa" w:w="1602"/>
            <w:vAlign w:val="top"/>
          </w:tcPr>
          <w:p>
            <w:pPr>
              <w:pStyle w:val="Compact"/>
              <w:keepNext/>
              <w:spacing w:line="240" w:lineRule="auto" w:after="80"/>
              <w:ind w:firstLine="0"/>
              <w:jc w:val="right"/>
            </w:pPr>
            <w:r>
              <w:rPr>
                <w:rFonts w:ascii="Arial" w:hAnsi="Arial"/>
                <w:b w:val="0"/>
                <w:sz w:val="20"/>
              </w:rPr>
              <w:t xml:space="preserve">0,24464</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c>
          <w:tcPr>
            <w:tcW w:type="dxa" w:w="1602"/>
            <w:vAlign w:val="top"/>
          </w:tcPr>
          <w:p>
            <w:pPr>
              <w:pStyle w:val="Compact"/>
              <w:keepNext/>
              <w:spacing w:line="240" w:lineRule="auto" w:after="80"/>
              <w:ind w:firstLine="0"/>
              <w:jc w:val="right"/>
            </w:pPr>
            <w:r>
              <w:rPr>
                <w:rFonts w:ascii="Arial" w:hAnsi="Arial"/>
                <w:b w:val="0"/>
                <w:sz w:val="20"/>
              </w:rPr>
              <w:t xml:space="preserve">0,17823</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Horas trabalhadas</w:t>
            </w:r>
          </w:p>
        </w:tc>
        <w:tc>
          <w:tcPr>
            <w:tcW w:type="dxa" w:w="1602"/>
            <w:vAlign w:val="top"/>
          </w:tcPr>
          <w:p>
            <w:pPr>
              <w:pStyle w:val="Compact"/>
              <w:keepNext/>
              <w:spacing w:line="240" w:lineRule="auto" w:after="80"/>
              <w:ind w:firstLine="0"/>
              <w:jc w:val="right"/>
            </w:pPr>
            <w:r>
              <w:rPr>
                <w:rFonts w:ascii="Arial" w:hAnsi="Arial"/>
                <w:b w:val="0"/>
                <w:sz w:val="20"/>
              </w:rPr>
              <w:t xml:space="preserve">0,19383</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c>
          <w:tcPr>
            <w:tcW w:type="dxa" w:w="1602"/>
            <w:vAlign w:val="top"/>
          </w:tcPr>
          <w:p>
            <w:pPr>
              <w:pStyle w:val="Compact"/>
              <w:keepNext/>
              <w:spacing w:line="240" w:lineRule="auto" w:after="80"/>
              <w:ind w:firstLine="0"/>
              <w:jc w:val="right"/>
            </w:pPr>
            <w:r>
              <w:rPr>
                <w:rFonts w:ascii="Arial" w:hAnsi="Arial"/>
                <w:b w:val="0"/>
                <w:sz w:val="20"/>
              </w:rPr>
              <w:t xml:space="preserve">0,17220</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Gênero (feminino)</w:t>
            </w:r>
          </w:p>
        </w:tc>
        <w:tc>
          <w:tcPr>
            <w:tcW w:type="dxa" w:w="1602"/>
            <w:vAlign w:val="top"/>
          </w:tcPr>
          <w:p>
            <w:pPr>
              <w:pStyle w:val="Compact"/>
              <w:keepNext/>
              <w:spacing w:line="240" w:lineRule="auto" w:after="80"/>
              <w:ind w:firstLine="0"/>
              <w:jc w:val="right"/>
            </w:pPr>
            <w:r>
              <w:rPr>
                <w:rFonts w:ascii="Arial" w:hAnsi="Arial"/>
                <w:b w:val="0"/>
                <w:sz w:val="20"/>
              </w:rPr>
              <w:t xml:space="preserve">0,11166</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c>
          <w:tcPr>
            <w:tcW w:type="dxa" w:w="1602"/>
            <w:vAlign w:val="top"/>
          </w:tcPr>
          <w:p>
            <w:pPr>
              <w:pStyle w:val="Compact"/>
              <w:keepNext/>
              <w:spacing w:line="240" w:lineRule="auto" w:after="80"/>
              <w:ind w:firstLine="0"/>
              <w:jc w:val="right"/>
            </w:pPr>
            <w:r>
              <w:rPr>
                <w:rFonts w:ascii="Arial" w:hAnsi="Arial"/>
                <w:b w:val="0"/>
                <w:sz w:val="20"/>
              </w:rPr>
              <w:t xml:space="preserve">0,10557</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Emprego formal (carteira)</w:t>
            </w:r>
          </w:p>
        </w:tc>
        <w:tc>
          <w:tcPr>
            <w:tcW w:type="dxa" w:w="1602"/>
            <w:vAlign w:val="top"/>
          </w:tcPr>
          <w:p>
            <w:pPr>
              <w:pStyle w:val="Compact"/>
              <w:keepNext/>
              <w:spacing w:line="240" w:lineRule="auto" w:after="80"/>
              <w:ind w:firstLine="0"/>
              <w:jc w:val="right"/>
            </w:pPr>
            <w:r>
              <w:rPr>
                <w:rFonts w:ascii="Arial" w:hAnsi="Arial"/>
                <w:b w:val="0"/>
                <w:sz w:val="20"/>
              </w:rPr>
              <w:t xml:space="preserve">0,11100</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c>
          <w:tcPr>
            <w:tcW w:type="dxa" w:w="1602"/>
            <w:vAlign w:val="top"/>
          </w:tcPr>
          <w:p>
            <w:pPr>
              <w:pStyle w:val="Compact"/>
              <w:keepNext/>
              <w:spacing w:line="240" w:lineRule="auto" w:after="80"/>
              <w:ind w:firstLine="0"/>
              <w:jc w:val="right"/>
            </w:pPr>
            <w:r>
              <w:rPr>
                <w:rFonts w:ascii="Arial" w:hAnsi="Arial"/>
                <w:b w:val="0"/>
                <w:sz w:val="20"/>
              </w:rPr>
              <w:t xml:space="preserve">0,10548</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 (centrada)</w:t>
            </w:r>
          </w:p>
        </w:tc>
        <w:tc>
          <w:tcPr>
            <w:tcW w:type="dxa" w:w="1602"/>
            <w:vAlign w:val="top"/>
          </w:tcPr>
          <w:p>
            <w:pPr>
              <w:pStyle w:val="Compact"/>
              <w:keepNext/>
              <w:spacing w:line="240" w:lineRule="auto" w:after="80"/>
              <w:ind w:firstLine="0"/>
              <w:jc w:val="right"/>
            </w:pPr>
            <w:r>
              <w:rPr>
                <w:rFonts w:ascii="Arial" w:hAnsi="Arial"/>
                <w:b w:val="0"/>
                <w:sz w:val="20"/>
              </w:rPr>
              <w:t xml:space="preserve">0,05669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c>
          <w:tcPr>
            <w:tcW w:type="dxa" w:w="1602"/>
            <w:vAlign w:val="top"/>
          </w:tcPr>
          <w:p>
            <w:pPr>
              <w:pStyle w:val="Compact"/>
              <w:keepNext/>
              <w:spacing w:line="240" w:lineRule="auto" w:after="80"/>
              <w:ind w:firstLine="0"/>
              <w:jc w:val="right"/>
            </w:pPr>
            <w:r>
              <w:rPr>
                <w:rFonts w:ascii="Arial" w:hAnsi="Arial"/>
                <w:b w:val="0"/>
                <w:sz w:val="20"/>
              </w:rPr>
              <w:t xml:space="preserve">0,09059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Conta própria</w:t>
            </w:r>
          </w:p>
        </w:tc>
        <w:tc>
          <w:tcPr>
            <w:tcW w:type="dxa" w:w="1602"/>
            <w:vAlign w:val="top"/>
          </w:tcPr>
          <w:p>
            <w:pPr>
              <w:pStyle w:val="Compact"/>
              <w:keepNext/>
              <w:spacing w:line="240" w:lineRule="auto" w:after="80"/>
              <w:ind w:firstLine="0"/>
              <w:jc w:val="right"/>
            </w:pPr>
            <w:r>
              <w:rPr>
                <w:rFonts w:ascii="Arial" w:hAnsi="Arial"/>
                <w:b w:val="0"/>
                <w:sz w:val="20"/>
              </w:rPr>
              <w:t xml:space="preserve">0,02228</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c>
          <w:tcPr>
            <w:tcW w:type="dxa" w:w="1602"/>
            <w:vAlign w:val="top"/>
          </w:tcPr>
          <w:p>
            <w:pPr>
              <w:pStyle w:val="Compact"/>
              <w:keepNext/>
              <w:spacing w:line="240" w:lineRule="auto" w:after="80"/>
              <w:ind w:firstLine="0"/>
              <w:jc w:val="right"/>
            </w:pPr>
            <w:r>
              <w:rPr>
                <w:rFonts w:ascii="Arial" w:hAnsi="Arial"/>
                <w:b w:val="0"/>
                <w:sz w:val="20"/>
              </w:rPr>
              <w:t xml:space="preserve">0,05621</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Profissionais</w:t>
            </w:r>
          </w:p>
        </w:tc>
        <w:tc>
          <w:tcPr>
            <w:tcW w:type="dxa" w:w="1602"/>
            <w:vAlign w:val="top"/>
          </w:tcPr>
          <w:p>
            <w:pPr>
              <w:pStyle w:val="Compact"/>
              <w:keepNext/>
              <w:spacing w:line="240" w:lineRule="auto" w:after="80"/>
              <w:ind w:firstLine="0"/>
              <w:jc w:val="right"/>
            </w:pPr>
            <w:r>
              <w:rPr>
                <w:rFonts w:ascii="Arial" w:hAnsi="Arial"/>
                <w:b w:val="0"/>
                <w:sz w:val="20"/>
              </w:rPr>
              <w:t xml:space="preserve">0,02371</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c>
          <w:tcPr>
            <w:tcW w:type="dxa" w:w="1602"/>
            <w:vAlign w:val="top"/>
          </w:tcPr>
          <w:p>
            <w:pPr>
              <w:pStyle w:val="Compact"/>
              <w:keepNext/>
              <w:spacing w:line="240" w:lineRule="auto" w:after="80"/>
              <w:ind w:firstLine="0"/>
              <w:jc w:val="right"/>
            </w:pPr>
            <w:r>
              <w:rPr>
                <w:rFonts w:ascii="Arial" w:hAnsi="Arial"/>
                <w:b w:val="0"/>
                <w:sz w:val="20"/>
              </w:rPr>
              <w:t xml:space="preserve">0,05440</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médio completo</w:t>
            </w:r>
          </w:p>
        </w:tc>
        <w:tc>
          <w:tcPr>
            <w:tcW w:type="dxa" w:w="1602"/>
            <w:vAlign w:val="top"/>
          </w:tcPr>
          <w:p>
            <w:pPr>
              <w:pStyle w:val="Compact"/>
              <w:keepNext/>
              <w:spacing w:line="240" w:lineRule="auto" w:after="80"/>
              <w:ind w:firstLine="0"/>
              <w:jc w:val="right"/>
            </w:pPr>
            <w:r>
              <w:rPr>
                <w:rFonts w:ascii="Arial" w:hAnsi="Arial"/>
                <w:b w:val="0"/>
                <w:sz w:val="20"/>
              </w:rPr>
              <w:t xml:space="preserve">0,04494</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c>
          <w:tcPr>
            <w:tcW w:type="dxa" w:w="1602"/>
            <w:vAlign w:val="top"/>
          </w:tcPr>
          <w:p>
            <w:pPr>
              <w:pStyle w:val="Compact"/>
              <w:keepNext/>
              <w:spacing w:line="240" w:lineRule="auto" w:after="80"/>
              <w:ind w:firstLine="0"/>
              <w:jc w:val="right"/>
            </w:pPr>
            <w:r>
              <w:rPr>
                <w:rFonts w:ascii="Arial" w:hAnsi="Arial"/>
                <w:b w:val="0"/>
                <w:sz w:val="20"/>
              </w:rPr>
              <w:t xml:space="preserve">0,04043</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Técnicos</w:t>
            </w:r>
          </w:p>
        </w:tc>
        <w:tc>
          <w:tcPr>
            <w:tcW w:type="dxa" w:w="1602"/>
            <w:vAlign w:val="top"/>
          </w:tcPr>
          <w:p>
            <w:pPr>
              <w:pStyle w:val="Compact"/>
              <w:keepNext/>
              <w:spacing w:line="240" w:lineRule="auto" w:after="80"/>
              <w:ind w:firstLine="0"/>
              <w:jc w:val="right"/>
            </w:pPr>
            <w:r>
              <w:rPr>
                <w:rFonts w:ascii="Arial" w:hAnsi="Arial"/>
                <w:b w:val="0"/>
                <w:sz w:val="20"/>
              </w:rPr>
              <w:t xml:space="preserve">0,02033</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c>
          <w:tcPr>
            <w:tcW w:type="dxa" w:w="1602"/>
            <w:vAlign w:val="top"/>
          </w:tcPr>
          <w:p>
            <w:pPr>
              <w:pStyle w:val="Compact"/>
              <w:keepNext/>
              <w:spacing w:line="240" w:lineRule="auto" w:after="80"/>
              <w:ind w:firstLine="0"/>
              <w:jc w:val="right"/>
            </w:pPr>
            <w:r>
              <w:rPr>
                <w:rFonts w:ascii="Arial" w:hAnsi="Arial"/>
                <w:b w:val="0"/>
                <w:sz w:val="20"/>
              </w:rPr>
              <w:t xml:space="preserve">0,03875</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Estado</w:t>
            </w:r>
          </w:p>
        </w:tc>
        <w:tc>
          <w:tcPr>
            <w:tcW w:type="dxa" w:w="1602"/>
            <w:vAlign w:val="top"/>
          </w:tcPr>
          <w:p>
            <w:pPr>
              <w:pStyle w:val="Compact"/>
              <w:keepNext/>
              <w:spacing w:line="240" w:lineRule="auto" w:after="80"/>
              <w:ind w:firstLine="0"/>
              <w:jc w:val="right"/>
            </w:pPr>
            <w:r>
              <w:rPr>
                <w:rFonts w:ascii="Arial" w:hAnsi="Arial"/>
                <w:b w:val="0"/>
                <w:sz w:val="20"/>
              </w:rPr>
              <w:t xml:space="preserve">0,00210</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c>
          <w:tcPr>
            <w:tcW w:type="dxa" w:w="1602"/>
            <w:vAlign w:val="top"/>
          </w:tcPr>
          <w:p>
            <w:pPr>
              <w:pStyle w:val="Compact"/>
              <w:keepNext/>
              <w:spacing w:line="240" w:lineRule="auto" w:after="80"/>
              <w:ind w:firstLine="0"/>
              <w:jc w:val="right"/>
            </w:pPr>
            <w:r>
              <w:rPr>
                <w:rFonts w:ascii="Arial" w:hAnsi="Arial"/>
                <w:b w:val="0"/>
                <w:sz w:val="20"/>
              </w:rPr>
              <w:t xml:space="preserve">0,03339</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Dirigentes</w:t>
            </w:r>
          </w:p>
        </w:tc>
        <w:tc>
          <w:tcPr>
            <w:tcW w:type="dxa" w:w="1602"/>
            <w:vAlign w:val="top"/>
          </w:tcPr>
          <w:p>
            <w:pPr>
              <w:pStyle w:val="Compact"/>
              <w:keepNext/>
              <w:spacing w:line="240" w:lineRule="auto" w:after="80"/>
              <w:ind w:firstLine="0"/>
              <w:jc w:val="right"/>
            </w:pPr>
            <w:r>
              <w:rPr>
                <w:rFonts w:ascii="Arial" w:hAnsi="Arial"/>
                <w:b w:val="0"/>
                <w:sz w:val="20"/>
              </w:rPr>
              <w:t xml:space="preserve">0,02388</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c>
          <w:tcPr>
            <w:tcW w:type="dxa" w:w="1602"/>
            <w:vAlign w:val="top"/>
          </w:tcPr>
          <w:p>
            <w:pPr>
              <w:pStyle w:val="Compact"/>
              <w:keepNext/>
              <w:spacing w:line="240" w:lineRule="auto" w:after="80"/>
              <w:ind w:firstLine="0"/>
              <w:jc w:val="right"/>
            </w:pPr>
            <w:r>
              <w:rPr>
                <w:rFonts w:ascii="Arial" w:hAnsi="Arial"/>
                <w:b w:val="0"/>
                <w:sz w:val="20"/>
              </w:rPr>
              <w:t xml:space="preserve">0,03276</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fundamental completo</w:t>
            </w:r>
          </w:p>
        </w:tc>
        <w:tc>
          <w:tcPr>
            <w:tcW w:type="dxa" w:w="1602"/>
            <w:vAlign w:val="top"/>
          </w:tcPr>
          <w:p>
            <w:pPr>
              <w:pStyle w:val="Compact"/>
              <w:keepNext/>
              <w:spacing w:line="240" w:lineRule="auto" w:after="80"/>
              <w:ind w:firstLine="0"/>
              <w:jc w:val="right"/>
            </w:pPr>
            <w:r>
              <w:rPr>
                <w:rFonts w:ascii="Arial" w:hAnsi="Arial"/>
                <w:b w:val="0"/>
                <w:sz w:val="20"/>
              </w:rPr>
              <w:t xml:space="preserve">0,00738</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c>
          <w:tcPr>
            <w:tcW w:type="dxa" w:w="1602"/>
            <w:vAlign w:val="top"/>
          </w:tcPr>
          <w:p>
            <w:pPr>
              <w:pStyle w:val="Compact"/>
              <w:keepNext/>
              <w:spacing w:line="240" w:lineRule="auto" w:after="80"/>
              <w:ind w:firstLine="0"/>
              <w:jc w:val="right"/>
            </w:pPr>
            <w:r>
              <w:rPr>
                <w:rFonts w:ascii="Arial" w:hAnsi="Arial"/>
                <w:b w:val="0"/>
                <w:sz w:val="20"/>
              </w:rPr>
              <w:t xml:space="preserve">0,02993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Raça (negro)</w:t>
            </w:r>
          </w:p>
        </w:tc>
        <w:tc>
          <w:tcPr>
            <w:tcW w:type="dxa" w:w="1602"/>
            <w:vAlign w:val="top"/>
          </w:tcPr>
          <w:p>
            <w:pPr>
              <w:pStyle w:val="Compact"/>
              <w:keepNext/>
              <w:spacing w:line="240" w:lineRule="auto" w:after="80"/>
              <w:ind w:firstLine="0"/>
              <w:jc w:val="right"/>
            </w:pPr>
            <w:r>
              <w:rPr>
                <w:rFonts w:ascii="Arial" w:hAnsi="Arial"/>
                <w:b w:val="0"/>
                <w:sz w:val="20"/>
              </w:rPr>
              <w:t xml:space="preserve">0,00222</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c>
          <w:tcPr>
            <w:tcW w:type="dxa" w:w="1602"/>
            <w:vAlign w:val="top"/>
          </w:tcPr>
          <w:p>
            <w:pPr>
              <w:pStyle w:val="Compact"/>
              <w:keepNext/>
              <w:spacing w:line="240" w:lineRule="auto" w:after="80"/>
              <w:ind w:firstLine="0"/>
              <w:jc w:val="right"/>
            </w:pPr>
            <w:r>
              <w:rPr>
                <w:rFonts w:ascii="Arial" w:hAnsi="Arial"/>
                <w:b w:val="0"/>
                <w:sz w:val="20"/>
              </w:rPr>
              <w:t xml:space="preserve">0,02656</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Serviços/Vendas</w:t>
            </w:r>
          </w:p>
        </w:tc>
        <w:tc>
          <w:tcPr>
            <w:tcW w:type="dxa" w:w="1602"/>
            <w:vAlign w:val="top"/>
          </w:tcPr>
          <w:p>
            <w:pPr>
              <w:pStyle w:val="Compact"/>
              <w:keepNext/>
              <w:spacing w:line="240" w:lineRule="auto" w:after="80"/>
              <w:ind w:firstLine="0"/>
              <w:jc w:val="right"/>
            </w:pPr>
            <w:r>
              <w:rPr>
                <w:rFonts w:ascii="Arial" w:hAnsi="Arial"/>
                <w:b w:val="0"/>
                <w:sz w:val="20"/>
              </w:rPr>
              <w:t xml:space="preserve">0,00197</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c>
          <w:tcPr>
            <w:tcW w:type="dxa" w:w="1602"/>
            <w:vAlign w:val="top"/>
          </w:tcPr>
          <w:p>
            <w:pPr>
              <w:pStyle w:val="Compact"/>
              <w:keepNext/>
              <w:spacing w:line="240" w:lineRule="auto" w:after="80"/>
              <w:ind w:firstLine="0"/>
              <w:jc w:val="right"/>
            </w:pPr>
            <w:r>
              <w:rPr>
                <w:rFonts w:ascii="Arial" w:hAnsi="Arial"/>
                <w:b w:val="0"/>
                <w:sz w:val="20"/>
              </w:rPr>
              <w:t xml:space="preserve">0,02448</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Operários</w:t>
            </w:r>
          </w:p>
        </w:tc>
        <w:tc>
          <w:tcPr>
            <w:tcW w:type="dxa" w:w="1602"/>
            <w:vAlign w:val="top"/>
          </w:tcPr>
          <w:p>
            <w:pPr>
              <w:pStyle w:val="Compact"/>
              <w:keepNext/>
              <w:spacing w:line="240" w:lineRule="auto" w:after="80"/>
              <w:ind w:firstLine="0"/>
              <w:jc w:val="right"/>
            </w:pPr>
            <w:r>
              <w:rPr>
                <w:rFonts w:ascii="Arial" w:hAnsi="Arial"/>
                <w:b w:val="0"/>
                <w:sz w:val="20"/>
              </w:rPr>
              <w:t xml:space="preserve">0,00109</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c>
          <w:tcPr>
            <w:tcW w:type="dxa" w:w="1602"/>
            <w:vAlign w:val="top"/>
          </w:tcPr>
          <w:p>
            <w:pPr>
              <w:pStyle w:val="Compact"/>
              <w:keepNext/>
              <w:spacing w:line="240" w:lineRule="auto" w:after="80"/>
              <w:ind w:firstLine="0"/>
              <w:jc w:val="right"/>
            </w:pPr>
            <w:r>
              <w:rPr>
                <w:rFonts w:ascii="Arial" w:hAnsi="Arial"/>
                <w:b w:val="0"/>
                <w:sz w:val="20"/>
              </w:rPr>
              <w:t xml:space="preserve">0,02231</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 Máquinas</w:t>
            </w:r>
          </w:p>
        </w:tc>
        <w:tc>
          <w:tcPr>
            <w:tcW w:type="dxa" w:w="1602"/>
            <w:vAlign w:val="top"/>
          </w:tcPr>
          <w:p>
            <w:pPr>
              <w:pStyle w:val="Compact"/>
              <w:keepNext/>
              <w:spacing w:line="240" w:lineRule="auto" w:after="80"/>
              <w:ind w:firstLine="0"/>
              <w:jc w:val="right"/>
            </w:pPr>
            <w:r>
              <w:rPr>
                <w:rFonts w:ascii="Arial" w:hAnsi="Arial"/>
                <w:b w:val="0"/>
                <w:sz w:val="20"/>
              </w:rPr>
              <w:t xml:space="preserve">0,00258</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c>
          <w:tcPr>
            <w:tcW w:type="dxa" w:w="1602"/>
            <w:vAlign w:val="top"/>
          </w:tcPr>
          <w:p>
            <w:pPr>
              <w:pStyle w:val="Compact"/>
              <w:keepNext/>
              <w:spacing w:line="240" w:lineRule="auto" w:after="80"/>
              <w:ind w:firstLine="0"/>
              <w:jc w:val="right"/>
            </w:pPr>
            <w:r>
              <w:rPr>
                <w:rFonts w:ascii="Arial" w:hAnsi="Arial"/>
                <w:b w:val="0"/>
                <w:sz w:val="20"/>
              </w:rPr>
              <w:t xml:space="preserve">0,02144</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UPA</w:t>
            </w:r>
          </w:p>
        </w:tc>
        <w:tc>
          <w:tcPr>
            <w:tcW w:type="dxa" w:w="1602"/>
            <w:vAlign w:val="top"/>
          </w:tcPr>
          <w:p>
            <w:pPr>
              <w:pStyle w:val="Compact"/>
              <w:keepNext/>
              <w:spacing w:line="240" w:lineRule="auto" w:after="80"/>
              <w:ind w:firstLine="0"/>
              <w:jc w:val="right"/>
            </w:pPr>
            <w:r>
              <w:rPr>
                <w:rFonts w:ascii="Arial" w:hAnsi="Arial"/>
                <w:b w:val="0"/>
                <w:sz w:val="20"/>
              </w:rPr>
              <w:t xml:space="preserve">0,00033</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c>
          <w:tcPr>
            <w:tcW w:type="dxa" w:w="1602"/>
            <w:vAlign w:val="top"/>
          </w:tcPr>
          <w:p>
            <w:pPr>
              <w:pStyle w:val="Compact"/>
              <w:keepNext/>
              <w:spacing w:line="240" w:lineRule="auto" w:after="80"/>
              <w:ind w:firstLine="0"/>
              <w:jc w:val="right"/>
            </w:pPr>
            <w:r>
              <w:rPr>
                <w:rFonts w:ascii="Arial" w:hAnsi="Arial"/>
                <w:b w:val="0"/>
                <w:sz w:val="20"/>
              </w:rPr>
              <w:t xml:space="preserve">0,01753</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pós-graduação</w:t>
            </w:r>
          </w:p>
        </w:tc>
        <w:tc>
          <w:tcPr>
            <w:tcW w:type="dxa" w:w="1602"/>
            <w:vAlign w:val="top"/>
          </w:tcPr>
          <w:p>
            <w:pPr>
              <w:pStyle w:val="Compact"/>
              <w:keepNext/>
              <w:spacing w:line="240" w:lineRule="auto" w:after="80"/>
              <w:ind w:firstLine="0"/>
              <w:jc w:val="right"/>
            </w:pPr>
            <w:r>
              <w:rPr>
                <w:rFonts w:ascii="Arial" w:hAnsi="Arial"/>
                <w:b w:val="0"/>
                <w:sz w:val="20"/>
              </w:rPr>
              <w:t xml:space="preserve">0,01489</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c>
          <w:tcPr>
            <w:tcW w:type="dxa" w:w="1602"/>
            <w:vAlign w:val="top"/>
          </w:tcPr>
          <w:p>
            <w:pPr>
              <w:pStyle w:val="Compact"/>
              <w:keepNext/>
              <w:spacing w:line="240" w:lineRule="auto" w:after="80"/>
              <w:ind w:firstLine="0"/>
              <w:jc w:val="right"/>
            </w:pPr>
            <w:r>
              <w:rPr>
                <w:rFonts w:ascii="Arial" w:hAnsi="Arial"/>
                <w:b w:val="0"/>
                <w:sz w:val="20"/>
              </w:rPr>
              <w:t xml:space="preserve">0,01690</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Trabalho doméstico</w:t>
            </w:r>
          </w:p>
        </w:tc>
        <w:tc>
          <w:tcPr>
            <w:tcW w:type="dxa" w:w="1602"/>
            <w:vAlign w:val="top"/>
          </w:tcPr>
          <w:p>
            <w:pPr>
              <w:pStyle w:val="Compact"/>
              <w:keepNext/>
              <w:spacing w:line="240" w:lineRule="auto" w:after="80"/>
              <w:ind w:firstLine="0"/>
              <w:jc w:val="right"/>
            </w:pPr>
            <w:r>
              <w:rPr>
                <w:rFonts w:ascii="Arial" w:hAnsi="Arial"/>
                <w:b w:val="0"/>
                <w:sz w:val="20"/>
              </w:rPr>
              <w:t xml:space="preserve">0,00549</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c>
          <w:tcPr>
            <w:tcW w:type="dxa" w:w="1602"/>
            <w:vAlign w:val="top"/>
          </w:tcPr>
          <w:p>
            <w:pPr>
              <w:pStyle w:val="Compact"/>
              <w:keepNext/>
              <w:spacing w:line="240" w:lineRule="auto" w:after="80"/>
              <w:ind w:firstLine="0"/>
              <w:jc w:val="right"/>
            </w:pPr>
            <w:r>
              <w:rPr>
                <w:rFonts w:ascii="Arial" w:hAnsi="Arial"/>
                <w:b w:val="0"/>
                <w:sz w:val="20"/>
              </w:rPr>
              <w:t xml:space="preserve">0,01658</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no Estado</w:t>
            </w:r>
          </w:p>
        </w:tc>
        <w:tc>
          <w:tcPr>
            <w:tcW w:type="dxa" w:w="1602"/>
            <w:vAlign w:val="top"/>
          </w:tcPr>
          <w:p>
            <w:pPr>
              <w:pStyle w:val="Compact"/>
              <w:keepNext/>
              <w:spacing w:line="240" w:lineRule="auto" w:after="80"/>
              <w:ind w:firstLine="0"/>
              <w:jc w:val="right"/>
            </w:pPr>
            <w:r>
              <w:rPr>
                <w:rFonts w:ascii="Arial" w:hAnsi="Arial"/>
                <w:b w:val="0"/>
                <w:sz w:val="20"/>
              </w:rPr>
              <w:t xml:space="preserve">0,00038</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c>
          <w:tcPr>
            <w:tcW w:type="dxa" w:w="1602"/>
            <w:vAlign w:val="top"/>
          </w:tcPr>
          <w:p>
            <w:pPr>
              <w:pStyle w:val="Compact"/>
              <w:keepNext/>
              <w:spacing w:line="240" w:lineRule="auto" w:after="80"/>
              <w:ind w:firstLine="0"/>
              <w:jc w:val="right"/>
            </w:pPr>
            <w:r>
              <w:rPr>
                <w:rFonts w:ascii="Arial" w:hAnsi="Arial"/>
                <w:b w:val="0"/>
                <w:sz w:val="20"/>
              </w:rPr>
              <w:t xml:space="preserve">0,01634</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Agropecuária</w:t>
            </w:r>
          </w:p>
        </w:tc>
        <w:tc>
          <w:tcPr>
            <w:tcW w:type="dxa" w:w="1602"/>
            <w:vAlign w:val="top"/>
          </w:tcPr>
          <w:p>
            <w:pPr>
              <w:pStyle w:val="Compact"/>
              <w:keepNext/>
              <w:spacing w:line="240" w:lineRule="auto" w:after="80"/>
              <w:ind w:firstLine="0"/>
              <w:jc w:val="right"/>
            </w:pPr>
            <w:r>
              <w:rPr>
                <w:rFonts w:ascii="Arial" w:hAnsi="Arial"/>
                <w:b w:val="0"/>
                <w:sz w:val="20"/>
              </w:rPr>
              <w:t xml:space="preserve">0,00070</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c>
          <w:tcPr>
            <w:tcW w:type="dxa" w:w="1602"/>
            <w:vAlign w:val="top"/>
          </w:tcPr>
          <w:p>
            <w:pPr>
              <w:pStyle w:val="Compact"/>
              <w:keepNext/>
              <w:spacing w:line="240" w:lineRule="auto" w:after="80"/>
              <w:ind w:firstLine="0"/>
              <w:jc w:val="right"/>
            </w:pPr>
            <w:r>
              <w:rPr>
                <w:rFonts w:ascii="Arial" w:hAnsi="Arial"/>
                <w:b w:val="0"/>
                <w:sz w:val="20"/>
              </w:rPr>
              <w:t xml:space="preserve">0,01471</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 Negro no Estado</w:t>
            </w:r>
          </w:p>
        </w:tc>
        <w:tc>
          <w:tcPr>
            <w:tcW w:type="dxa" w:w="1602"/>
            <w:vAlign w:val="top"/>
          </w:tcPr>
          <w:p>
            <w:pPr>
              <w:pStyle w:val="Compact"/>
              <w:keepNext/>
              <w:spacing w:line="240" w:lineRule="auto" w:after="80"/>
              <w:ind w:firstLine="0"/>
              <w:jc w:val="right"/>
            </w:pPr>
            <w:r>
              <w:rPr>
                <w:rFonts w:ascii="Arial" w:hAnsi="Arial"/>
                <w:b w:val="0"/>
                <w:sz w:val="20"/>
              </w:rPr>
              <w:t xml:space="preserve">0,00449</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c>
          <w:tcPr>
            <w:tcW w:type="dxa" w:w="1602"/>
            <w:vAlign w:val="top"/>
          </w:tcPr>
          <w:p>
            <w:pPr>
              <w:pStyle w:val="Compact"/>
              <w:keepNext/>
              <w:spacing w:line="240" w:lineRule="auto" w:after="80"/>
              <w:ind w:firstLine="0"/>
              <w:jc w:val="right"/>
            </w:pPr>
            <w:r>
              <w:rPr>
                <w:rFonts w:ascii="Arial" w:hAnsi="Arial"/>
                <w:b w:val="0"/>
                <w:sz w:val="20"/>
              </w:rPr>
              <w:t xml:space="preserve">0,01316</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Idade² (experiência)</w:t>
            </w:r>
          </w:p>
        </w:tc>
        <w:tc>
          <w:tcPr>
            <w:tcW w:type="dxa" w:w="1602"/>
            <w:vAlign w:val="top"/>
          </w:tcPr>
          <w:p>
            <w:pPr>
              <w:pStyle w:val="Compact"/>
              <w:keepNext/>
              <w:spacing w:line="240" w:lineRule="auto" w:after="80"/>
              <w:ind w:firstLine="0"/>
              <w:jc w:val="right"/>
            </w:pPr>
            <w:r>
              <w:rPr>
                <w:rFonts w:ascii="Arial" w:hAnsi="Arial"/>
                <w:b w:val="0"/>
                <w:sz w:val="20"/>
              </w:rPr>
              <w:t xml:space="preserve">0,00657</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c>
          <w:tcPr>
            <w:tcW w:type="dxa" w:w="1602"/>
            <w:vAlign w:val="top"/>
          </w:tcPr>
          <w:p>
            <w:pPr>
              <w:pStyle w:val="Compact"/>
              <w:keepNext/>
              <w:spacing w:line="240" w:lineRule="auto" w:after="80"/>
              <w:ind w:firstLine="0"/>
              <w:jc w:val="right"/>
            </w:pPr>
            <w:r>
              <w:rPr>
                <w:rFonts w:ascii="Arial" w:hAnsi="Arial"/>
                <w:b w:val="0"/>
                <w:sz w:val="20"/>
              </w:rPr>
              <w:t xml:space="preserve">0,01274</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Administrativo</w:t>
            </w:r>
          </w:p>
        </w:tc>
        <w:tc>
          <w:tcPr>
            <w:tcW w:type="dxa" w:w="1602"/>
            <w:vAlign w:val="top"/>
          </w:tcPr>
          <w:p>
            <w:pPr>
              <w:pStyle w:val="Compact"/>
              <w:keepNext/>
              <w:spacing w:line="240" w:lineRule="auto" w:after="80"/>
              <w:ind w:firstLine="0"/>
              <w:jc w:val="right"/>
            </w:pPr>
            <w:r>
              <w:rPr>
                <w:rFonts w:ascii="Arial" w:hAnsi="Arial"/>
                <w:b w:val="0"/>
                <w:sz w:val="20"/>
              </w:rPr>
              <w:t xml:space="preserve">0,00348</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c>
          <w:tcPr>
            <w:tcW w:type="dxa" w:w="1602"/>
            <w:vAlign w:val="top"/>
          </w:tcPr>
          <w:p>
            <w:pPr>
              <w:pStyle w:val="Compact"/>
              <w:keepNext/>
              <w:spacing w:line="240" w:lineRule="auto" w:after="80"/>
              <w:ind w:firstLine="0"/>
              <w:jc w:val="right"/>
            </w:pPr>
            <w:r>
              <w:rPr>
                <w:rFonts w:ascii="Arial" w:hAnsi="Arial"/>
                <w:b w:val="0"/>
                <w:sz w:val="20"/>
              </w:rPr>
              <w:t xml:space="preserve">0,01216</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FFAA/Polícia</w:t>
            </w:r>
          </w:p>
        </w:tc>
        <w:tc>
          <w:tcPr>
            <w:tcW w:type="dxa" w:w="1602"/>
            <w:vAlign w:val="top"/>
          </w:tcPr>
          <w:p>
            <w:pPr>
              <w:pStyle w:val="Compact"/>
              <w:keepNext/>
              <w:spacing w:line="240" w:lineRule="auto" w:after="80"/>
              <w:ind w:firstLine="0"/>
              <w:jc w:val="right"/>
            </w:pPr>
            <w:r>
              <w:rPr>
                <w:rFonts w:ascii="Arial" w:hAnsi="Arial"/>
                <w:b w:val="0"/>
                <w:sz w:val="20"/>
              </w:rPr>
              <w:t xml:space="preserve">0,00803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c>
          <w:tcPr>
            <w:tcW w:type="dxa" w:w="1602"/>
            <w:vAlign w:val="top"/>
          </w:tcPr>
          <w:p>
            <w:pPr>
              <w:pStyle w:val="Compact"/>
              <w:keepNext/>
              <w:spacing w:line="240" w:lineRule="auto" w:after="80"/>
              <w:ind w:firstLine="0"/>
              <w:jc w:val="right"/>
            </w:pPr>
            <w:r>
              <w:rPr>
                <w:rFonts w:ascii="Arial" w:hAnsi="Arial"/>
                <w:b w:val="0"/>
                <w:sz w:val="20"/>
              </w:rPr>
              <w:t xml:space="preserve">0,01121</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na UPA</w:t>
            </w:r>
          </w:p>
        </w:tc>
        <w:tc>
          <w:tcPr>
            <w:tcW w:type="dxa" w:w="1602"/>
            <w:vAlign w:val="top"/>
          </w:tcPr>
          <w:p>
            <w:pPr>
              <w:pStyle w:val="Compact"/>
              <w:keepNext/>
              <w:spacing w:line="240" w:lineRule="auto" w:after="80"/>
              <w:ind w:firstLine="0"/>
              <w:jc w:val="right"/>
            </w:pPr>
            <w:r>
              <w:rPr>
                <w:rFonts w:ascii="Arial" w:hAnsi="Arial"/>
                <w:b w:val="0"/>
                <w:sz w:val="20"/>
              </w:rPr>
              <w:t xml:space="preserve">0,00013</w:t>
            </w:r>
          </w:p>
        </w:tc>
        <w:tc>
          <w:tcPr>
            <w:tcW w:type="dxa" w:w="915"/>
            <w:vAlign w:val="top"/>
          </w:tcPr>
          <w:p>
            <w:pPr>
              <w:pStyle w:val="Compact"/>
              <w:keepNext/>
              <w:spacing w:line="240" w:lineRule="auto" w:after="80"/>
              <w:ind w:firstLine="0"/>
              <w:jc w:val="right"/>
            </w:pPr>
            <w:r>
              <w:rPr>
                <w:rFonts w:ascii="Arial" w:hAnsi="Arial"/>
                <w:b w:val="0"/>
                <w:sz w:val="20"/>
              </w:rPr>
              <w:t xml:space="preserve">28</w:t>
            </w:r>
          </w:p>
        </w:tc>
        <w:tc>
          <w:tcPr>
            <w:tcW w:type="dxa" w:w="1602"/>
            <w:vAlign w:val="top"/>
          </w:tcPr>
          <w:p>
            <w:pPr>
              <w:pStyle w:val="Compact"/>
              <w:keepNext/>
              <w:spacing w:line="240" w:lineRule="auto" w:after="80"/>
              <w:ind w:firstLine="0"/>
              <w:jc w:val="right"/>
            </w:pPr>
            <w:r>
              <w:rPr>
                <w:rFonts w:ascii="Arial" w:hAnsi="Arial"/>
                <w:b w:val="0"/>
                <w:sz w:val="20"/>
              </w:rPr>
              <w:t xml:space="preserve">0,00787</w:t>
            </w:r>
          </w:p>
        </w:tc>
        <w:tc>
          <w:tcPr>
            <w:tcW w:type="dxa" w:w="915"/>
            <w:vAlign w:val="top"/>
          </w:tcPr>
          <w:p>
            <w:pPr>
              <w:pStyle w:val="Compact"/>
              <w:keepNext/>
              <w:spacing w:line="240" w:lineRule="auto" w:after="8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0,00023</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27</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0,00731</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28</w:t>
            </w:r>
          </w:p>
        </w:tc>
      </w:tr>
    </w:tbl>
    <w:bookmarkEnd w:id="10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w:t>
      </w:r>
      <w:r>
        <w:rPr>
          <w:rFonts w:ascii="Arial" w:hAnsi="Arial"/>
          <w:sz w:val="22"/>
        </w:rPr>
        <w:t xml:space="preserve">. </w:t>
      </w:r>
      <w:r>
        <w:rPr>
          <w:rFonts w:ascii="Arial" w:hAnsi="Arial"/>
          <w:sz w:val="22"/>
        </w:rPr>
        <w:t>Como ler a Tabela 16: variáveis ordenadas pela importância média (</w:t>
      </w:r>
      <m:oMath>
        <m:r>
          <m:rPr>
            <m:sty m:val="p"/>
          </m:rPr>
          <m:t>|</m:t>
        </m:r>
        <m:r>
          <m:rPr>
            <m:nor/>
            <m:sty m:val="p"/>
          </m:rPr>
          <m:t>SHAP</m:t>
        </m:r>
        <m:r>
          <m:rPr>
            <m:sty m:val="p"/>
          </m:rPr>
          <m:t>|</m:t>
        </m:r>
      </m:oMath>
      <w:r>
        <w:rPr>
          <w:rFonts w:ascii="Arial" w:hAnsi="Arial"/>
          <w:sz w:val="22"/>
        </w:rPr>
        <w:t>); valores maiores = maior peso na previsão da renda</w:t>
      </w:r>
    </w:p>
    <w:bookmarkStart w:id="106" w:name="fig:shap"/>
    <w:p>
      <w:pPr>
        <w:pStyle w:val="CaptionedFigure"/>
        <w:keepNext/>
        <w:keepLines/>
      </w:pPr>
      <w:r>
        <w:rPr>
          <w:rFonts w:ascii="Arial" w:hAnsi="Arial"/>
          <w:sz w:val="22"/>
        </w:rPr>
        <w:drawing>
          <wp:inline>
            <wp:extent cx="5292852" cy="3863861"/>
            <wp:effectExtent b="0" l="0" r="0" t="0"/>
            <wp:docPr descr="" title="" id="104" name="Picture"/>
            <a:graphic>
              <a:graphicData uri="http://schemas.openxmlformats.org/drawingml/2006/picture">
                <pic:pic>
                  <pic:nvPicPr>
                    <pic:cNvPr descr="outputs/figures/shap_beeswarm_xgb_tcc.png" id="105" name="Picture"/>
                    <pic:cNvPicPr>
                      <a:picLocks noChangeArrowheads="1" noChangeAspect="1"/>
                    </pic:cNvPicPr>
                  </pic:nvPicPr>
                  <pic:blipFill>
                    <a:blip r:embed="rId103"/>
                    <a:stretch>
                      <a:fillRect/>
                    </a:stretch>
                  </pic:blipFill>
                  <pic:spPr bwMode="auto">
                    <a:xfrm>
                      <a:off x="0" y="0"/>
                      <a:ext cx="5292852" cy="386386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Figura 8.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Nota: Como ler a Figura 8: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16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07"/>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08"/>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16</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9 ilustra como a previsão de dois casos individuais é composta.</w:t>
      </w:r>
    </w:p>
    <w:bookmarkStart w:id="112" w:name="fig:shap_wf"/>
    <w:p>
      <w:pPr>
        <w:pStyle w:val="CaptionedFigure"/>
        <w:keepNext/>
        <w:keepLines/>
      </w:pPr>
      <w:r>
        <w:rPr>
          <w:rFonts w:ascii="Arial" w:hAnsi="Arial"/>
          <w:sz w:val="22"/>
        </w:rPr>
        <w:drawing>
          <wp:inline>
            <wp:extent cx="3566922" cy="6538900"/>
            <wp:effectExtent b="0" l="0" r="0" t="0"/>
            <wp:docPr descr="" title="" id="110" name="Picture"/>
            <a:graphic>
              <a:graphicData uri="http://schemas.openxmlformats.org/drawingml/2006/picture">
                <pic:pic>
                  <pic:nvPicPr>
                    <pic:cNvPr descr="outputs/figures/shap_waterfall_AB_xgb.png" id="111" name="Picture"/>
                    <pic:cNvPicPr>
                      <a:picLocks noChangeArrowheads="1" noChangeAspect="1"/>
                    </pic:cNvPicPr>
                  </pic:nvPicPr>
                  <pic:blipFill>
                    <a:blip r:embed="rId109"/>
                    <a:stretch>
                      <a:fillRect/>
                    </a:stretch>
                  </pic:blipFill>
                  <pic:spPr bwMode="auto">
                    <a:xfrm>
                      <a:off x="0" y="0"/>
                      <a:ext cx="3566922" cy="6538900"/>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 painel A é o trabalhador branco, e o B, o</w:t>
      </w:r>
      <w:r>
        <w:rPr>
          <w:rFonts w:ascii="Arial" w:hAnsi="Arial"/>
          <w:sz w:val="22"/>
        </w:rPr>
        <w:t xml:space="preserve"> </w:t>
      </w:r>
      <w:r>
        <w:rPr>
          <w:rFonts w:ascii="Arial" w:hAnsi="Arial"/>
          <w:sz w:val="22"/>
        </w:rPr>
        <w:t xml:space="preserve">negro.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bookmarkEnd w:id="112"/>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8, sobre os 50 mil casos</w:t>
      </w:r>
    </w:p>
    <w:bookmarkEnd w:id="113"/>
    <w:bookmarkStart w:id="116"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14" w:name="subsec:vif"/>
      <w:bookmarkEnd w:id="114"/>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15"/>
      </w:r>
      <w:r>
        <w:rPr>
          <w:rFonts w:ascii="Arial" w:hAnsi="Arial"/>
          <w:sz w:val="22"/>
        </w:rPr>
        <w:t xml:space="preserve"> </w:t>
      </w:r>
      <w:r>
        <w:rPr>
          <w:rFonts w:ascii="Arial" w:hAnsi="Arial"/>
          <w:sz w:val="22"/>
        </w:rPr>
        <w:t>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16"/>
    <w:bookmarkStart w:id="124"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a decomposição de dotações,</w:t>
      </w:r>
      <w:r>
        <w:rPr>
          <w:rFonts w:ascii="Arial" w:hAnsi="Arial"/>
          <w:sz w:val="22"/>
        </w:rPr>
        <w:t xml:space="preserve"> </w:t>
      </w:r>
      <w:r>
        <w:rPr>
          <w:rFonts w:ascii="Arial" w:hAnsi="Arial"/>
          <w:sz w:val="22"/>
        </w:rPr>
        <w:t xml:space="preserve">“de que ele é feito”</w:t>
      </w:r>
      <w:r>
        <w:rPr>
          <w:rFonts w:ascii="Arial" w:hAnsi="Arial"/>
          <w:sz w:val="22"/>
        </w:rPr>
        <w:t>;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17"/>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18"/>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1% na pós-graduação (Figura 10); a desvantagem de acesso, não: com superior completo, as chances de um trabalhador negro chegar a um cargo qualificado seguem 18% menores que as de um branco de mesmo perfil e bairro, e com pós-graduação, 23% menores (GLMM, degrau A4, Tabela 8).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bookmarkStart w:id="122" w:name="fig:hlm_negro_educ"/>
    <w:p>
      <w:pPr>
        <w:pStyle w:val="CaptionedFigure"/>
        <w:keepNext/>
        <w:keepLines/>
      </w:pPr>
      <w:r>
        <w:rPr>
          <w:rFonts w:ascii="Arial" w:hAnsi="Arial"/>
          <w:sz w:val="22"/>
        </w:rPr>
        <w:drawing>
          <wp:inline>
            <wp:extent cx="5177790" cy="3034954"/>
            <wp:effectExtent b="0" l="0" r="0" t="0"/>
            <wp:docPr descr="" title="" id="120" name="Picture"/>
            <a:graphic>
              <a:graphicData uri="http://schemas.openxmlformats.org/drawingml/2006/picture">
                <pic:pic>
                  <pic:nvPicPr>
                    <pic:cNvPr descr="outputs/figures/hlm_negro_por_educ_retas.png" id="121" name="Picture"/>
                    <pic:cNvPicPr>
                      <a:picLocks noChangeArrowheads="1" noChangeAspect="1"/>
                    </pic:cNvPicPr>
                  </pic:nvPicPr>
                  <pic:blipFill>
                    <a:blip r:embed="rId119"/>
                    <a:stretch>
                      <a:fillRect/>
                    </a:stretch>
                  </pic:blipFill>
                  <pic:spPr bwMode="auto">
                    <a:xfrm>
                      <a:off x="0" y="0"/>
                      <a:ext cx="5177790" cy="3034954"/>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10.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122"/>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10: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3"/>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2023c)</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2023a)</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os ocupados incluem coortes anteriores a 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2023b)</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(Marques, 2010; Wilson, 1987; Sampson et al., 1997)</w:t>
      </w:r>
      <w:r>
        <w:rPr>
          <w:rFonts w:ascii="Arial" w:hAnsi="Arial"/>
          <w:sz w:val="22"/>
        </w:rPr>
        <w:t xml:space="preserve"> </w:t>
      </w:r>
      <w:r>
        <w:rPr>
          <w:rFonts w:ascii="Arial" w:hAnsi="Arial"/>
          <w:sz w:val="22"/>
        </w:rPr>
        <w:t>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4"/>
    <w:bookmarkStart w:id="125"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5"/>
    <w:bookmarkStart w:id="126"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6"/>
    <w:bookmarkEnd w:id="127"/>
    <w:bookmarkStart w:id="128"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28"/>
    <w:bookmarkStart w:id="177" w:name="referências"/>
    <w:p>
      <w:pPr>
        <w:pStyle w:val="Heading1"/>
        <w:spacing w:line="360" w:lineRule="auto" w:before="280" w:after="280"/>
        <w:ind w:firstLine="0" w:left="0"/>
        <w:jc w:val="left"/>
      </w:pPr>
      <w:r>
        <w:rPr>
          <w:rFonts w:ascii="Arial" w:hAnsi="Arial"/>
          <w:b/>
          <w:sz w:val="22"/>
        </w:rPr>
        <w:t xml:space="preserve">Referências</w:t>
      </w:r>
    </w:p>
    <w:bookmarkStart w:id="176" w:name="refs"/>
    <w:bookmarkStart w:id="129" w:name="ref-alencar2026a"/>
    <w:p>
      <w:pPr>
        <w:pStyle w:val="Bibliography"/>
        <w:spacing w:line="240" w:lineRule="auto" w:before="0" w:after="120"/>
        <w:ind w:firstLine="0" w:left="0"/>
        <w:jc w:val="left"/>
      </w:pPr>
      <w:r>
        <w:rPr>
          <w:rFonts w:ascii="Arial" w:hAnsi="Arial"/>
          <w:sz w:val="22"/>
        </w:rPr>
        <w:t xml:space="preserve">Alencar, V. 2026a. Árvores, Redes e Ensembles</w:t>
      </w:r>
      <w:r>
        <w:rPr>
          <w:rFonts w:ascii="Arial" w:hAnsi="Arial"/>
          <w:sz w:val="22"/>
        </w:rPr>
        <w:t xml:space="preserve"> </w:t>
      </w:r>
      <w:r>
        <w:rPr>
          <w:rFonts w:ascii="Arial" w:hAnsi="Arial"/>
          <w:sz w:val="22"/>
        </w:rPr>
        <w:t xml:space="preserve">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29"/>
    <w:bookmarkStart w:id="130" w:name="ref-alencar2026b"/>
    <w:p>
      <w:pPr>
        <w:pStyle w:val="Bibliography"/>
        <w:spacing w:line="240" w:lineRule="auto" w:before="0" w:after="120"/>
        <w:ind w:firstLine="0" w:left="0"/>
        <w:jc w:val="left"/>
      </w:pPr>
      <w:r>
        <w:rPr>
          <w:rFonts w:ascii="Arial" w:hAnsi="Arial"/>
          <w:sz w:val="22"/>
        </w:rPr>
        <w:t xml:space="preserve">Alencar, V. 2026b. Árvores, Redes e Ensembles</w:t>
      </w:r>
      <w:r>
        <w:rPr>
          <w:rFonts w:ascii="Arial" w:hAnsi="Arial"/>
          <w:sz w:val="22"/>
        </w:rPr>
        <w:t xml:space="preserve"> </w:t>
      </w:r>
      <w:r>
        <w:rPr>
          <w:rFonts w:ascii="Arial" w:hAnsi="Arial"/>
          <w:sz w:val="22"/>
        </w:rPr>
        <w:t xml:space="preserve">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0"/>
    <w:bookmarkStart w:id="131" w:name="ref-alencar2026c"/>
    <w:p>
      <w:pPr>
        <w:pStyle w:val="Bibliography"/>
        <w:spacing w:line="240" w:lineRule="auto" w:before="0" w:after="120"/>
        <w:ind w:firstLine="0" w:left="0"/>
        <w:jc w:val="left"/>
      </w:pPr>
      <w:r>
        <w:rPr>
          <w:rFonts w:ascii="Arial" w:hAnsi="Arial"/>
          <w:sz w:val="22"/>
        </w:rPr>
        <w:t xml:space="preserve">Alencar, V. 2026c. Árvores, Redes e Ensembles</w:t>
      </w:r>
      <w:r>
        <w:rPr>
          <w:rFonts w:ascii="Arial" w:hAnsi="Arial"/>
          <w:sz w:val="22"/>
        </w:rPr>
        <w:t xml:space="preserve"> </w:t>
      </w:r>
      <w:r>
        <w:rPr>
          <w:rFonts w:ascii="Arial" w:hAnsi="Arial"/>
          <w:sz w:val="22"/>
        </w:rPr>
        <w:t xml:space="preserve">III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1"/>
    <w:bookmarkStart w:id="132" w:name="ref-almeida2019"/>
    <w:p>
      <w:pPr>
        <w:pStyle w:val="Bibliography"/>
        <w:spacing w:line="240" w:lineRule="auto" w:before="0" w:after="120"/>
        <w:ind w:firstLine="0" w:left="0"/>
        <w:jc w:val="left"/>
      </w:pPr>
      <w:r>
        <w:rPr>
          <w:rFonts w:ascii="Arial" w:hAnsi="Arial"/>
          <w:sz w:val="22"/>
        </w:rPr>
        <w:t xml:space="preserve">Almeida, S.L. 2019. Racismo Estrutural. Janda</w:t>
      </w:r>
      <w:r>
        <w:rPr>
          <w:rFonts w:ascii="Arial" w:hAnsi="Arial"/>
          <w:sz w:val="22"/>
        </w:rPr>
        <w:t xml:space="preserve">í</w:t>
      </w:r>
      <w:r>
        <w:rPr>
          <w:rFonts w:ascii="Arial" w:hAnsi="Arial"/>
          <w:sz w:val="22"/>
        </w:rPr>
        <w:t xml:space="preserve">ra, S</w:t>
      </w:r>
      <w:r>
        <w:rPr>
          <w:rFonts w:ascii="Arial" w:hAnsi="Arial"/>
          <w:sz w:val="22"/>
        </w:rPr>
        <w:t xml:space="preserve">ã</w:t>
      </w:r>
      <w:r>
        <w:rPr>
          <w:rFonts w:ascii="Arial" w:hAnsi="Arial"/>
          <w:sz w:val="22"/>
        </w:rPr>
        <w:t xml:space="preserve">o Paulo, SP, Brasil.</w:t>
      </w:r>
    </w:p>
    <w:bookmarkEnd w:id="132"/>
    <w:bookmarkStart w:id="133" w:name="ref-angrist2009"/>
    <w:p>
      <w:pPr>
        <w:pStyle w:val="Bibliography"/>
        <w:spacing w:line="240" w:lineRule="auto" w:before="0" w:after="120"/>
        <w:ind w:firstLine="0" w:left="0"/>
        <w:jc w:val="left"/>
      </w:pPr>
      <w:r>
        <w:rPr>
          <w:rFonts w:ascii="Arial" w:hAnsi="Arial"/>
          <w:sz w:val="22"/>
        </w:rPr>
        <w:t>Angrist, J.D.; Pischke, J.-S. 2009. Mostly Harmless Econometrics: An empiricist’s companion. Princeton University Press, Princeton, NJ, EUA.</w:t>
      </w:r>
    </w:p>
    <w:bookmarkEnd w:id="133"/>
    <w:bookmarkStart w:id="134" w:name="ref-arrow1973"/>
    <w:p>
      <w:pPr>
        <w:pStyle w:val="Bibliography"/>
        <w:spacing w:line="240" w:lineRule="auto" w:before="0" w:after="120"/>
        <w:ind w:firstLine="0" w:left="0"/>
        <w:jc w:val="left"/>
      </w:pPr>
      <w:r>
        <w:rPr>
          <w:rFonts w:ascii="Arial" w:hAnsi="Arial"/>
          <w:sz w:val="22"/>
        </w:rPr>
        <w:t>Arrow, K.J. 1973. The theory of discrimination. p. 3-33. In: Ashenfelter, O.; Rees, A. Discrimination in Labor Markets. Princeton University Press, Princeton, NJ, EUA.</w:t>
      </w:r>
    </w:p>
    <w:bookmarkEnd w:id="134"/>
    <w:bookmarkStart w:id="135" w:name="ref-becker1957"/>
    <w:p>
      <w:pPr>
        <w:pStyle w:val="Bibliography"/>
        <w:spacing w:line="240" w:lineRule="auto" w:before="0" w:after="120"/>
        <w:ind w:firstLine="0" w:left="0"/>
        <w:jc w:val="left"/>
      </w:pPr>
      <w:r>
        <w:rPr>
          <w:rFonts w:ascii="Arial" w:hAnsi="Arial"/>
          <w:sz w:val="22"/>
        </w:rPr>
        <w:t xml:space="preserve">Becker, G.S. 1957. The Economics of Discrimination. University of Chicago Press, Chicago, IL, EUA.</w:t>
      </w:r>
    </w:p>
    <w:bookmarkEnd w:id="135"/>
    <w:bookmarkStart w:id="136" w:name="ref-bickel2008"/>
    <w:p>
      <w:pPr>
        <w:pStyle w:val="Bibliography"/>
        <w:spacing w:line="240" w:lineRule="auto" w:before="0" w:after="120"/>
        <w:ind w:firstLine="0" w:left="0"/>
        <w:jc w:val="left"/>
      </w:pPr>
      <w:r>
        <w:rPr>
          <w:rFonts w:ascii="Arial" w:hAnsi="Arial"/>
          <w:sz w:val="22"/>
        </w:rPr>
        <w:t>Bickel, P.J.; Sakov, A. 2008. On the choice of m in the m out of n bootstrap and confidence bounds for extrema. Statistica Sinica 18(3): 967-985.</w:t>
      </w:r>
    </w:p>
    <w:bookmarkEnd w:id="136"/>
    <w:bookmarkStart w:id="137" w:name="ref-blinder1973"/>
    <w:p>
      <w:pPr>
        <w:pStyle w:val="Bibliography"/>
        <w:spacing w:line="240" w:lineRule="auto" w:before="0" w:after="120"/>
        <w:ind w:firstLine="0" w:left="0"/>
        <w:jc w:val="left"/>
      </w:pPr>
      <w:r>
        <w:rPr>
          <w:rFonts w:ascii="Arial" w:hAnsi="Arial"/>
          <w:sz w:val="22"/>
        </w:rPr>
        <w:t>Blinder, A.S. 1973. Wage discrimination: reduced form and structural estimates. Journal of Human Resources 8(4): 436-455.</w:t>
      </w:r>
    </w:p>
    <w:bookmarkEnd w:id="137"/>
    <w:bookmarkStart w:id="138" w:name="ref-brasil1995lei9029"/>
    <w:p>
      <w:pPr>
        <w:pStyle w:val="Bibliography"/>
        <w:spacing w:line="240" w:lineRule="auto" w:before="0" w:after="120"/>
        <w:ind w:firstLine="0" w:left="0"/>
        <w:jc w:val="left"/>
      </w:pPr>
      <w:r>
        <w:rPr>
          <w:rFonts w:ascii="Arial" w:hAnsi="Arial"/>
          <w:sz w:val="22"/>
        </w:rPr>
        <w:t xml:space="preserve">Brasil. 1995. Lei n. 9.029, de 13 de abril de 1995. Proíbe a exigência de atestados de gravidez e esterilização, e outras práticas discriminatórias, para efeitos admissionais ou de permanência da relação jurídica de trabalho. Diário Oficial da União, Brasília, 17 abr. 1995. Seção 1, p. 5361.</w:t>
      </w:r>
    </w:p>
    <w:bookmarkEnd w:id="138"/>
    <w:bookmarkStart w:id="139" w:name="ref-brasil2010lei12288"/>
    <w:p>
      <w:pPr>
        <w:pStyle w:val="Bibliography"/>
        <w:spacing w:line="240" w:lineRule="auto" w:before="0" w:after="120"/>
        <w:ind w:firstLine="0" w:left="0"/>
        <w:jc w:val="left"/>
      </w:pPr>
      <w:r>
        <w:rPr>
          <w:rFonts w:ascii="Arial" w:hAnsi="Arial"/>
          <w:sz w:val="22"/>
        </w:rPr>
        <w:t xml:space="preserve">Brasil. 2010. Lei n. 12.288, de 20 de julho de 2010. Institui o Estatuto da Igualdade Racial. Diário Oficial da União, Brasília, 21 jul. 2010. Seção 1, p. 1.</w:t>
      </w:r>
    </w:p>
    <w:bookmarkEnd w:id="139"/>
    <w:bookmarkStart w:id="140" w:name="ref-brasil2012lei12711"/>
    <w:p>
      <w:pPr>
        <w:pStyle w:val="Bibliography"/>
        <w:spacing w:line="240" w:lineRule="auto" w:before="0" w:after="120"/>
        <w:ind w:firstLine="0" w:left="0"/>
        <w:jc w:val="left"/>
      </w:pPr>
      <w:r>
        <w:rPr>
          <w:rFonts w:ascii="Arial" w:hAnsi="Arial"/>
          <w:sz w:val="22"/>
        </w:rPr>
        <w:t xml:space="preserve">Brasil. 2012. Lei n. 12.711, de 29 de agosto de 2012. Dispõe sobre o ingresso nas universidades federais e nas instituições federais de ensino técnico de nível médio. Diário Oficial da União, Brasília, 30 ago. 2012. Seção 1, p. 1.</w:t>
      </w:r>
    </w:p>
    <w:bookmarkEnd w:id="140"/>
    <w:bookmarkStart w:id="141" w:name="ref-brasil2014lei12990"/>
    <w:p>
      <w:pPr>
        <w:pStyle w:val="Bibliography"/>
        <w:spacing w:line="240" w:lineRule="auto" w:before="0" w:after="120"/>
        <w:ind w:firstLine="0" w:left="0"/>
        <w:jc w:val="left"/>
      </w:pPr>
      <w:r>
        <w:rPr>
          <w:rFonts w:ascii="Arial" w:hAnsi="Arial"/>
          <w:sz w:val="22"/>
        </w:rPr>
        <w:t xml:space="preserve">Brasil. 2014. 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 Diário Oficial da União, Brasília, 10 jun. 2014. Seção 1, p. 3.</w:t>
      </w:r>
    </w:p>
    <w:bookmarkEnd w:id="141"/>
    <w:bookmarkStart w:id="142" w:name="ref-brasil2023decreto11443"/>
    <w:p>
      <w:pPr>
        <w:pStyle w:val="Bibliography"/>
        <w:spacing w:line="240" w:lineRule="auto" w:before="0" w:after="120"/>
        <w:ind w:firstLine="0" w:left="0"/>
        <w:jc w:val="left"/>
      </w:pPr>
      <w:r>
        <w:rPr>
          <w:rFonts w:ascii="Arial" w:hAnsi="Arial"/>
          <w:sz w:val="22"/>
        </w:rPr>
        <w:t xml:space="preserve">Brasil. 2023a. Decreto n. 11.443, de 21 de março de 2023. Dispõe sobre o preenchimento por pessoas negras de percentual mínimo de cargos em comissão e funções de confiança no âmbito da administração pública federal. Diário Oficial da União, Brasília, 22 mar. 2023. Seção 1, p. 1.</w:t>
      </w:r>
    </w:p>
    <w:bookmarkEnd w:id="142"/>
    <w:bookmarkStart w:id="143" w:name="ref-brasil2023lei14611"/>
    <w:p>
      <w:pPr>
        <w:pStyle w:val="Bibliography"/>
        <w:spacing w:line="240" w:lineRule="auto" w:before="0" w:after="120"/>
        <w:ind w:firstLine="0" w:left="0"/>
        <w:jc w:val="left"/>
      </w:pPr>
      <w:r>
        <w:rPr>
          <w:rFonts w:ascii="Arial" w:hAnsi="Arial"/>
          <w:sz w:val="22"/>
        </w:rPr>
        <w:t xml:space="preserve">Brasil. 2023b. Lei n. 14.611, de 3 de julho de 2023. Dispõe sobre a igualdade salarial e de critérios remuneratórios entre mulheres e homens. Diário Oficial da União, Brasília, 4 jul. 2023. Seção 1, p. 1.</w:t>
      </w:r>
    </w:p>
    <w:bookmarkEnd w:id="143"/>
    <w:bookmarkStart w:id="144" w:name="ref-brasil2023lei14723"/>
    <w:p>
      <w:pPr>
        <w:pStyle w:val="Bibliography"/>
        <w:spacing w:line="240" w:lineRule="auto" w:before="0" w:after="120"/>
        <w:ind w:firstLine="0" w:left="0"/>
        <w:jc w:val="left"/>
      </w:pPr>
      <w:r>
        <w:rPr>
          <w:rFonts w:ascii="Arial" w:hAnsi="Arial"/>
          <w:sz w:val="22"/>
        </w:rPr>
        <w:t xml:space="preserve">Brasil. 2023c. Lei n. 14.723, de 13 de novembro de 2023. Altera a Lei n. 12.711, de 29 de agosto de 2012, para dispor sobre o programa especial para o acesso às instituições federais de educação superior e de ensino técnico de nível médio. Diário Oficial da União, Brasília, 14 nov. 2023. Seção 1, p. 5.</w:t>
      </w:r>
    </w:p>
    <w:bookmarkEnd w:id="144"/>
    <w:bookmarkStart w:id="145" w:name="ref-brasil2025lei15142"/>
    <w:p>
      <w:pPr>
        <w:pStyle w:val="Bibliography"/>
        <w:spacing w:line="240" w:lineRule="auto" w:before="0" w:after="120"/>
        <w:ind w:firstLine="0" w:left="0"/>
        <w:jc w:val="left"/>
      </w:pPr>
      <w:r>
        <w:rPr>
          <w:rFonts w:ascii="Arial" w:hAnsi="Arial"/>
          <w:sz w:val="22"/>
        </w:rPr>
        <w:t xml:space="preserve">Brasil. 2025. Lei n. 15.142, de 3 de junho de 2025. Dispõe sobre a reserva às pessoas pretas e pardas, indígenas e quilombolas de vagas oferecidas em concursos públicos e em processos seletivos simplificados no âmbito da administração pública federal. Diário Oficial da União, Brasília, 4 jun. 2025. Seção 1, p. 1.</w:t>
      </w:r>
    </w:p>
    <w:bookmarkEnd w:id="145"/>
    <w:bookmarkStart w:id="146" w:name="ref-breiman2001"/>
    <w:p>
      <w:pPr>
        <w:pStyle w:val="Bibliography"/>
        <w:spacing w:line="240" w:lineRule="auto" w:before="0" w:after="120"/>
        <w:ind w:firstLine="0" w:left="0"/>
        <w:jc w:val="left"/>
      </w:pPr>
      <w:r>
        <w:rPr>
          <w:rFonts w:ascii="Arial" w:hAnsi="Arial"/>
          <w:sz w:val="22"/>
        </w:rPr>
        <w:t>Breiman, L. 2001. Random forests. Machine Learning 45(1): 5-32.</w:t>
      </w:r>
    </w:p>
    <w:bookmarkEnd w:id="146"/>
    <w:bookmarkStart w:id="147" w:name="ref-cameron2008"/>
    <w:p>
      <w:pPr>
        <w:pStyle w:val="Bibliography"/>
        <w:spacing w:line="240" w:lineRule="auto" w:before="0" w:after="120"/>
        <w:ind w:firstLine="0" w:left="0"/>
        <w:jc w:val="left"/>
      </w:pPr>
      <w:r>
        <w:rPr>
          <w:rFonts w:ascii="Arial" w:hAnsi="Arial"/>
          <w:sz w:val="22"/>
        </w:rPr>
        <w:t>Cameron, A.C.; Gelbach, J.B.; Miller, D.L. 2008. Bootstrap-based improvements for inference with clustered errors. The Review of Economics and Statistics 90(3): 414-427.</w:t>
      </w:r>
    </w:p>
    <w:bookmarkEnd w:id="147"/>
    <w:bookmarkStart w:id="148" w:name="ref-chen2016"/>
    <w:p>
      <w:pPr>
        <w:pStyle w:val="Bibliography"/>
        <w:spacing w:line="240" w:lineRule="auto" w:before="0" w:after="120"/>
        <w:ind w:firstLine="0" w:left="0"/>
        <w:jc w:val="left"/>
      </w:pPr>
      <w:r>
        <w:rPr>
          <w:rFonts w:ascii="Arial" w:hAnsi="Arial"/>
          <w:sz w:val="22"/>
        </w:rPr>
        <w:t>Chen, T.; Guestrin, C. 2016.</w:t>
      </w:r>
      <w:r>
        <w:rPr>
          <w:rFonts w:ascii="Arial" w:hAnsi="Arial"/>
          <w:sz w:val="22"/>
        </w:rPr>
        <w:t xml:space="preserve"> </w:t>
      </w:r>
      <w:r>
        <w:rPr>
          <w:rFonts w:ascii="Arial" w:hAnsi="Arial"/>
          <w:sz w:val="22"/>
        </w:rPr>
        <w:t xml:space="preserve">XGBoost</w:t>
      </w:r>
      <w:r>
        <w:rPr>
          <w:rFonts w:ascii="Arial" w:hAnsi="Arial"/>
          <w:sz w:val="22"/>
        </w:rPr>
        <w:t>: a scalable tree boosting system. In: ACM SIGKDD International Conference on Knowledge Discovery and Data Mining, 22, 2016, San Francisco, CA, EUA. Anais... p. 785-794.</w:t>
      </w:r>
    </w:p>
    <w:bookmarkEnd w:id="148"/>
    <w:bookmarkStart w:id="149" w:name="ref-crenshaw1989"/>
    <w:p>
      <w:pPr>
        <w:pStyle w:val="Bibliography"/>
        <w:spacing w:line="240" w:lineRule="auto" w:before="0" w:after="120"/>
        <w:ind w:firstLine="0" w:left="0"/>
        <w:jc w:val="left"/>
      </w:pPr>
      <w:r>
        <w:rPr>
          <w:rFonts w:ascii="Arial" w:hAnsi="Arial"/>
          <w:sz w:val="22"/>
        </w:rPr>
        <w:t>Crenshaw, K. 1989. Demarginalizing the intersection of race and sex: a black feminist critique of antidiscrimination doctrine. University of Chicago Legal Forum 1989(1): 139-167.</w:t>
      </w:r>
    </w:p>
    <w:bookmarkEnd w:id="149"/>
    <w:bookmarkStart w:id="150" w:name="ref-duan1983"/>
    <w:p>
      <w:pPr>
        <w:pStyle w:val="Bibliography"/>
        <w:spacing w:line="240" w:lineRule="auto" w:before="0" w:after="120"/>
        <w:ind w:firstLine="0" w:left="0"/>
        <w:jc w:val="left"/>
      </w:pPr>
      <w:r>
        <w:rPr>
          <w:rFonts w:ascii="Arial" w:hAnsi="Arial"/>
          <w:sz w:val="22"/>
        </w:rPr>
        <w:t>Duan, N. 1983. Smearing estimate: a nonparametric retransformation method. Journal of the American Statistical Association 78(383): 605-610.</w:t>
      </w:r>
    </w:p>
    <w:bookmarkEnd w:id="150"/>
    <w:bookmarkStart w:id="151" w:name="ref-favero2024"/>
    <w:p>
      <w:pPr>
        <w:pStyle w:val="Bibliography"/>
        <w:spacing w:line="240" w:lineRule="auto" w:before="0" w:after="120"/>
        <w:ind w:firstLine="0" w:left="0"/>
        <w:jc w:val="left"/>
      </w:pPr>
      <w:r>
        <w:rPr>
          <w:rFonts w:ascii="Arial" w:hAnsi="Arial"/>
          <w:sz w:val="22"/>
        </w:rPr>
        <w:t>Fávero, L.P.; Belfiore, P. 2024. Manual de Análise de Dados: Estatística e machine learning com Excel, SPSS, Stata, R e Python. 2ed. GEN LTC, Rio de Janeiro, RJ, Brasil.</w:t>
      </w:r>
    </w:p>
    <w:bookmarkEnd w:id="151"/>
    <w:bookmarkStart w:id="152" w:name="ref-firpo2018"/>
    <w:p>
      <w:pPr>
        <w:pStyle w:val="Bibliography"/>
        <w:spacing w:line="240" w:lineRule="auto" w:before="0" w:after="120"/>
        <w:ind w:firstLine="0" w:left="0"/>
        <w:jc w:val="left"/>
      </w:pPr>
      <w:r>
        <w:rPr>
          <w:rFonts w:ascii="Arial" w:hAnsi="Arial"/>
          <w:sz w:val="22"/>
        </w:rPr>
        <w:t>Firpo, S.P.; Fortin, N.M.; Lemieux, T. 2018. Decomposing wage distributions using recentered influence function regressions. Econometrics 6(2): 28.</w:t>
      </w:r>
    </w:p>
    <w:bookmarkEnd w:id="152"/>
    <w:bookmarkStart w:id="153" w:name="ref-frank2013"/>
    <w:p>
      <w:pPr>
        <w:pStyle w:val="Bibliography"/>
        <w:spacing w:line="240" w:lineRule="auto" w:before="0" w:after="120"/>
        <w:ind w:firstLine="0" w:left="0"/>
        <w:jc w:val="left"/>
      </w:pPr>
      <w:r>
        <w:rPr>
          <w:rFonts w:ascii="Arial" w:hAnsi="Arial"/>
          <w:sz w:val="22"/>
        </w:rPr>
        <w:t>Frank, K.A.; Maroulis, S.J.; Duong, M.Q.; Kelcey, B.M. 2013. What would it take to change an inference? Using</w:t>
      </w:r>
      <w:r>
        <w:rPr>
          <w:rFonts w:ascii="Arial" w:hAnsi="Arial"/>
          <w:sz w:val="22"/>
        </w:rPr>
        <w:t xml:space="preserve"> </w:t>
      </w:r>
      <w:r>
        <w:rPr>
          <w:rFonts w:ascii="Arial" w:hAnsi="Arial"/>
          <w:sz w:val="22"/>
        </w:rPr>
        <w:t xml:space="preserve">R</w:t>
      </w:r>
      <w:r>
        <w:rPr>
          <w:rFonts w:ascii="Arial" w:hAnsi="Arial"/>
          <w:sz w:val="22"/>
        </w:rPr>
        <w:t>ubin’s causal model to interpret the robustness of causal inferences. Educational Evaluation and Policy Analysis 35(4): 437-460.</w:t>
      </w:r>
    </w:p>
    <w:bookmarkEnd w:id="153"/>
    <w:bookmarkStart w:id="154" w:name="ref-geron2021"/>
    <w:p>
      <w:pPr>
        <w:pStyle w:val="Bibliography"/>
        <w:spacing w:line="240" w:lineRule="auto" w:before="0" w:after="120"/>
        <w:ind w:firstLine="0" w:left="0"/>
        <w:jc w:val="left"/>
      </w:pPr>
      <w:r>
        <w:rPr>
          <w:rFonts w:ascii="Arial" w:hAnsi="Arial"/>
          <w:sz w:val="22"/>
        </w:rPr>
        <w:t xml:space="preserve">Géron, A. 2021. Mãos à Obra: Aprendizado de máquina com Scikit-Learn, Keras &amp; TensorFlow: conceitos, ferramentas e técnicas para a construção de sistemas inteligentes. 2ed. Alta Books, Rio de Janeiro, RJ, Brasil.</w:t>
      </w:r>
    </w:p>
    <w:bookmarkEnd w:id="154"/>
    <w:bookmarkStart w:id="155" w:name="ref-granovetter1973"/>
    <w:p>
      <w:pPr>
        <w:pStyle w:val="Bibliography"/>
        <w:spacing w:line="240" w:lineRule="auto" w:before="0" w:after="120"/>
        <w:ind w:firstLine="0" w:left="0"/>
        <w:jc w:val="left"/>
      </w:pPr>
      <w:r>
        <w:rPr>
          <w:rFonts w:ascii="Arial" w:hAnsi="Arial"/>
          <w:sz w:val="22"/>
        </w:rPr>
        <w:t>Granovetter, M.S. 1973. The strength of weak ties. American Journal of Sociology 78(6): 1360-1380.</w:t>
      </w:r>
    </w:p>
    <w:bookmarkEnd w:id="155"/>
    <w:bookmarkStart w:id="156" w:name="ref-hasenbalg1979"/>
    <w:p>
      <w:pPr>
        <w:pStyle w:val="Bibliography"/>
        <w:spacing w:line="240" w:lineRule="auto" w:before="0" w:after="120"/>
        <w:ind w:firstLine="0" w:left="0"/>
        <w:jc w:val="left"/>
      </w:pPr>
      <w:r>
        <w:rPr>
          <w:rFonts w:ascii="Arial" w:hAnsi="Arial"/>
          <w:sz w:val="22"/>
        </w:rPr>
        <w:t xml:space="preserve">Hasenbalg, C. 1979. Discriminação e Desigualdades Raciais no Brasil. Graal, Rio de Janeiro, RJ, Brasil.</w:t>
      </w:r>
    </w:p>
    <w:bookmarkEnd w:id="156"/>
    <w:bookmarkStart w:id="157" w:name="ref-henriques2001"/>
    <w:p>
      <w:pPr>
        <w:pStyle w:val="Bibliography"/>
        <w:spacing w:line="240" w:lineRule="auto" w:before="0" w:after="120"/>
        <w:ind w:firstLine="0" w:left="0"/>
        <w:jc w:val="left"/>
      </w:pPr>
      <w:r>
        <w:rPr>
          <w:rFonts w:ascii="Arial" w:hAnsi="Arial"/>
          <w:sz w:val="22"/>
        </w:rPr>
        <w:t xml:space="preserve">Henriques, R. 2001. Desigualdade Racial no Brasil: Evolução das condições de vida na década de 90. Texto para Discussão 807. Instituto de Pesquisa Econômica Aplicada, Rio de Janeiro, RJ, Brasil.</w:t>
      </w:r>
    </w:p>
    <w:bookmarkEnd w:id="157"/>
    <w:bookmarkStart w:id="158" w:name="ref-ibge_pof_2019"/>
    <w:p>
      <w:pPr>
        <w:pStyle w:val="Bibliography"/>
        <w:spacing w:line="240" w:lineRule="auto" w:before="0" w:after="120"/>
        <w:ind w:firstLine="0" w:left="0"/>
        <w:jc w:val="left"/>
      </w:pPr>
      <w:r>
        <w:rPr>
          <w:rFonts w:ascii="Arial" w:hAnsi="Arial"/>
          <w:sz w:val="22"/>
        </w:rPr>
        <w:t xml:space="preserve">Instituto Brasileiro de Geografia e Estatística [IBGE]. 2019. Pesquisa de Orçamentos Familiares 2017-2018: Análise da qualidade de vida (índice de perda de qualidade de vida). Instituto Brasileiro de Geografia e Estatística, Rio de Janeiro, RJ, Brasil.</w:t>
      </w:r>
    </w:p>
    <w:bookmarkEnd w:id="158"/>
    <w:bookmarkStart w:id="159" w:name="ref-ibge_pnad_2023"/>
    <w:p>
      <w:pPr>
        <w:pStyle w:val="Bibliography"/>
        <w:spacing w:line="240" w:lineRule="auto" w:before="0" w:after="120"/>
        <w:ind w:firstLine="0" w:left="0"/>
        <w:jc w:val="left"/>
      </w:pPr>
      <w:r>
        <w:rPr>
          <w:rFonts w:ascii="Arial" w:hAnsi="Arial"/>
          <w:sz w:val="22"/>
        </w:rPr>
        <w:t xml:space="preserve">Instituto Brasileiro de Geografia e Estatística [IBGE]. 2023. Pesquisa Nacional por Amostra de Domicílios Contínua: Notas metodológicas. Instituto Brasileiro de Geografia e Estatística, Rio de Janeiro, RJ, Brasil.</w:t>
      </w:r>
    </w:p>
    <w:bookmarkEnd w:id="159"/>
    <w:bookmarkStart w:id="160" w:name="ref-ibge_rendimentos_2025"/>
    <w:p>
      <w:pPr>
        <w:pStyle w:val="Bibliography"/>
        <w:spacing w:line="240" w:lineRule="auto" w:before="0" w:after="120"/>
        <w:ind w:firstLine="0" w:left="0"/>
        <w:jc w:val="left"/>
      </w:pPr>
      <w:r>
        <w:rPr>
          <w:rFonts w:ascii="Arial" w:hAnsi="Arial"/>
          <w:sz w:val="22"/>
        </w:rPr>
        <w:t xml:space="preserve">Instituto Brasileiro de Geografia e Estatística [IBGE]. 2025. Pesquisa Nacional por Amostra de Domicílios Contínua: Rendimento de todas as fontes 2025. Instituto Brasileiro de Geografia e Estatística, Rio de Janeiro, RJ, Brasil.</w:t>
      </w:r>
    </w:p>
    <w:bookmarkEnd w:id="160"/>
    <w:bookmarkStart w:id="161" w:name="ref-koenker1978"/>
    <w:p>
      <w:pPr>
        <w:pStyle w:val="Bibliography"/>
        <w:spacing w:line="240" w:lineRule="auto" w:before="0" w:after="120"/>
        <w:ind w:firstLine="0" w:left="0"/>
        <w:jc w:val="left"/>
      </w:pPr>
      <w:r>
        <w:rPr>
          <w:rFonts w:ascii="Arial" w:hAnsi="Arial"/>
          <w:sz w:val="22"/>
        </w:rPr>
        <w:t>Koenker, R.; Bassett, G. 1978. Regression quantiles. Econometrica 46(1): 33-50.</w:t>
      </w:r>
    </w:p>
    <w:bookmarkEnd w:id="161"/>
    <w:bookmarkStart w:id="162" w:name="ref-lundberg2017"/>
    <w:p>
      <w:pPr>
        <w:pStyle w:val="Bibliography"/>
        <w:spacing w:line="240" w:lineRule="auto" w:before="0" w:after="120"/>
        <w:ind w:firstLine="0" w:left="0"/>
        <w:jc w:val="left"/>
      </w:pPr>
      <w:r>
        <w:rPr>
          <w:rFonts w:ascii="Arial" w:hAnsi="Arial"/>
          <w:sz w:val="22"/>
        </w:rPr>
        <w:t>Lundberg, S.M.; Lee, S.-I. 2017. A unified approach to interpreting model predictions. Advances in Neural Information Processing Systems 30: 4765-4774.</w:t>
      </w:r>
    </w:p>
    <w:bookmarkEnd w:id="162"/>
    <w:bookmarkStart w:id="163" w:name="ref-manski1993"/>
    <w:p>
      <w:pPr>
        <w:pStyle w:val="Bibliography"/>
        <w:spacing w:line="240" w:lineRule="auto" w:before="0" w:after="120"/>
        <w:ind w:firstLine="0" w:left="0"/>
        <w:jc w:val="left"/>
      </w:pPr>
      <w:r>
        <w:rPr>
          <w:rFonts w:ascii="Arial" w:hAnsi="Arial"/>
          <w:sz w:val="22"/>
        </w:rPr>
        <w:t>Manski, C.F. 1993. Identification of endogenous social effects: the reflection problem. Review of Economic Studies 60(3): 531-542.</w:t>
      </w:r>
    </w:p>
    <w:bookmarkEnd w:id="163"/>
    <w:bookmarkStart w:id="164" w:name="ref-marques2010"/>
    <w:p>
      <w:pPr>
        <w:pStyle w:val="Bibliography"/>
        <w:spacing w:line="240" w:lineRule="auto" w:before="0" w:after="120"/>
        <w:ind w:firstLine="0" w:left="0"/>
        <w:jc w:val="left"/>
      </w:pPr>
      <w:r>
        <w:rPr>
          <w:rFonts w:ascii="Arial" w:hAnsi="Arial"/>
          <w:sz w:val="22"/>
        </w:rPr>
        <w:t>Marques, E. 2010. Redes sociais, segregação e pobreza em São Paulo. Dados: Revista de Ciências Sociais 53(1): 5-50.</w:t>
      </w:r>
    </w:p>
    <w:bookmarkEnd w:id="164"/>
    <w:bookmarkStart w:id="165" w:name="ref-oaxaca1973"/>
    <w:p>
      <w:pPr>
        <w:pStyle w:val="Bibliography"/>
        <w:spacing w:line="240" w:lineRule="auto" w:before="0" w:after="120"/>
        <w:ind w:firstLine="0" w:left="0"/>
        <w:jc w:val="left"/>
      </w:pPr>
      <w:r>
        <w:rPr>
          <w:rFonts w:ascii="Arial" w:hAnsi="Arial"/>
          <w:sz w:val="22"/>
        </w:rPr>
        <w:t>Oaxaca, R. 1973. Male-female wage differentials in urban labor markets. International Economic Review 14(3): 693-709.</w:t>
      </w:r>
    </w:p>
    <w:bookmarkEnd w:id="165"/>
    <w:bookmarkStart w:id="166" w:name="ref-oaxaca_ransom1999"/>
    <w:p>
      <w:pPr>
        <w:pStyle w:val="Bibliography"/>
        <w:spacing w:line="240" w:lineRule="auto" w:before="0" w:after="120"/>
        <w:ind w:firstLine="0" w:left="0"/>
        <w:jc w:val="left"/>
      </w:pPr>
      <w:r>
        <w:rPr>
          <w:rFonts w:ascii="Arial" w:hAnsi="Arial"/>
          <w:sz w:val="22"/>
        </w:rPr>
        <w:t>Oaxaca, R.L.; Ransom, M.R. 1999. Identification in detailed wage decompositions. Review of Economics and Statistics 81(1): 154-157.</w:t>
      </w:r>
    </w:p>
    <w:bookmarkEnd w:id="166"/>
    <w:bookmarkStart w:id="167" w:name="ref-pager2007"/>
    <w:p>
      <w:pPr>
        <w:pStyle w:val="Bibliography"/>
        <w:spacing w:line="240" w:lineRule="auto" w:before="0" w:after="120"/>
        <w:ind w:firstLine="0" w:left="0"/>
        <w:jc w:val="left"/>
      </w:pPr>
      <w:r>
        <w:rPr>
          <w:rFonts w:ascii="Arial" w:hAnsi="Arial"/>
          <w:sz w:val="22"/>
        </w:rPr>
        <w:t xml:space="preserve">Pager, D. 2007. Marked: Race, crime, and finding work in an era of mass incarceration. University of Chicago Press, Chicago, IL, EUA.</w:t>
      </w:r>
    </w:p>
    <w:bookmarkEnd w:id="167"/>
    <w:bookmarkStart w:id="168" w:name="ref-raudenbush2002"/>
    <w:p>
      <w:pPr>
        <w:pStyle w:val="Bibliography"/>
        <w:spacing w:line="240" w:lineRule="auto" w:before="0" w:after="120"/>
        <w:ind w:firstLine="0" w:left="0"/>
        <w:jc w:val="left"/>
      </w:pPr>
      <w:r>
        <w:rPr>
          <w:rFonts w:ascii="Arial" w:hAnsi="Arial"/>
          <w:sz w:val="22"/>
        </w:rPr>
        <w:t>Raudenbush, S.W.; Bryk, A.S. 2002. Hierarchical Linear Models: Applications and data analysis methods. 2ed. Sage, Thousand Oaks, CA, EUA.</w:t>
      </w:r>
    </w:p>
    <w:bookmarkEnd w:id="168"/>
    <w:bookmarkStart w:id="169" w:name="ref-sampson1997"/>
    <w:p>
      <w:pPr>
        <w:pStyle w:val="Bibliography"/>
        <w:spacing w:line="240" w:lineRule="auto" w:before="0" w:after="120"/>
        <w:ind w:firstLine="0" w:left="0"/>
        <w:jc w:val="left"/>
      </w:pPr>
      <w:r>
        <w:rPr>
          <w:rFonts w:ascii="Arial" w:hAnsi="Arial"/>
          <w:sz w:val="22"/>
        </w:rPr>
        <w:t>Sampson, R.J.; Raudenbush, S.W.; Earls, F. 1997. Neighborhoods and violent crime: a multilevel study of collective efficacy. Science 277(5328): 918-924.</w:t>
      </w:r>
    </w:p>
    <w:bookmarkEnd w:id="169"/>
    <w:bookmarkStart w:id="170" w:name="ref-soares2009"/>
    <w:p>
      <w:pPr>
        <w:pStyle w:val="Bibliography"/>
        <w:spacing w:line="240" w:lineRule="auto" w:before="0" w:after="120"/>
        <w:ind w:firstLine="0" w:left="0"/>
        <w:jc w:val="left"/>
      </w:pPr>
      <w:r>
        <w:rPr>
          <w:rFonts w:ascii="Arial" w:hAnsi="Arial"/>
          <w:sz w:val="22"/>
        </w:rPr>
        <w:t>Soares, S. 2009. Desigualdade racial de renda no Brasil: 1976-2006. Estudos Econômicos 39(4): 803-825.</w:t>
      </w:r>
    </w:p>
    <w:bookmarkEnd w:id="170"/>
    <w:bookmarkStart w:id="171" w:name="ref-telles2004"/>
    <w:p>
      <w:pPr>
        <w:pStyle w:val="Bibliography"/>
        <w:spacing w:line="240" w:lineRule="auto" w:before="0" w:after="120"/>
        <w:ind w:firstLine="0" w:left="0"/>
        <w:jc w:val="left"/>
      </w:pPr>
      <w:r>
        <w:rPr>
          <w:rFonts w:ascii="Arial" w:hAnsi="Arial"/>
          <w:sz w:val="22"/>
        </w:rPr>
        <w:t xml:space="preserve">Telles, E.E. 2004. Race in Another America: The significance of skin color in Brazil. Princeton University Press, Princeton, NJ, EUA.</w:t>
      </w:r>
    </w:p>
    <w:bookmarkEnd w:id="171"/>
    <w:bookmarkStart w:id="172" w:name="ref-vanderweele2017"/>
    <w:p>
      <w:pPr>
        <w:pStyle w:val="Bibliography"/>
        <w:spacing w:line="240" w:lineRule="auto" w:before="0" w:after="120"/>
        <w:ind w:firstLine="0" w:left="0"/>
        <w:jc w:val="left"/>
      </w:pPr>
      <w:r>
        <w:rPr>
          <w:rFonts w:ascii="Arial" w:hAnsi="Arial"/>
          <w:sz w:val="22"/>
        </w:rPr>
        <w:t>VanderWeele, T.J.; Ding, P. 2017. Sensitivity analysis in observational research: introducing the</w:t>
      </w:r>
      <w:r>
        <w:rPr>
          <w:rFonts w:ascii="Arial" w:hAnsi="Arial"/>
          <w:sz w:val="22"/>
        </w:rPr>
        <w:t xml:space="preserve"> </w:t>
      </w:r>
      <w:r>
        <w:rPr>
          <w:rFonts w:ascii="Arial" w:hAnsi="Arial"/>
          <w:sz w:val="22"/>
        </w:rPr>
        <w:t xml:space="preserve">E</w:t>
      </w:r>
      <w:r>
        <w:rPr>
          <w:rFonts w:ascii="Arial" w:hAnsi="Arial"/>
          <w:sz w:val="22"/>
        </w:rPr>
        <w:t>-value. Annals of Internal Medicine 167(4): 268-274.</w:t>
      </w:r>
    </w:p>
    <w:bookmarkEnd w:id="172"/>
    <w:bookmarkStart w:id="174" w:name="ref-wilm2026"/>
    <w:p>
      <w:pPr>
        <w:pStyle w:val="Bibliography"/>
        <w:spacing w:line="240" w:lineRule="auto" w:before="0" w:after="120"/>
        <w:ind w:firstLine="0" w:left="0"/>
        <w:jc w:val="left"/>
      </w:pPr>
      <w:r>
        <w:rPr>
          <w:rFonts w:ascii="Arial" w:hAnsi="Arial"/>
          <w:sz w:val="22"/>
        </w:rPr>
        <w:t>Wilm, M.; Santos, D.; Coelho, L.; Marangoni, S.; Lima, R.C.; Gonçalves, G.; Verissimo, B. 2026. Índice de Progresso Social Brasil 2026: Resumo executivo. Imazon, Belém, PA, Brasil. Disponível em: &lt;</w:t>
      </w:r>
      <w:hyperlink r:id="rId173">
        <w:r>
          <w:rPr>
            <w:rStyle w:val="Hyperlink"/>
          </w:rPr>
          <w:t xml:space="preserve">https://imazon.org.br/relatorios/indice-de-progresso-social-brasil-2026</w:t>
        </w:r>
      </w:hyperlink>
      <w:r>
        <w:rPr>
          <w:rFonts w:ascii="Arial" w:hAnsi="Arial"/>
          <w:sz w:val="22"/>
        </w:rPr>
        <w:t xml:space="preserve">&gt;. Acesso em: 06 out. 2026.</w:t>
      </w:r>
    </w:p>
    <w:bookmarkEnd w:id="174"/>
    <w:bookmarkStart w:id="175" w:name="ref-wilson1987"/>
    <w:p>
      <w:pPr>
        <w:pStyle w:val="Bibliography"/>
        <w:spacing w:line="240" w:lineRule="auto" w:before="0" w:after="120"/>
        <w:ind w:firstLine="0" w:left="0"/>
        <w:jc w:val="left"/>
      </w:pPr>
      <w:r>
        <w:rPr>
          <w:rFonts w:ascii="Arial" w:hAnsi="Arial"/>
          <w:sz w:val="22"/>
        </w:rPr>
        <w:t xml:space="preserve">Wilson, W.J. 1987. The Truly Disadvantaged: The inner city, the underclass, and public policy. University of Chicago Press, Chicago, IL, EUA.</w:t>
      </w:r>
    </w:p>
    <w:bookmarkEnd w:id="175"/>
    <w:bookmarkEnd w:id="176"/>
    <w:bookmarkEnd w:id="177"/>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18"/>
          <w:szCs w:val="18"/>
        </w:rPr>
        <w:continuationSeparator/>
      </w:r>
    </w:p>
  </w:footnote>
  <w:footnote w:type="separator" w:id="-1">
    <w:p>
      <w:pPr>
        <w:spacing w:line="240" w:lineRule="auto" w:after="0"/>
      </w:pPr>
      <w:r>
        <w:rPr>
          <w:sz w:val="18"/>
          <w:szCs w:val="18"/>
        </w:rPr>
        <w:separator/>
      </w:r>
    </w:p>
  </w:footnote>
  <w:footnote w:id="36">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rPr>
          <w:sz w:val="18"/>
          <w:szCs w:val="18"/>
        </w:rPr>
        <w:t xml:space="preserve"> </w:t>
      </w:r>
      <w:r>
        <w:rPr>
          <w:sz w:val="18"/>
          <w:szCs w:val="18"/>
        </w:rPr>
        <w:t xml:space="preserve">(variância entre</w:t>
      </w:r>
      <w:r>
        <w:rPr>
          <w:sz w:val="18"/>
          <w:szCs w:val="18"/>
        </w:rPr>
        <w:t xml:space="preserve"> </w:t>
      </w:r>
      <w:r>
        <w:rPr>
          <w:sz w:val="18"/>
          <w:szCs w:val="18"/>
        </w:rPr>
        <w:t xml:space="preserve">bairros) e</w:t>
      </w:r>
      <w:r>
        <w:rPr>
          <w:sz w:val="18"/>
          <w:szCs w:val="18"/>
        </w:rPr>
        <w:t xml:space="preserve"> </w:t>
      </w:r>
      <m:oMath>
        <m:sSup>
          <m:e>
            <m:acc>
              <m:accPr>
                <m:chr m:val="̂"/>
              </m:accPr>
              <m:e>
                <m:r>
                  <m:t>σ</m:t>
                </m:r>
              </m:e>
            </m:acc>
          </m:e>
          <m:sup>
            <m:r>
              <m:t>2</m:t>
            </m:r>
          </m:sup>
        </m:sSup>
        <m:r>
          <m:rPr>
            <m:sty m:val="p"/>
          </m:rPr>
          <m:t>=</m:t>
        </m:r>
        <m:r>
          <m:t>0</m:t>
        </m:r>
        <m:r>
          <m:rPr>
            <m:sty m:val="p"/>
          </m:rPr>
          <m:t>,</m:t>
        </m:r>
        <m:r>
          <m:t>5524</m:t>
        </m:r>
      </m:oMath>
      <w:r>
        <w:rPr>
          <w:sz w:val="18"/>
          <w:szCs w:val="18"/>
        </w:rPr>
        <w:t xml:space="preserve"> </w:t>
      </w:r>
      <w:r>
        <w:rPr>
          <w:sz w:val="18"/>
          <w:szCs w:val="18"/>
        </w:rPr>
        <w:t xml:space="preserve">(variância entre pessoas do mesmo bairro), com</w:t>
      </w:r>
      <w:r>
        <w:rPr>
          <w:sz w:val="18"/>
          <w:szCs w:val="18"/>
        </w:rPr>
        <w:t xml:space="preserve"> </w:t>
      </w:r>
      <w:r>
        <w:rPr>
          <w:sz w:val="18"/>
          <w:szCs w:val="18"/>
        </w:rPr>
        <w:t xml:space="preserve">ICC</w:t>
      </w:r>
      <w:r>
        <w:rPr>
          <w:sz w:val="18"/>
          <w:szCs w:val="18"/>
        </w:rP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rPr>
          <w:sz w:val="18"/>
          <w:szCs w:val="18"/>
        </w:rPr>
        <w:t xml:space="preserve">.</w:t>
      </w:r>
    </w:p>
  </w:footnote>
  <w:footnote w:id="3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Os modelos têm o logaritmo do rendimento como variável dependente, de modo que o coeficiente está em log-pontos. A variação percentual correspondente é</w:t>
      </w:r>
      <w:r>
        <w:rPr>
          <w:sz w:val="18"/>
          <w:szCs w:val="18"/>
        </w:rP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rPr>
          <w:sz w:val="18"/>
          <w:szCs w:val="18"/>
        </w:rPr>
        <w:t xml:space="preserve">, e não</w:t>
      </w:r>
      <w:r>
        <w:rPr>
          <w:sz w:val="18"/>
          <w:szCs w:val="18"/>
        </w:rPr>
        <w:t xml:space="preserve"> </w:t>
      </w:r>
      <m:oMath>
        <m:acc>
          <m:accPr>
            <m:chr m:val="̂"/>
          </m:accPr>
          <m:e>
            <m:r>
              <m:t>β</m:t>
            </m:r>
          </m:e>
        </m:acc>
        <m:r>
          <m:rPr>
            <m:sty m:val="p"/>
          </m:rPr>
          <m:t>×</m:t>
        </m:r>
        <m:r>
          <m:t>100</m:t>
        </m:r>
      </m:oMath>
      <w:r>
        <w:rPr>
          <w:sz w:val="18"/>
          <w:szCs w:val="18"/>
        </w:rPr>
        <w:t xml:space="preserve">: para</w:t>
      </w:r>
      <w:r>
        <w:rPr>
          <w:sz w:val="18"/>
          <w:szCs w:val="18"/>
        </w:rPr>
        <w:t xml:space="preserve"> </w:t>
      </w:r>
      <m:oMath>
        <m:acc>
          <m:accPr>
            <m:chr m:val="̂"/>
          </m:accPr>
          <m:e>
            <m:r>
              <m:t>β</m:t>
            </m:r>
          </m:e>
        </m:acc>
        <m:r>
          <m:rPr>
            <m:sty m:val="p"/>
          </m:rPr>
          <m:t>=</m:t>
        </m:r>
        <m:r>
          <m:rPr>
            <m:sty m:val="p"/>
          </m:rPr>
          <m:t>−</m:t>
        </m:r>
        <m:r>
          <m:t>0</m:t>
        </m:r>
        <m:r>
          <m:rPr>
            <m:sty m:val="p"/>
          </m:rPr>
          <m:t>,</m:t>
        </m:r>
        <m:r>
          <m:t>1104</m:t>
        </m:r>
      </m:oMath>
      <w:r>
        <w:rPr>
          <w:sz w:val="18"/>
          <w:szCs w:val="18"/>
        </w:rPr>
        <w:t xml:space="preserve">, por exemplo, tem-se</w:t>
      </w:r>
      <w:r>
        <w:rPr>
          <w:sz w:val="18"/>
          <w:szCs w:val="18"/>
        </w:rPr>
        <w:t xml:space="preserve"> </w:t>
      </w:r>
      <m:oMath>
        <m:r>
          <m:rPr>
            <m:sty m:val="p"/>
          </m:rPr>
          <m:t>−</m:t>
        </m:r>
        <m:r>
          <m:t>10</m:t>
        </m:r>
        <m:r>
          <m:rPr>
            <m:sty m:val="p"/>
          </m:rPr>
          <m:t>,</m:t>
        </m:r>
        <m:r>
          <m:t>5</m:t>
        </m:r>
        <m:r>
          <m:rPr>
            <m:sty m:val="p"/>
          </m:rPr>
          <m:t>%</m:t>
        </m:r>
      </m:oMath>
      <w:r>
        <w:rPr>
          <w:sz w:val="18"/>
          <w:szCs w:val="18"/>
        </w:rPr>
        <w:t xml:space="preserve">, e não</w:t>
      </w:r>
      <w:r>
        <w:rPr>
          <w:sz w:val="18"/>
          <w:szCs w:val="18"/>
        </w:rPr>
        <w:t xml:space="preserve"> </w:t>
      </w:r>
      <m:oMath>
        <m:r>
          <m:rPr>
            <m:sty m:val="p"/>
          </m:rPr>
          <m:t>−</m:t>
        </m:r>
        <m:r>
          <m:t>11</m:t>
        </m:r>
        <m:r>
          <m:rPr>
            <m:sty m:val="p"/>
          </m:rPr>
          <m:t>,</m:t>
        </m:r>
        <m:r>
          <m:t>0</m:t>
        </m:r>
        <m:r>
          <m:rPr>
            <m:sty m:val="p"/>
          </m:rPr>
          <m:t>%</m:t>
        </m:r>
      </m:oMath>
      <w:r>
        <w:rPr>
          <w:sz w:val="18"/>
          <w:szCs w:val="18"/>
        </w:rPr>
        <w:t xml:space="preserve">. As duas leituras se aproximam quando o coeficiente é pequeno e divergem à medida que ele cresce em módulo; todos os percentuais de gap deste trabalho usam a primeira forma.</w:t>
      </w:r>
    </w:p>
  </w:footnote>
  <w:footnote w:id="38">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rPr>
          <w:sz w:val="18"/>
          <w:szCs w:val="18"/>
        </w:rPr>
        <w:t xml:space="preserve">, IC 95%: [−0,0679; −0,0658].</w:t>
      </w:r>
    </w:p>
  </w:footnote>
  <w:footnote w:id="39">
    <w:p>
      <w:pPr>
        <w:pStyle w:val="FootnoteText"/>
        <w:spacing w:line="240" w:lineRule="auto" w:after="0"/>
      </w:pPr>
      <w:r>
        <w:rPr>
          <w:rStyle w:val="FootnoteReference"/>
          <w:vertAlign w:val="superscript"/>
          <w:sz w:val="18"/>
          <w:szCs w:val="18"/>
        </w:rPr>
        <w:footnoteRef/>
      </w:r>
      <w:r>
        <w:rPr>
          <w:sz w:val="18"/>
          <w:szCs w:val="18"/>
        </w:rPr>
        <w:t xml:space="preserve"> </w:t>
      </w:r>
      <m:oMath>
        <m:sSup>
          <m:e>
            <m:acc>
              <m:accPr>
                <m:chr m:val="̂"/>
              </m:accPr>
              <m:e>
                <m:r>
                  <m:t>τ</m:t>
                </m:r>
              </m:e>
            </m:acc>
          </m:e>
          <m:sup>
            <m:r>
              <m:t>2</m:t>
            </m:r>
          </m:sup>
        </m:sSup>
      </m:oMath>
      <w:r>
        <w:rPr>
          <w:sz w:val="18"/>
          <w:szCs w:val="18"/>
        </w:rPr>
        <w:t xml:space="preserve"> </w:t>
      </w:r>
      <w:r>
        <w:rPr>
          <w:sz w:val="18"/>
          <w:szCs w:val="18"/>
        </w:rPr>
        <w:t xml:space="preserve">cai de 0,1012 para</w:t>
      </w:r>
      <w:r>
        <w:rPr>
          <w:sz w:val="18"/>
          <w:szCs w:val="18"/>
        </w:rPr>
        <w:t xml:space="preserve"> </w:t>
      </w:r>
      <w:r>
        <w:rPr>
          <w:sz w:val="18"/>
          <w:szCs w:val="18"/>
        </w:rPr>
        <w:t xml:space="preserve">0,0454; LR</w:t>
      </w:r>
      <w:r>
        <w:rPr>
          <w:sz w:val="18"/>
          <w:szCs w:val="18"/>
        </w:rPr>
        <w:t xml:space="preserve"> </w:t>
      </w:r>
      <m:oMath>
        <m:r>
          <m:rPr>
            <m:sty m:val="p"/>
          </m:rPr>
          <m:t>=</m:t>
        </m:r>
      </m:oMath>
      <w:r>
        <w:rPr>
          <w:sz w:val="18"/>
          <w:szCs w:val="18"/>
        </w:rPr>
        <w:t xml:space="preserve"> </w:t>
      </w:r>
      <w:r>
        <w:rPr>
          <w:sz w:val="18"/>
          <w:szCs w:val="18"/>
        </w:rPr>
        <w:t xml:space="preserve">29.811, 3 g.l.,</w:t>
      </w:r>
      <w:r>
        <w:rPr>
          <w:sz w:val="18"/>
          <w:szCs w:val="18"/>
        </w:rPr>
        <w:t xml:space="preserve"> </w:t>
      </w:r>
      <m:oMath>
        <m:r>
          <m:t>p</m:t>
        </m:r>
        <m:r>
          <m:rPr>
            <m:sty m:val="p"/>
          </m:rPr>
          <m:t>&lt;</m:t>
        </m:r>
        <m:r>
          <m:t>0</m:t>
        </m:r>
        <m:r>
          <m:rPr>
            <m:sty m:val="p"/>
          </m:rPr>
          <m:t>,</m:t>
        </m:r>
        <m:r>
          <m:t>001</m:t>
        </m:r>
      </m:oMath>
      <w:r>
        <w:rPr>
          <w:sz w:val="18"/>
          <w:szCs w:val="18"/>
        </w:rPr>
        <w:t xml:space="preserve">.</w:t>
      </w:r>
    </w:p>
  </w:footnote>
  <w:footnote w:id="4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de</w:t>
      </w:r>
      <w:r>
        <w:rPr>
          <w:sz w:val="18"/>
          <w:szCs w:val="18"/>
        </w:rPr>
        <w:t xml:space="preserve"> </w:t>
      </w:r>
      <m:oMath>
        <m:sSubSup>
          <m:e>
            <m:acc>
              <m:accPr>
                <m:chr m:val="̂"/>
              </m:accPr>
              <m:e>
                <m:r>
                  <m:t>β</m:t>
                </m:r>
              </m:e>
            </m:acc>
          </m:e>
          <m:sub>
            <m:r>
              <m:rPr>
                <m:nor/>
                <m:sty m:val="p"/>
              </m:rPr>
              <m:t>negro</m:t>
            </m:r>
          </m:sub>
          <m:sup>
            <m:r>
              <m:t>M</m:t>
            </m:r>
            <m:r>
              <m:t>3</m:t>
            </m:r>
          </m:sup>
        </m:sSubSup>
      </m:oMath>
      <w:r>
        <w:rPr>
          <w:sz w:val="18"/>
          <w:szCs w:val="18"/>
        </w:rPr>
        <w:t xml:space="preserve">: [−0,0639; −0,0619]. O ICC cai para 0,076 e os controles acumulados explicam</w:t>
      </w:r>
      <w:r>
        <w:rPr>
          <w:sz w:val="18"/>
          <w:szCs w:val="18"/>
        </w:rPr>
        <w:t xml:space="preserve"> </w:t>
      </w:r>
      <w:r>
        <w:rPr>
          <w:sz w:val="18"/>
          <w:szCs w:val="18"/>
        </w:rPr>
        <w:t xml:space="preserve">90,1% da variância entre bairros do M0; a escada completa está nas linhas</w:t>
      </w:r>
      <w:r>
        <w:rPr>
          <w:sz w:val="18"/>
          <w:szCs w:val="18"/>
        </w:rPr>
        <w:t xml:space="preserve"> </w:t>
      </w:r>
      <w:r>
        <w:rPr>
          <w:sz w:val="18"/>
          <w:szCs w:val="18"/>
        </w:rPr>
        <w:t xml:space="preserve">inferiores da Tabela 3.</w:t>
      </w:r>
    </w:p>
  </w:footnote>
  <w:footnote w:id="4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Estimado com</w:t>
      </w:r>
      <w:r>
        <w:rPr>
          <w:sz w:val="18"/>
          <w:szCs w:val="18"/>
        </w:rPr>
        <w:t xml:space="preserve"> </w:t>
      </w:r>
      <w:r>
        <w:rPr>
          <w:rStyle w:val="VerbatimChar"/>
          <w:sz w:val="18"/>
          <w:szCs w:val="18"/>
        </w:rPr>
        <w:t xml:space="preserve">lme4</w:t>
      </w:r>
      <w:r>
        <w:rPr>
          <w:sz w:val="18"/>
          <w:szCs w:val="18"/>
        </w:rPr>
        <w:t xml:space="preserve"> </w:t>
      </w:r>
      <w:r>
        <w:rPr>
          <w:sz w:val="18"/>
          <w:szCs w:val="18"/>
        </w:rP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3">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t>1</m:t>
            </m:r>
          </m:sub>
          <m:sup>
            <m:r>
              <m:t>2</m:t>
            </m:r>
          </m:sup>
        </m:sSubSup>
        <m:r>
          <m:rPr>
            <m:sty m:val="p"/>
          </m:rPr>
          <m:t>=</m:t>
        </m:r>
        <m:r>
          <m:t>0</m:t>
        </m:r>
        <m:r>
          <m:rPr>
            <m:sty m:val="p"/>
          </m:rPr>
          <m:t>,</m:t>
        </m:r>
        <m:r>
          <m:t>0210</m:t>
        </m:r>
      </m:oMath>
      <w:r>
        <w:rPr>
          <w:sz w:val="18"/>
          <w:szCs w:val="18"/>
        </w:rPr>
        <w:t xml:space="preserve">, componente de variância da inclinação</w:t>
      </w:r>
      <w:r>
        <w:rPr>
          <w:sz w:val="18"/>
          <w:szCs w:val="18"/>
        </w:rPr>
        <w:t xml:space="preserve"> </w:t>
      </w:r>
      <w:r>
        <w:rPr>
          <w:sz w:val="18"/>
          <w:szCs w:val="18"/>
        </w:rPr>
        <w:t xml:space="preserve">aleatória de</w:t>
      </w:r>
      <w:r>
        <w:rPr>
          <w:sz w:val="18"/>
          <w:szCs w:val="18"/>
        </w:rPr>
        <w:t xml:space="preserve"> </w:t>
      </w:r>
      <w:r>
        <w:rPr>
          <w:rStyle w:val="VerbatimChar"/>
          <w:sz w:val="18"/>
          <w:szCs w:val="18"/>
        </w:rPr>
        <w:t xml:space="preserve">negro</w:t>
      </w:r>
      <w:r>
        <w:rPr>
          <w:sz w:val="18"/>
          <w:szCs w:val="18"/>
        </w:rPr>
        <w:t xml:space="preserve"> </w:t>
      </w:r>
      <w:r>
        <w:rPr>
          <w:sz w:val="18"/>
          <w:szCs w:val="18"/>
        </w:rPr>
        <w:t xml:space="preserve">por UPA.</w:t>
      </w:r>
    </w:p>
  </w:footnote>
  <w:footnote w:id="66">
    <w:p>
      <w:pPr>
        <w:pStyle w:val="FootnoteText"/>
        <w:spacing w:line="240" w:lineRule="auto" w:after="0"/>
      </w:pPr>
      <w:r>
        <w:rPr>
          <w:rStyle w:val="FootnoteReference"/>
          <w:vertAlign w:val="superscript"/>
          <w:sz w:val="18"/>
          <w:szCs w:val="18"/>
        </w:rPr>
        <w:footnoteRef/>
      </w:r>
      <w:r>
        <w:rPr>
          <w:sz w:val="18"/>
          <w:szCs w:val="18"/>
        </w:rPr>
        <w:t xml:space="preserve"> </w:t>
      </w:r>
      <w:r>
        <w:rPr>
          <w:rStyle w:val="VerbatimChar"/>
          <w:sz w:val="18"/>
          <w:szCs w:val="18"/>
        </w:rPr>
        <w:t xml:space="preserve">lme4::glmer</w:t>
      </w:r>
      <w:r>
        <w:rPr>
          <w:sz w:val="18"/>
          <w:szCs w:val="18"/>
        </w:rPr>
        <w:t xml:space="preserve"> </w:t>
      </w:r>
      <w:r>
        <w:rPr>
          <w:sz w:val="18"/>
          <w:szCs w:val="18"/>
        </w:rPr>
        <w:t xml:space="preserve">com</w:t>
      </w:r>
      <w:r>
        <w:rPr>
          <w:sz w:val="18"/>
          <w:szCs w:val="18"/>
        </w:rPr>
        <w:t xml:space="preserve"> </w:t>
      </w:r>
      <w:r>
        <w:rPr>
          <w:rStyle w:val="VerbatimChar"/>
          <w:sz w:val="18"/>
          <w:szCs w:val="18"/>
        </w:rPr>
        <w:t xml:space="preserve">nAGQ = 0</w:t>
      </w:r>
      <w:r>
        <w:rPr>
          <w:sz w:val="18"/>
          <w:szCs w:val="18"/>
        </w:rPr>
        <w:t xml:space="preserve"> </w:t>
      </w:r>
      <w:r>
        <w:rPr>
          <w:sz w:val="18"/>
          <w:szCs w:val="18"/>
        </w:rPr>
        <w:t xml:space="preserve">— os efeitos fixos são estimados</w:t>
      </w:r>
      <w:r>
        <w:rPr>
          <w:sz w:val="18"/>
          <w:szCs w:val="18"/>
        </w:rPr>
        <w:t xml:space="preserve"> </w:t>
      </w:r>
      <w:r>
        <w:rPr>
          <w:sz w:val="18"/>
          <w:szCs w:val="18"/>
        </w:rPr>
        <w:t xml:space="preserve">junto com os modos condicionais, aproximação mais rápida que a de Laplace e adequada a</w:t>
      </w:r>
      <w:r>
        <w:rPr>
          <w:sz w:val="18"/>
          <w:szCs w:val="18"/>
        </w:rPr>
        <w:t xml:space="preserve"> </w:t>
      </w:r>
      <m:oMath>
        <m:r>
          <m:t>N</m:t>
        </m:r>
      </m:oMath>
      <w:r>
        <w:rPr>
          <w:sz w:val="18"/>
          <w:szCs w:val="18"/>
        </w:rPr>
        <w:t xml:space="preserve"> </w:t>
      </w:r>
      <w:r>
        <w:rPr>
          <w:sz w:val="18"/>
          <w:szCs w:val="18"/>
        </w:rPr>
        <w:t xml:space="preserve">de milhões —, sobre a população completa.</w:t>
      </w:r>
      <w:r>
        <w:rPr>
          <w:sz w:val="18"/>
          <w:szCs w:val="18"/>
        </w:rPr>
        <w:t xml:space="preserve"> </w:t>
      </w:r>
      <w:r>
        <w:rPr>
          <w:sz w:val="18"/>
          <w:szCs w:val="18"/>
        </w:rPr>
        <w:t xml:space="preserve">Os degraus são: A1 individual; A2</w:t>
      </w:r>
      <w:r>
        <w:rPr>
          <w:sz w:val="18"/>
          <w:szCs w:val="18"/>
        </w:rPr>
        <w:t xml:space="preserve"> </w:t>
      </w:r>
      <m:oMath>
        <m:r>
          <m:rPr>
            <m:sty m:val="p"/>
          </m:rPr>
          <m:t>+</m:t>
        </m:r>
      </m:oMath>
      <w:r>
        <w:rPr>
          <w:sz w:val="18"/>
          <w:szCs w:val="18"/>
        </w:rPr>
        <w:t xml:space="preserve"> </w:t>
      </w:r>
      <w:r>
        <w:rPr>
          <w:sz w:val="18"/>
          <w:szCs w:val="18"/>
        </w:rPr>
        <w:t xml:space="preserve">contexto do bairro; A3</w:t>
      </w:r>
      <w:r>
        <w:rPr>
          <w:sz w:val="18"/>
          <w:szCs w:val="18"/>
        </w:rPr>
        <w:t xml:space="preserve"> </w:t>
      </w:r>
      <m:oMath>
        <m:r>
          <m:rPr>
            <m:sty m:val="p"/>
          </m:rPr>
          <m:t>+</m:t>
        </m:r>
      </m:oMath>
      <w:r>
        <w:rPr>
          <w:sz w:val="18"/>
          <w:szCs w:val="18"/>
        </w:rPr>
        <w:t xml:space="preserve"> </w:t>
      </w:r>
      <w:r>
        <w:rPr>
          <w:sz w:val="18"/>
          <w:szCs w:val="18"/>
        </w:rPr>
        <w:t xml:space="preserve">vínculo (formalidade,</w:t>
      </w:r>
      <w:r>
        <w:rPr>
          <w:sz w:val="18"/>
          <w:szCs w:val="18"/>
        </w:rPr>
        <w:t xml:space="preserve"> </w:t>
      </w:r>
      <w:r>
        <w:rPr>
          <w:sz w:val="18"/>
          <w:szCs w:val="18"/>
        </w:rPr>
        <w:t xml:space="preserve">setor público, conta própria, doméstico), que é desfecho da própria discriminação e por</w:t>
      </w:r>
      <w:r>
        <w:rPr>
          <w:sz w:val="18"/>
          <w:szCs w:val="18"/>
        </w:rPr>
        <w:t xml:space="preserve"> </w:t>
      </w:r>
      <w:r>
        <w:rPr>
          <w:sz w:val="18"/>
          <w:szCs w:val="18"/>
        </w:rPr>
        <w:t xml:space="preserve">isso faz do A3 um limite inferior; A4</w:t>
      </w:r>
      <w:r>
        <w:rPr>
          <w:sz w:val="18"/>
          <w:szCs w:val="18"/>
        </w:rPr>
        <w:t xml:space="preserve"> </w:t>
      </w:r>
      <m:oMath>
        <m:r>
          <m:rPr>
            <m:sty m:val="p"/>
          </m:rPr>
          <m:t>+</m:t>
        </m:r>
      </m:oMath>
      <w:r>
        <w:rPr>
          <w:sz w:val="18"/>
          <w:szCs w:val="18"/>
        </w:rPr>
        <w:t xml:space="preserve"> </w:t>
      </w:r>
      <w:r>
        <w:rPr>
          <w:sz w:val="18"/>
          <w:szCs w:val="18"/>
        </w:rPr>
        <w:t xml:space="preserve">interação</w:t>
      </w:r>
      <w:r>
        <w:rPr>
          <w:sz w:val="18"/>
          <w:szCs w:val="18"/>
        </w:rPr>
        <w:t xml:space="preserve"> </w:t>
      </w:r>
      <w:r>
        <w:rPr>
          <w:rStyle w:val="VerbatimChar"/>
          <w:sz w:val="18"/>
          <w:szCs w:val="18"/>
        </w:rPr>
        <w:t xml:space="preserve">negro</w:t>
      </w:r>
      <m:oMath>
        <m:r>
          <m:rPr>
            <m:sty m:val="p"/>
          </m:rPr>
          <m:t>×</m:t>
        </m:r>
      </m:oMath>
      <w:r>
        <w:rPr>
          <w:sz w:val="18"/>
          <w:szCs w:val="18"/>
        </w:rPr>
        <w:t xml:space="preserve">credencial. A</w:t>
      </w:r>
      <w:r>
        <w:rPr>
          <w:sz w:val="18"/>
          <w:szCs w:val="18"/>
        </w:rPr>
        <w:t xml:space="preserve"> </w:t>
      </w:r>
      <w:r>
        <w:rPr>
          <w:sz w:val="18"/>
          <w:szCs w:val="18"/>
        </w:rPr>
        <w:t xml:space="preserve">Tabela 8 traz</w:t>
      </w:r>
      <w:r>
        <w:rPr>
          <w:sz w:val="18"/>
          <w:szCs w:val="18"/>
        </w:rPr>
        <w:t xml:space="preserve"> </w:t>
      </w:r>
      <w:r>
        <w:rPr>
          <w:sz w:val="18"/>
          <w:szCs w:val="18"/>
        </w:rPr>
        <w:t xml:space="preserve">odds ratios</w:t>
      </w:r>
      <w:r>
        <w:rPr>
          <w:sz w:val="18"/>
          <w:szCs w:val="18"/>
        </w:rPr>
        <w:t xml:space="preserve">, efeitos marginais, ICC e</w:t>
      </w:r>
      <w:r>
        <w:rPr>
          <w:sz w:val="18"/>
          <w:szCs w:val="18"/>
        </w:rPr>
        <w:t xml:space="preserve"> </w:t>
      </w:r>
      <w:r>
        <w:rPr>
          <w:sz w:val="18"/>
          <w:szCs w:val="18"/>
        </w:rPr>
        <w:t xml:space="preserve">E-values; a Tabela 7, o ajuste e a classificação.</w:t>
      </w:r>
    </w:p>
  </w:footnote>
  <w:footnote w:id="6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Correlação intraclasse latente do M1:</w:t>
      </w:r>
      <w:r>
        <w:rPr>
          <w:sz w:val="18"/>
          <w:szCs w:val="18"/>
        </w:rPr>
        <w:t xml:space="preserve"> </w:t>
      </w:r>
      <w:r>
        <w:rPr>
          <w:sz w:val="18"/>
          <w:szCs w:val="18"/>
        </w:rPr>
        <w:t xml:space="preserve">0,087 para o cargo qualificado e 0,221 para o top 10%, com</w:t>
      </w:r>
      <w:r>
        <w:rPr>
          <w:sz w:val="18"/>
          <w:szCs w:val="18"/>
        </w:rPr>
        <w:t xml:space="preserve"> </w:t>
      </w:r>
      <w:r>
        <w:rPr>
          <w:sz w:val="18"/>
          <w:szCs w:val="18"/>
        </w:rPr>
        <w:t xml:space="preserve">ICC</w:t>
      </w:r>
      <w:r>
        <w:rPr>
          <w:sz w:val="18"/>
          <w:szCs w:val="18"/>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sz w:val="18"/>
          <w:szCs w:val="18"/>
        </w:rPr>
        <w:t xml:space="preserve">. O teste de razão de verossimilhança contra o logit sem</w:t>
      </w:r>
      <w:r>
        <w:rPr>
          <w:sz w:val="18"/>
          <w:szCs w:val="18"/>
        </w:rPr>
        <w:t xml:space="preserve"> </w:t>
      </w:r>
      <w:r>
        <w:rPr>
          <w:sz w:val="18"/>
          <w:szCs w:val="18"/>
        </w:rPr>
        <w:t xml:space="preserve">efeito aleatório dá LR</w:t>
      </w:r>
      <w:r>
        <w:rPr>
          <w:sz w:val="18"/>
          <w:szCs w:val="18"/>
        </w:rPr>
        <w:t xml:space="preserve"> </w:t>
      </w:r>
      <m:oMath>
        <m:r>
          <m:rPr>
            <m:sty m:val="p"/>
          </m:rPr>
          <m:t>=</m:t>
        </m:r>
      </m:oMath>
      <w:r>
        <w:rPr>
          <w:sz w:val="18"/>
          <w:szCs w:val="18"/>
        </w:rPr>
        <w:t xml:space="preserve"> </w:t>
      </w:r>
      <w:r>
        <w:rPr>
          <w:sz w:val="18"/>
          <w:szCs w:val="18"/>
        </w:rPr>
        <w:t xml:space="preserve">77.940 para o cargo e 80.791 para o top 10%</w:t>
      </w:r>
      <w:r>
        <w:rPr>
          <w:sz w:val="18"/>
          <w:szCs w:val="18"/>
        </w:rPr>
        <w:t xml:space="preserve"> </w:t>
      </w:r>
      <w:r>
        <w:rPr>
          <w:sz w:val="18"/>
          <w:szCs w:val="18"/>
        </w:rPr>
        <w:t xml:space="preserve">(1 g.l.,</w:t>
      </w:r>
      <w:r>
        <w:rPr>
          <w:sz w:val="18"/>
          <w:szCs w:val="18"/>
        </w:rPr>
        <w:t xml:space="preserve"> </w:t>
      </w:r>
      <m:oMath>
        <m:r>
          <m:t>p</m:t>
        </m:r>
        <m:r>
          <m:rPr>
            <m:sty m:val="p"/>
          </m:rPr>
          <m:t>&lt;</m:t>
        </m:r>
        <m:r>
          <m:t>0</m:t>
        </m:r>
        <m:r>
          <m:rPr>
            <m:sty m:val="p"/>
          </m:rPr>
          <m:t>,</m:t>
        </m:r>
        <m:r>
          <m:t>001</m:t>
        </m:r>
      </m:oMath>
      <w:r>
        <w:rPr>
          <w:sz w:val="18"/>
          <w:szCs w:val="18"/>
        </w:rPr>
        <w:t xml:space="preserve">).</w:t>
      </w:r>
    </w:p>
  </w:footnote>
  <w:footnote w:id="6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0,810–0,818.</w:t>
      </w:r>
      <w:r>
        <w:rPr>
          <w:sz w:val="18"/>
          <w:szCs w:val="18"/>
        </w:rPr>
        <w:t xml:space="preserve"> </w:t>
      </w:r>
      <w:r>
        <w:rPr>
          <w:sz w:val="18"/>
          <w:szCs w:val="18"/>
        </w:rPr>
        <w:t xml:space="preserve">Odds ratio</w:t>
      </w:r>
      <w:r>
        <w:rPr>
          <w:sz w:val="18"/>
          <w:szCs w:val="18"/>
        </w:rPr>
        <w:t xml:space="preserve"> </w:t>
      </w:r>
      <w:r>
        <w:rPr>
          <w:sz w:val="18"/>
          <w:szCs w:val="18"/>
        </w:rPr>
        <w:t xml:space="preserve">abaixo de 1 é</w:t>
      </w:r>
      <w:r>
        <w:rPr>
          <w:sz w:val="18"/>
          <w:szCs w:val="18"/>
        </w:rPr>
        <w:t xml:space="preserve"> </w:t>
      </w:r>
      <w:r>
        <w:rPr>
          <w:sz w:val="18"/>
          <w:szCs w:val="18"/>
        </w:rPr>
        <w:t xml:space="preserve">desvantagem; acima de 1, vantagem.</w:t>
      </w:r>
    </w:p>
  </w:footnote>
  <w:footnote w:id="7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AUC de 0,878 com</w:t>
      </w:r>
      <w:r>
        <w:rPr>
          <w:sz w:val="18"/>
          <w:szCs w:val="18"/>
        </w:rPr>
        <w:t xml:space="preserve"> </w:t>
      </w:r>
      <w:r>
        <w:rPr>
          <w:sz w:val="18"/>
          <w:szCs w:val="18"/>
        </w:rPr>
        <w:t xml:space="preserve">efeitos aleatórios e 0,870 só com efeitos fixos, para o cargo qualificado;</w:t>
      </w:r>
      <w:r>
        <w:rPr>
          <w:sz w:val="18"/>
          <w:szCs w:val="18"/>
        </w:rPr>
        <w:t xml:space="preserve"> </w:t>
      </w:r>
      <w:r>
        <w:rPr>
          <w:sz w:val="18"/>
          <w:szCs w:val="18"/>
        </w:rPr>
        <w:t xml:space="preserve">no</w:t>
      </w:r>
      <w:r>
        <w:rPr>
          <w:sz w:val="18"/>
          <w:szCs w:val="18"/>
        </w:rPr>
        <w:t xml:space="preserve"> </w:t>
      </w:r>
      <w:r>
        <w:rPr>
          <w:sz w:val="18"/>
          <w:szCs w:val="18"/>
        </w:rPr>
        <w:t xml:space="preserve">cutoff</w:t>
      </w:r>
      <w:r>
        <w:rPr>
          <w:sz w:val="18"/>
          <w:szCs w:val="18"/>
        </w:rPr>
        <w:t xml:space="preserve"> </w:t>
      </w:r>
      <w:r>
        <w:rPr>
          <w:sz w:val="18"/>
          <w:szCs w:val="18"/>
        </w:rPr>
        <w:t xml:space="preserve">de Youden (0,30), sensibilidade 0,79 e</w:t>
      </w:r>
      <w:r>
        <w:rPr>
          <w:sz w:val="18"/>
          <w:szCs w:val="18"/>
        </w:rPr>
        <w:t xml:space="preserve"> </w:t>
      </w:r>
      <w:r>
        <w:rPr>
          <w:sz w:val="18"/>
          <w:szCs w:val="18"/>
        </w:rPr>
        <w:t xml:space="preserve">especificidade 0,79. O teste de Hosmer–Lemeshow rejeita a calibração</w:t>
      </w:r>
      <w:r>
        <w:rPr>
          <w:sz w:val="18"/>
          <w:szCs w:val="18"/>
        </w:rPr>
        <w:t xml:space="preserve"> </w:t>
      </w:r>
      <w:r>
        <w:rPr>
          <w:sz w:val="18"/>
          <w:szCs w:val="18"/>
        </w:rPr>
        <w:t xml:space="preserve">perfeita em todos os degraus — inevitável com</w:t>
      </w:r>
      <w:r>
        <w:rPr>
          <w:sz w:val="18"/>
          <w:szCs w:val="18"/>
        </w:rPr>
        <w:t xml:space="preserve"> </w:t>
      </w:r>
      <m:oMath>
        <m:r>
          <m:t>N</m:t>
        </m:r>
      </m:oMath>
      <w:r>
        <w:rPr>
          <w:sz w:val="18"/>
          <w:szCs w:val="18"/>
        </w:rPr>
        <w:t xml:space="preserve"> </w:t>
      </w:r>
      <w:r>
        <w:rPr>
          <w:sz w:val="18"/>
          <w:szCs w:val="18"/>
        </w:rPr>
        <w:t xml:space="preserve">de milhões</w:t>
      </w:r>
      <w:r>
        <w:rPr>
          <w:sz w:val="18"/>
          <w:szCs w:val="18"/>
        </w:rPr>
        <w:t xml:space="preserve"> </w:t>
      </w:r>
      <w:r>
        <w:rPr>
          <w:sz w:val="18"/>
          <w:szCs w:val="18"/>
        </w:rPr>
        <w:t xml:space="preserve">(Angrist e Pischke, 2009)</w:t>
      </w:r>
      <w:r>
        <w:rPr>
          <w:sz w:val="18"/>
          <w:szCs w:val="18"/>
        </w:rPr>
        <w:t xml:space="preserve"> </w:t>
      </w:r>
      <w:r>
        <w:rPr>
          <w:sz w:val="18"/>
          <w:szCs w:val="18"/>
        </w:rPr>
        <w:t xml:space="preserve">—,</w:t>
      </w:r>
      <w:r>
        <w:rPr>
          <w:sz w:val="18"/>
          <w:szCs w:val="18"/>
        </w:rPr>
        <w:t xml:space="preserve"> </w:t>
      </w:r>
      <w:r>
        <w:rPr>
          <w:sz w:val="18"/>
          <w:szCs w:val="18"/>
        </w:rPr>
        <w:t xml:space="preserve">mas a estatística cai 69% no top 20% e 54% no top 10%, embora suba no cargo qualificado ao se acrescentar o vínculo (A3).</w:t>
      </w:r>
    </w:p>
  </w:footnote>
  <w:footnote w:id="8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GLMM de acesso reespecificado com</w:t>
      </w:r>
      <w:r>
        <w:rPr>
          <w:sz w:val="18"/>
          <w:szCs w:val="18"/>
        </w:rPr>
        <w:t xml:space="preserve"> </w:t>
      </w:r>
      <w:r>
        <w:rPr>
          <w:rStyle w:val="VerbatimChar"/>
          <w:sz w:val="18"/>
          <w:szCs w:val="18"/>
        </w:rPr>
        <w:t xml:space="preserve">grupo_rg</w:t>
      </w:r>
      <w:r>
        <w:rPr>
          <w:sz w:val="18"/>
          <w:szCs w:val="18"/>
        </w:rPr>
        <w:t xml:space="preserve"> </w:t>
      </w:r>
      <w:r>
        <w:rPr>
          <w:sz w:val="18"/>
          <w:szCs w:val="18"/>
        </w:rPr>
        <w:t xml:space="preserve">(homem branco como</w:t>
      </w:r>
      <w:r>
        <w:rPr>
          <w:sz w:val="18"/>
          <w:szCs w:val="18"/>
        </w:rPr>
        <w:t xml:space="preserve"> </w:t>
      </w:r>
      <w:r>
        <w:rPr>
          <w:sz w:val="18"/>
          <w:szCs w:val="18"/>
        </w:rPr>
        <w:t xml:space="preserve">referência, mulher branca, homem negro, mulher negra) e 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em três desfechos: ocupação qualificada (CBO 1–4),</w:t>
      </w:r>
      <w:r>
        <w:rPr>
          <w:sz w:val="18"/>
          <w:szCs w:val="18"/>
        </w:rPr>
        <w:t xml:space="preserve"> </w:t>
      </w:r>
      <w:r>
        <w:rPr>
          <w:sz w:val="18"/>
          <w:szCs w:val="18"/>
        </w:rPr>
        <w:t xml:space="preserve">renda no top 20% e no top 10%.</w:t>
      </w:r>
    </w:p>
  </w:footnote>
  <w:footnote w:id="9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w:t>
      </w:r>
      <w:r>
        <w:rPr>
          <w:sz w:val="18"/>
          <w:szCs w:val="18"/>
        </w:rPr>
        <w:t xml:space="preserve">é</w:t>
      </w:r>
      <w:r>
        <w:rPr>
          <w:sz w:val="18"/>
          <w:szCs w:val="18"/>
        </w:rPr>
        <w:t xml:space="preserve"> </w:t>
      </w:r>
      <w:r>
        <w:rPr>
          <w:sz w:val="18"/>
          <w:szCs w:val="18"/>
        </w:rPr>
        <w:t xml:space="preserve">sub-aditiva</w:t>
      </w:r>
      <w:r>
        <w:rPr>
          <w:sz w:val="18"/>
          <w:szCs w:val="18"/>
        </w:rPr>
        <w:t xml:space="preserve"> </w:t>
      </w:r>
      <w:r>
        <w:rPr>
          <w:sz w:val="18"/>
          <w:szCs w:val="18"/>
        </w:rPr>
        <w:t xml:space="preserve">em todos os desfechos (OR </w:t>
      </w:r>
      <m:oMath>
        <m:r>
          <m:rPr>
            <m:sty m:val="p"/>
          </m:rPr>
          <m:t>=</m:t>
        </m:r>
        <m:r>
          <m:t>1</m:t>
        </m:r>
        <m:r>
          <m:rPr>
            <m:sty m:val="p"/>
          </m:rPr>
          <m:t>,</m:t>
        </m:r>
        <m:r>
          <m:t>10</m:t>
        </m:r>
      </m:oMath>
      <w:r>
        <w:rPr>
          <w:sz w:val="18"/>
          <w:szCs w:val="18"/>
        </w:rPr>
        <w:t xml:space="preserve"> </w:t>
      </w:r>
      <w:r>
        <w:rPr>
          <w:sz w:val="18"/>
          <w:szCs w:val="18"/>
        </w:rPr>
        <w:t xml:space="preserve">no acesso;</w:t>
      </w:r>
      <w:r>
        <w:rPr>
          <w:sz w:val="18"/>
          <w:szCs w:val="18"/>
        </w:rPr>
        <w:t xml:space="preserve"> </w:t>
      </w:r>
      <m:oMath>
        <m:r>
          <m:rPr>
            <m:sty m:val="p"/>
          </m:rPr>
          <m:t>=</m:t>
        </m:r>
        <m:r>
          <m:t>1</m:t>
        </m:r>
        <m:r>
          <m:rPr>
            <m:sty m:val="p"/>
          </m:rPr>
          <m:t>,</m:t>
        </m:r>
        <m:r>
          <m:t>04</m:t>
        </m:r>
      </m:oMath>
      <w:r>
        <w:rPr>
          <w:sz w:val="18"/>
          <w:szCs w:val="18"/>
        </w:rPr>
        <w:t xml:space="preserve"> </w:t>
      </w:r>
      <w:r>
        <w:rPr>
          <w:sz w:val="18"/>
          <w:szCs w:val="18"/>
        </w:rPr>
        <w:t xml:space="preserve">no top 10%): a penalidade racial é um pouco menor entre</w:t>
      </w:r>
      <w:r>
        <w:rPr>
          <w:sz w:val="18"/>
          <w:szCs w:val="18"/>
        </w:rPr>
        <w:t xml:space="preserve"> </w:t>
      </w:r>
      <w:r>
        <w:rPr>
          <w:sz w:val="18"/>
          <w:szCs w:val="18"/>
        </w:rPr>
        <w:t xml:space="preserve">mulheres do que entre homens, o que atenua a soma sem desfazê-la.</w:t>
      </w:r>
    </w:p>
  </w:footnote>
  <w:footnote w:id="9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Profundidade 10, com</w:t>
      </w:r>
      <w:r>
        <w:rPr>
          <w:sz w:val="18"/>
          <w:szCs w:val="18"/>
        </w:rP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rPr>
          <w:sz w:val="18"/>
          <w:szCs w:val="18"/>
        </w:rPr>
        <w:t xml:space="preserve"> </w:t>
      </w:r>
      <w:r>
        <w:rPr>
          <w:sz w:val="18"/>
          <w:szCs w:val="18"/>
        </w:rPr>
        <w:t xml:space="preserve">entre os</w:t>
      </w:r>
      <w:r>
        <w:rPr>
          <w:sz w:val="18"/>
          <w:szCs w:val="18"/>
        </w:rPr>
        <w:t xml:space="preserve"> </w:t>
      </w:r>
      <w:r>
        <w:rPr>
          <w:sz w:val="18"/>
          <w:szCs w:val="18"/>
        </w:rPr>
        <w:t xml:space="preserve">folds</w:t>
      </w:r>
      <w:r>
        <w:rPr>
          <w:sz w:val="18"/>
          <w:szCs w:val="18"/>
        </w:rPr>
        <w:t xml:space="preserve">, contra</w:t>
      </w:r>
      <w:r>
        <w:rPr>
          <w:sz w:val="18"/>
          <w:szCs w:val="18"/>
        </w:rPr>
        <w:t xml:space="preserve"> </w:t>
      </w:r>
      <w:r>
        <w:rPr>
          <w:sz w:val="18"/>
          <w:szCs w:val="18"/>
        </w:rPr>
        <w:t xml:space="preserve">0,6294</w:t>
      </w:r>
      <w:r>
        <w:rPr>
          <w:sz w:val="18"/>
          <w:szCs w:val="18"/>
        </w:rPr>
        <w:t xml:space="preserve"> </w:t>
      </w:r>
      <m:oMath>
        <m:r>
          <m:rPr>
            <m:sty m:val="p"/>
          </m:rPr>
          <m:t>±</m:t>
        </m:r>
      </m:oMath>
      <w:r>
        <w:rPr>
          <w:sz w:val="18"/>
          <w:szCs w:val="18"/>
        </w:rPr>
        <w:t xml:space="preserve"> </w:t>
      </w:r>
      <w:r>
        <w:rPr>
          <w:sz w:val="18"/>
          <w:szCs w:val="18"/>
        </w:rPr>
        <w:t xml:space="preserve">0,0006 da profundidade 6 de referência, sobre</w:t>
      </w:r>
      <w:r>
        <w:rPr>
          <w:sz w:val="18"/>
          <w:szCs w:val="18"/>
        </w:rPr>
        <w:t xml:space="preserve"> </w:t>
      </w:r>
      <w:r>
        <w:rPr>
          <w:sz w:val="18"/>
          <w:szCs w:val="18"/>
        </w:rPr>
        <w:t xml:space="preserve">6.159.418 observações de treino.</w:t>
      </w:r>
    </w:p>
  </w:footnote>
  <w:footnote w:id="10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População completa,</w:t>
      </w:r>
      <w:r>
        <w:rPr>
          <w:sz w:val="18"/>
          <w:szCs w:val="18"/>
        </w:rPr>
        <w:t xml:space="preserve"> </w:t>
      </w:r>
      <m:oMath>
        <m:r>
          <m:t>N</m:t>
        </m:r>
        <m:r>
          <m:rPr>
            <m:sty m:val="p"/>
          </m:rPr>
          <m:t>=</m:t>
        </m:r>
        <m:r>
          <m:t>7.699</m:t>
        </m:r>
        <m:r>
          <m:t>.273</m:t>
        </m:r>
      </m:oMath>
      <w:r>
        <w:rPr>
          <w:sz w:val="18"/>
          <w:szCs w:val="18"/>
        </w:rPr>
        <w:t xml:space="preserve">, com 80% para</w:t>
      </w:r>
      <w:r>
        <w:rPr>
          <w:sz w:val="18"/>
          <w:szCs w:val="18"/>
        </w:rPr>
        <w:t xml:space="preserve"> </w:t>
      </w:r>
      <w:r>
        <w:rPr>
          <w:sz w:val="18"/>
          <w:szCs w:val="18"/>
        </w:rPr>
        <w:t xml:space="preserve">treino e 20% para teste; o mesmo</w:t>
      </w:r>
      <w:r>
        <w:rPr>
          <w:sz w:val="18"/>
          <w:szCs w:val="18"/>
        </w:rPr>
        <w:t xml:space="preserve"> </w:t>
      </w:r>
      <w:r>
        <w:rPr>
          <w:sz w:val="18"/>
          <w:szCs w:val="18"/>
        </w:rPr>
        <w:t xml:space="preserve">gap</w:t>
      </w:r>
      <w:r>
        <w:rPr>
          <w:sz w:val="18"/>
          <w:szCs w:val="18"/>
        </w:rPr>
        <w:t xml:space="preserve"> </w:t>
      </w:r>
      <w:r>
        <w:rPr>
          <w:sz w:val="18"/>
          <w:szCs w:val="18"/>
        </w:rPr>
        <w:t xml:space="preserve">aparece no Random Forest.</w:t>
      </w:r>
    </w:p>
  </w:footnote>
  <w:footnote w:id="10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15</w:t>
      </w:r>
      <w:r>
        <w:rPr>
          <w:vertAlign w:val="superscript"/>
          <w:sz w:val="18"/>
          <w:szCs w:val="18"/>
        </w:rPr>
        <w:t xml:space="preserve">a</w:t>
      </w:r>
      <w:r>
        <w:rPr>
          <w:sz w:val="18"/>
          <w:szCs w:val="18"/>
        </w:rPr>
        <w:t xml:space="preserve"> </w:t>
      </w:r>
      <w:r>
        <w:rPr>
          <w:sz w:val="18"/>
          <w:szCs w:val="18"/>
        </w:rPr>
        <w:t xml:space="preserve">de 27 variáveis no modelo sem renda de vizinhança, contra</w:t>
      </w:r>
      <w:r>
        <w:rPr>
          <w:sz w:val="18"/>
          <w:szCs w:val="18"/>
        </w:rPr>
        <w:t xml:space="preserve"> </w:t>
      </w:r>
      <w:r>
        <w:rPr>
          <w:sz w:val="18"/>
          <w:szCs w:val="18"/>
        </w:rPr>
        <w:t xml:space="preserve">14</w:t>
      </w:r>
      <w:r>
        <w:rPr>
          <w:vertAlign w:val="superscript"/>
          <w:sz w:val="18"/>
          <w:szCs w:val="18"/>
        </w:rPr>
        <w:t xml:space="preserve">a</w:t>
      </w:r>
      <w:r>
        <w:rPr>
          <w:sz w:val="18"/>
          <w:szCs w:val="18"/>
        </w:rPr>
        <w:t xml:space="preserve"> </w:t>
      </w:r>
      <w:r>
        <w:rPr>
          <w:sz w:val="18"/>
          <w:szCs w:val="18"/>
        </w:rPr>
        <w:t xml:space="preserve">de 28 no modelo completo.</w:t>
      </w:r>
    </w:p>
  </w:footnote>
  <w:footnote w:id="10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Contribuição média da variável racial à previsão, com sinal:</w:t>
      </w:r>
      <w:r>
        <w:rPr>
          <w:sz w:val="18"/>
          <w:szCs w:val="18"/>
        </w:rPr>
        <w:t xml:space="preserve"> </w:t>
      </w:r>
      <m:oMath>
        <m:r>
          <m:rPr>
            <m:sty m:val="p"/>
          </m:rPr>
          <m:t>−</m:t>
        </m:r>
        <m:r>
          <m:t>0</m:t>
        </m:r>
        <m:r>
          <m:rPr>
            <m:sty m:val="p"/>
          </m:rPr>
          <m:t>,</m:t>
        </m:r>
        <m:r>
          <m:t>0241</m:t>
        </m:r>
      </m:oMath>
      <w:r>
        <w:rPr>
          <w:sz w:val="18"/>
          <w:szCs w:val="18"/>
        </w:rPr>
        <w:t xml:space="preserve"> </w:t>
      </w:r>
      <w:r>
        <w:rPr>
          <w:sz w:val="18"/>
          <w:szCs w:val="18"/>
        </w:rPr>
        <w:t xml:space="preserve">log-pontos entre os negros e</w:t>
      </w:r>
      <w:r>
        <w:rPr>
          <w:sz w:val="18"/>
          <w:szCs w:val="18"/>
        </w:rPr>
        <w:t xml:space="preserve"> </w:t>
      </w:r>
      <m:oMath>
        <m:r>
          <m:rPr>
            <m:sty m:val="p"/>
          </m:rPr>
          <m:t>+</m:t>
        </m:r>
        <m:r>
          <m:t>0</m:t>
        </m:r>
        <m:r>
          <m:rPr>
            <m:sty m:val="p"/>
          </m:rPr>
          <m:t>,</m:t>
        </m:r>
        <m:r>
          <m:t>0299</m:t>
        </m:r>
      </m:oMath>
      <w:r>
        <w:rPr>
          <w:sz w:val="18"/>
          <w:szCs w:val="18"/>
        </w:rPr>
        <w:t xml:space="preserve"> </w:t>
      </w:r>
      <w:r>
        <w:rPr>
          <w:sz w:val="18"/>
          <w:szCs w:val="18"/>
        </w:rPr>
        <w:t xml:space="preserve">entre os brancos (XGBoost,</w:t>
      </w:r>
      <w:r>
        <w:rPr>
          <w:sz w:val="18"/>
          <w:szCs w:val="18"/>
        </w:rPr>
        <w:t xml:space="preserve"> </w:t>
      </w:r>
      <m:oMath>
        <m:sSub>
          <m:e>
            <m:r>
              <m:t>N</m:t>
            </m:r>
          </m:e>
          <m:sub>
            <m:r>
              <m:rPr>
                <m:nor/>
                <m:sty m:val="p"/>
              </m:rPr>
              <m:t>SHAP</m:t>
            </m:r>
          </m:sub>
        </m:sSub>
        <m:r>
          <m:rPr>
            <m:sty m:val="p"/>
          </m:rPr>
          <m:t>=</m:t>
        </m:r>
        <m:r>
          <m:t>50.000</m:t>
        </m:r>
      </m:oMath>
      <w:r>
        <w:rPr>
          <w:sz w:val="18"/>
          <w:szCs w:val="18"/>
        </w:rPr>
        <w:t xml:space="preserve">;</w:t>
      </w:r>
      <w:r>
        <w:rPr>
          <w:sz w:val="18"/>
          <w:szCs w:val="18"/>
        </w:rPr>
        <w:t xml:space="preserve"> </w:t>
      </w:r>
      <w:r>
        <w:rPr>
          <w:rStyle w:val="VerbatimChar"/>
          <w:sz w:val="18"/>
          <w:szCs w:val="18"/>
        </w:rPr>
        <w:t xml:space="preserve">shap_negro_por_grupo.csv</w:t>
      </w:r>
      <w:r>
        <w:rPr>
          <w:sz w:val="18"/>
          <w:szCs w:val="18"/>
        </w:rPr>
        <w:t xml:space="preserve">). A média de um</w:t>
      </w:r>
      <w:r>
        <w:rPr>
          <w:sz w:val="18"/>
          <w:szCs w:val="18"/>
        </w:rPr>
        <w:t xml:space="preserve"> </w:t>
      </w:r>
      <w:r>
        <w:rPr>
          <w:sz w:val="18"/>
          <w:szCs w:val="18"/>
        </w:rPr>
        <w:t xml:space="preserve">grupo mede o desvio em relação à previsão média da base, que mistura os dois; o</w:t>
      </w:r>
      <w:r>
        <w:rPr>
          <w:sz w:val="18"/>
          <w:szCs w:val="18"/>
        </w:rPr>
        <w:t xml:space="preserve"> </w:t>
      </w:r>
      <w:r>
        <w:rPr>
          <w:sz w:val="18"/>
          <w:szCs w:val="18"/>
        </w:rPr>
        <w:t xml:space="preserve">que corresponde ao coeficiente racial das regressões é o contraste entre elas.</w:t>
      </w:r>
    </w:p>
  </w:footnote>
  <w:footnote w:id="115">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Calculado sobre a população completa da PEA com renda positiva. Dos</w:t>
      </w:r>
      <w:r>
        <w:rPr>
          <w:sz w:val="18"/>
          <w:szCs w:val="18"/>
        </w:rPr>
        <w:t xml:space="preserve"> </w:t>
      </w:r>
      <m:oMath>
        <m:r>
          <m:t>23</m:t>
        </m:r>
      </m:oMath>
      <w:r>
        <w:rPr>
          <w:sz w:val="18"/>
          <w:szCs w:val="18"/>
        </w:rPr>
        <w:t xml:space="preserve"> </w:t>
      </w:r>
      <w:r>
        <w:rPr>
          <w:sz w:val="18"/>
          <w:szCs w:val="18"/>
        </w:rPr>
        <w:t xml:space="preserve">preditores analisados, VIF máximo </w:t>
      </w:r>
      <m:oMath>
        <m:r>
          <m:rPr>
            <m:sty m:val="p"/>
          </m:rPr>
          <m:t>=</m:t>
        </m:r>
        <m:r>
          <m:t>2</m:t>
        </m:r>
        <m:r>
          <m:rPr>
            <m:sty m:val="p"/>
          </m:rPr>
          <m:t>,</m:t>
        </m:r>
        <m:r>
          <m:t>66</m:t>
        </m:r>
      </m:oMath>
      <w:r>
        <w:rPr>
          <w:sz w:val="18"/>
          <w:szCs w:val="18"/>
        </w:rPr>
        <w:t xml:space="preserve"> </w:t>
      </w:r>
      <w:r>
        <w:rPr>
          <w:sz w:val="18"/>
          <w:szCs w:val="18"/>
        </w:rPr>
        <w:t xml:space="preserve">(CBO: Profissionais); 0 variáveis críticas</w:t>
      </w:r>
      <w:r>
        <w:rPr>
          <w:sz w:val="18"/>
          <w:szCs w:val="18"/>
        </w:rPr>
        <w:t xml:space="preserve"> </w:t>
      </w:r>
      <w:r>
        <w:rPr>
          <w:sz w:val="18"/>
          <w:szCs w:val="18"/>
        </w:rPr>
        <w:t xml:space="preserve">(VIF </w:t>
      </w:r>
      <m:oMath>
        <m:r>
          <m:rPr>
            <m:sty m:val="p"/>
          </m:rPr>
          <m:t>&gt;</m:t>
        </m:r>
        <m:r>
          <m:t>10</m:t>
        </m:r>
      </m:oMath>
      <w:r>
        <w:rPr>
          <w:sz w:val="18"/>
          <w:szCs w:val="18"/>
        </w:rPr>
        <w:t xml:space="preserve">); 0 variáveis altas (</w:t>
      </w:r>
      <m:oMath>
        <m:r>
          <m:t>5</m:t>
        </m:r>
      </m:oMath>
      <w:r>
        <w:rPr>
          <w:sz w:val="18"/>
          <w:szCs w:val="18"/>
        </w:rPr>
        <w:t xml:space="preserve">–</w:t>
      </w:r>
      <m:oMath>
        <m:r>
          <m:t>10</m:t>
        </m:r>
      </m:oMath>
      <w:r>
        <w:rPr>
          <w:sz w:val="18"/>
          <w:szCs w:val="18"/>
        </w:rPr>
        <w:t xml:space="preserve">);</w:t>
      </w:r>
      <w:r>
        <w:rPr>
          <w:sz w:val="18"/>
          <w:szCs w:val="18"/>
        </w:rPr>
        <w:t xml:space="preserve"> </w:t>
      </w:r>
      <w:r>
        <w:rPr>
          <w:sz w:val="18"/>
          <w:szCs w:val="18"/>
        </w:rPr>
        <w:t xml:space="preserve">6 variáveis moderadas (</w:t>
      </w:r>
      <m:oMath>
        <m:r>
          <m:t>2</m:t>
        </m:r>
      </m:oMath>
      <w:r>
        <w:rPr>
          <w:sz w:val="18"/>
          <w:szCs w:val="18"/>
        </w:rPr>
        <w:t xml:space="preserve">–</w:t>
      </w:r>
      <m:oMath>
        <m:r>
          <m:t>5</m:t>
        </m:r>
      </m:oMath>
      <w:r>
        <w:rPr>
          <w:sz w:val="18"/>
          <w:szCs w:val="18"/>
        </w:rPr>
        <w:t xml:space="preserve">);</w:t>
      </w:r>
      <w:r>
        <w:rPr>
          <w:sz w:val="18"/>
          <w:szCs w:val="18"/>
        </w:rPr>
        <w:t xml:space="preserve"> </w:t>
      </w:r>
      <w:r>
        <w:rPr>
          <w:sz w:val="18"/>
          <w:szCs w:val="18"/>
        </w:rPr>
        <w:t xml:space="preserve">17 variáveis baixas (</w:t>
      </w:r>
      <m:oMath>
        <m:r>
          <m:rPr>
            <m:sty m:val="p"/>
          </m:rPr>
          <m:t>&lt;</m:t>
        </m:r>
        <m:r>
          <m:t>2</m:t>
        </m:r>
      </m:oMath>
      <w:r>
        <w:rPr>
          <w:sz w:val="18"/>
          <w:szCs w:val="18"/>
        </w:rPr>
        <w:t xml:space="preserve">).</w:t>
      </w:r>
    </w:p>
  </w:footnote>
  <w:footnote w:id="11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Índice de Perda de Qualidade de Vida (IPQV; quanto maior, pior) de 0</w:t>
      </w:r>
      <w:r>
        <w:rPr>
          <w:sz w:val="18"/>
          <w:szCs w:val="18"/>
        </w:rPr>
        <w:t xml:space="preserve">,</w:t>
      </w:r>
      <w:r>
        <w:rPr>
          <w:sz w:val="18"/>
          <w:szCs w:val="18"/>
        </w:rPr>
        <w:t xml:space="preserve">183 para chefes pretos ou pardos, contra 0</w:t>
      </w:r>
      <w:r>
        <w:rPr>
          <w:sz w:val="18"/>
          <w:szCs w:val="18"/>
        </w:rPr>
        <w:t xml:space="preserve">,</w:t>
      </w:r>
      <w:r>
        <w:rPr>
          <w:sz w:val="18"/>
          <w:szCs w:val="18"/>
        </w:rPr>
        <w:t xml:space="preserve">122 para brancos; Gini do rendimento domiciliar</w:t>
      </w:r>
      <w:r>
        <w:rPr>
          <w:sz w:val="18"/>
          <w:szCs w:val="18"/>
        </w:rPr>
        <w:t xml:space="preserve"> </w:t>
      </w:r>
      <w:r>
        <w:rPr>
          <w:sz w:val="18"/>
          <w:szCs w:val="18"/>
        </w:rPr>
        <w:t xml:space="preserve">per capita</w:t>
      </w:r>
      <w:r>
        <w:rPr>
          <w:sz w:val="18"/>
          <w:szCs w:val="18"/>
        </w:rPr>
        <w:t xml:space="preserve"> </w:t>
      </w:r>
      <w:r>
        <w:rPr>
          <w:sz w:val="18"/>
          <w:szCs w:val="18"/>
        </w:rPr>
        <w:t xml:space="preserve">de 0</w:t>
      </w:r>
      <w:r>
        <w:rPr>
          <w:sz w:val="18"/>
          <w:szCs w:val="18"/>
        </w:rPr>
        <w:t xml:space="preserve">,</w:t>
      </w:r>
      <w:r>
        <w:rPr>
          <w:sz w:val="18"/>
          <w:szCs w:val="18"/>
        </w:rPr>
        <w:t xml:space="preserve">491 em 2025</w:t>
      </w:r>
      <w:r>
        <w:rPr>
          <w:sz w:val="18"/>
          <w:szCs w:val="18"/>
        </w:rPr>
        <w:t xml:space="preserve"> </w:t>
      </w:r>
      <w:r>
        <w:rPr>
          <w:sz w:val="18"/>
          <w:szCs w:val="18"/>
        </w:rPr>
        <w:t xml:space="preserve">(Instituto Brasileiro de Geografia e Estatística [IBGE], 2019, 2025)</w:t>
      </w:r>
      <w:r>
        <w:rPr>
          <w:sz w:val="18"/>
          <w:szCs w:val="18"/>
        </w:rPr>
        <w:t xml:space="preserve">.</w:t>
      </w:r>
    </w:p>
  </w:footnote>
  <w:footnote w:id="11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 Gini estimado neste trabalho refere-se ao rendimento do trabalho entre ocupados (em torno de 0</w:t>
      </w:r>
      <w:r>
        <w:rPr>
          <w:sz w:val="18"/>
          <w:szCs w:val="18"/>
        </w:rPr>
        <w:t xml:space="preserve">,</w:t>
      </w:r>
      <w:r>
        <w:rPr>
          <w:sz w:val="18"/>
          <w:szCs w:val="18"/>
        </w:rPr>
        <w:t xml:space="preserve">47), ao passo que o do IBGE é domiciliar</w:t>
      </w:r>
      <w:r>
        <w:rPr>
          <w:sz w:val="18"/>
          <w:szCs w:val="18"/>
        </w:rPr>
        <w:t xml:space="preserve"> </w:t>
      </w:r>
      <w:r>
        <w:rPr>
          <w:sz w:val="18"/>
          <w:szCs w:val="18"/>
        </w:rPr>
        <w:t xml:space="preserve">per capita</w:t>
      </w:r>
      <w:r>
        <w:rPr>
          <w:sz w:val="18"/>
          <w:szCs w:val="18"/>
        </w:rPr>
        <w:t xml:space="preserve"> </w:t>
      </w:r>
      <w:r>
        <w:rPr>
          <w:sz w:val="18"/>
          <w:szCs w:val="18"/>
        </w:rPr>
        <w:t xml:space="preserve">e de todas as fontes. Os níveis são próximos, mas as medidas podem divergir em tendência: a alta de 2025 é puxada por renda não-trabalho do topo, que não transita pelo rendimento dos ocupados.</w:t>
      </w:r>
    </w:p>
  </w:footnote>
  <w:footnote w:id="123">
    <w:p>
      <w:pPr>
        <w:pStyle w:val="FootnoteText"/>
        <w:spacing w:line="240" w:lineRule="auto" w:after="0"/>
      </w:pPr>
      <w:r>
        <w:rPr>
          <w:rStyle w:val="FootnoteReference"/>
          <w:vertAlign w:val="superscript"/>
          <w:sz w:val="18"/>
          <w:szCs w:val="18"/>
        </w:rPr>
        <w:footnoteRef/>
      </w:r>
      <w:r>
        <w:rPr>
          <w:sz w:val="18"/>
          <w:szCs w:val="18"/>
        </w:rPr>
        <w:t xml:space="preserve"> </w:t>
      </w:r>
      <m:oMath>
        <m:r>
          <m:t>δ</m:t>
        </m:r>
        <m:r>
          <m:rPr>
            <m:sty m:val="p"/>
          </m:rPr>
          <m:t>=</m:t>
        </m:r>
        <m:r>
          <m:t>0</m:t>
        </m:r>
        <m:r>
          <m:rPr>
            <m:sty m:val="p"/>
          </m:rPr>
          <m:t>,</m:t>
        </m:r>
        <m:r>
          <m:t>000928</m:t>
        </m:r>
      </m:oMath>
      <w:r>
        <w:rPr>
          <w:sz w:val="18"/>
          <w:szCs w:val="18"/>
        </w:rPr>
        <w:t xml:space="preserve"> </w:t>
      </w:r>
      <w:r>
        <w:rPr>
          <w:sz w:val="18"/>
          <w:szCs w:val="18"/>
        </w:rPr>
        <w:t xml:space="preserve">log-ponto por ano, IC 95%</w:t>
      </w:r>
      <w:r>
        <w:rPr>
          <w:sz w:val="18"/>
          <w:szCs w:val="18"/>
        </w:rPr>
        <w:t xml:space="preserve"> </w:t>
      </w:r>
      <m:oMath>
        <m:r>
          <m:rPr>
            <m:sty m:val="p"/>
          </m:rPr>
          <m:t>[</m:t>
        </m:r>
        <m:r>
          <m:t>0</m:t>
        </m:r>
        <m:r>
          <m:rPr>
            <m:sty m:val="p"/>
          </m:rPr>
          <m:t>,</m:t>
        </m:r>
        <m:r>
          <m:t>000133</m:t>
        </m:r>
        <m:r>
          <m:rPr>
            <m:sty m:val="p"/>
          </m:rPr>
          <m:t>;</m:t>
        </m:r>
        <m:r>
          <m:t> </m:t>
        </m:r>
        <m:r>
          <m:t>0</m:t>
        </m:r>
        <m:r>
          <m:rPr>
            <m:sty m:val="p"/>
          </m:rPr>
          <m:t>,</m:t>
        </m:r>
        <m:r>
          <m:t>001723</m:t>
        </m:r>
        <m:r>
          <m:rPr>
            <m:sty m:val="p"/>
          </m:rPr>
          <m:t>]</m:t>
        </m:r>
      </m:oMath>
      <w:r>
        <w:rPr>
          <w:sz w:val="18"/>
          <w:szCs w:val="18"/>
        </w:rPr>
        <w:t xml:space="preserve">,</w:t>
      </w:r>
      <w:r>
        <w:rPr>
          <w:sz w:val="18"/>
          <w:szCs w:val="18"/>
        </w:rPr>
        <w:t xml:space="preserve"> </w:t>
      </w:r>
      <m:oMath>
        <m:r>
          <m:t>p</m:t>
        </m:r>
        <m:r>
          <m:rPr>
            <m:sty m:val="p"/>
          </m:rPr>
          <m:t>=</m:t>
        </m:r>
        <m:r>
          <m:t>0</m:t>
        </m:r>
        <m:r>
          <m:rPr>
            <m:sty m:val="p"/>
          </m:rPr>
          <m:t>,</m:t>
        </m:r>
        <m:r>
          <m:t>027</m:t>
        </m:r>
      </m:oMath>
      <w:r>
        <w:rPr>
          <w:sz w:val="18"/>
          <w:szCs w:val="18"/>
        </w:rPr>
        <w:t xml:space="preserve">, por mínimos quadrados ponderados sobre o</w:t>
      </w:r>
      <w:r>
        <w:rPr>
          <w:sz w:val="18"/>
          <w:szCs w:val="18"/>
        </w:rPr>
        <w:t xml:space="preserve"> </w:t>
      </w:r>
      <m:oMath>
        <m:sSub>
          <m:e>
            <m:acc>
              <m:accPr>
                <m:chr m:val="̂"/>
              </m:accPr>
              <m:e>
                <m:r>
                  <m:t>β</m:t>
                </m:r>
              </m:e>
            </m:acc>
          </m:e>
          <m:sub>
            <m:r>
              <m:rPr>
                <m:nor/>
                <m:sty m:val="p"/>
              </m:rPr>
              <m:t>negro</m:t>
            </m:r>
          </m:sub>
        </m:sSub>
      </m:oMath>
      <w:r>
        <w:rPr>
          <w:sz w:val="18"/>
          <w:szCs w:val="18"/>
        </w:rPr>
        <w:t xml:space="preserve"> </w:t>
      </w:r>
      <w:r>
        <w:rPr>
          <w:sz w:val="18"/>
          <w:szCs w:val="18"/>
        </w:rP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0" Type="http://schemas.openxmlformats.org/officeDocument/2006/relationships/image" Target="media/rId70.png"/><Relationship Id="rId54" Type="http://schemas.openxmlformats.org/officeDocument/2006/relationships/image" Target="media/rId54.png"/><Relationship Id="rId60" Type="http://schemas.openxmlformats.org/officeDocument/2006/relationships/image" Target="media/rId60.png"/><Relationship Id="rId80" Type="http://schemas.openxmlformats.org/officeDocument/2006/relationships/image" Target="media/rId80.png"/><Relationship Id="rId88" Type="http://schemas.openxmlformats.org/officeDocument/2006/relationships/image" Target="media/rId88.png"/><Relationship Id="rId44" Type="http://schemas.openxmlformats.org/officeDocument/2006/relationships/image" Target="media/rId44.png"/><Relationship Id="rId119" Type="http://schemas.openxmlformats.org/officeDocument/2006/relationships/image" Target="media/rId119.png"/><Relationship Id="rId48" Type="http://schemas.openxmlformats.org/officeDocument/2006/relationships/image" Target="media/rId48.png"/><Relationship Id="rId103" Type="http://schemas.openxmlformats.org/officeDocument/2006/relationships/image" Target="media/rId103.png"/><Relationship Id="rId109" Type="http://schemas.openxmlformats.org/officeDocument/2006/relationships/image" Target="media/rId109.png"/><Relationship Id="rId173"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73"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2026-10-06T14:25:19Z</dcterms:created>
  <dcterms:modified xsi:type="dcterms:W3CDTF">2026-10-06T14:25:19Z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C:\Users\user\Documents\ProjetoRacismoPNAD\tcc\scripts\bib_manual_esalq.bib</vt:lpwstr>
  </property>
  <property fmtid="{D5CDD505-2E9C-101B-9397-08002B2CF9AE}" pid="3" name="csl">
    <vt:lpwstr>C:\Users\user\Documents\ProjetoRacismoPNAD\tcc\scripts\esalq_mba.csl</vt:lpwstr>
  </property>
</Properties>
</file>