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xml:space="preserve">;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r>
        <w:rPr>
          <w:rFonts w:ascii="Arial" w:hAnsi="Arial"/>
          <w:sz w:val="20"/>
        </w:rPr>
        <w:t xml:space="preserve"> </w:t>
      </w:r>
      <w:r>
        <w:rPr>
          <w:rFonts w:ascii="Arial" w:hAnsi="Arial"/>
          <w:sz w:val="20"/>
        </w:rPr>
        <w:t xml:space="preserve">E-mail: orientador@usp.br</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 xml:space="preserve">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Concluiu-se que a desigualdade racial opera em duas frentes que respondem de modo diferente à escolaridade: a penalidade salarial é maior entre os menos escolarizados e pequena entre os pós-graduados, enquanto a desvantagem no acesso a cargos qualificados persiste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xml:space="preserve">: diferencial racial de rendimentos;</w:t>
      </w:r>
      <w:r>
        <w:rPr>
          <w:rFonts w:ascii="Arial" w:hAnsi="Arial"/>
          <w:sz w:val="22"/>
        </w:rPr>
        <w:t xml:space="preserve"> </w:t>
      </w:r>
      <w:r>
        <w:rPr>
          <w:rFonts w:ascii="Arial" w:hAnsi="Arial"/>
          <w:sz w:val="22"/>
        </w:rPr>
        <w:t xml:space="preserve">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 xml:space="preserve">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It was concluded that racial inequality operates on two fronts that respond differently to schooling: the wage penalty is largest among the least educated and small among postgraduates, while the disadvantage in access to qualified jobs persists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xml:space="preserve">: racial earnings gap; residential segregation; glass</w:t>
      </w:r>
      <w:r>
        <w:rPr>
          <w:rFonts w:ascii="Arial" w:hAnsi="Arial"/>
          <w:sz w:val="22"/>
        </w:rPr>
        <w:t xml:space="preserve"> </w:t>
      </w:r>
      <w:r>
        <w:rPr>
          <w:rFonts w:ascii="Arial" w:hAnsi="Arial"/>
          <w:sz w:val="22"/>
        </w:rPr>
        <w:t xml:space="preserve">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(IBGE, 2023)</w:t>
      </w:r>
      <w:r>
        <w:rPr>
          <w:rFonts w:ascii="Arial" w:hAnsi="Arial"/>
          <w:sz w:val="22"/>
        </w:rPr>
        <w:t xml:space="preserve">. A</w:t>
      </w:r>
      <w:r>
        <w:rPr>
          <w:rFonts w:ascii="Arial" w:hAnsi="Arial"/>
          <w:sz w:val="22"/>
        </w:rPr>
        <w:t xml:space="preserve"> </w:t>
      </w:r>
      <w:r>
        <w:rPr>
          <w:rFonts w:ascii="Arial" w:hAnsi="Arial"/>
          <w:sz w:val="22"/>
        </w:rPr>
        <w:t xml:space="preserve">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 xml:space="preserve">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 xml:space="preserve">ele é desvio moral de pessoas; na institucional, está nas regras e práticas das</w:t>
      </w:r>
      <w:r>
        <w:rPr>
          <w:rFonts w:ascii="Arial" w:hAnsi="Arial"/>
          <w:sz w:val="22"/>
        </w:rPr>
        <w:t xml:space="preserve"> </w:t>
      </w:r>
      <w:r>
        <w:rPr>
          <w:rFonts w:ascii="Arial" w:hAnsi="Arial"/>
          <w:sz w:val="22"/>
        </w:rPr>
        <w:t xml:space="preserve">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 xml:space="preserve">de igualadas as características individuais; a sua mediação por estruturas — o</w:t>
      </w:r>
      <w:r>
        <w:rPr>
          <w:rFonts w:ascii="Arial" w:hAnsi="Arial"/>
          <w:sz w:val="22"/>
        </w:rPr>
        <w:t xml:space="preserve"> </w:t>
      </w:r>
      <w:r>
        <w:rPr>
          <w:rFonts w:ascii="Arial" w:hAnsi="Arial"/>
          <w:sz w:val="22"/>
        </w:rPr>
        <w:t xml:space="preserve">bairro de moradia e a porta das ocupações; e a sua acumulação onde se decide a</w:t>
      </w:r>
      <w:r>
        <w:rPr>
          <w:rFonts w:ascii="Arial" w:hAnsi="Arial"/>
          <w:sz w:val="22"/>
        </w:rPr>
        <w:t xml:space="preserve"> </w:t>
      </w:r>
      <w:r>
        <w:rPr>
          <w:rFonts w:ascii="Arial" w:hAnsi="Arial"/>
          <w:sz w:val="22"/>
        </w:rPr>
        <w:t xml:space="preserve">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xml:space="preserve">;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 xml:space="preserve">(Henriques,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 xml:space="preserve">mediada pelo bairro de moradia (H1); que a penalidade se agrava no topo da</w:t>
      </w:r>
      <w:r>
        <w:rPr>
          <w:rFonts w:ascii="Arial" w:hAnsi="Arial"/>
          <w:sz w:val="22"/>
        </w:rPr>
        <w:t xml:space="preserve"> </w:t>
      </w:r>
      <w:r>
        <w:rPr>
          <w:rFonts w:ascii="Arial" w:hAnsi="Arial"/>
          <w:sz w:val="22"/>
        </w:rPr>
        <w:t xml:space="preserve">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 xml:space="preserve">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 xml:space="preserve">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 xml:space="preserve">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 xml:space="preserve">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 xml:space="preserve">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 — a tabela que mostra de que é feita a comparação (Angrist &amp; Pischke, cap. 3).</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xml:space="preserve">;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xml:space="preserve">; 3.271.443 brancos e 4.427.835 negros).</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w:t>
      </w:r>
    </w:p>
    <w:p>
      <w:pPr>
        <w:pStyle w:val="BodyText"/>
      </w:pPr>
      <m:oMathPara>
        <m:oMathParaPr>
          <m:jc m:val="center"/>
        </m:oMathPara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r>
            <m:t> </m:t>
          </m:r>
          <m:sSub>
            <m:e>
              <m:r>
                <m:t>X</m:t>
              </m:r>
            </m:e>
            <m:sub>
              <m:r>
                <m:t>i</m:t>
              </m:r>
              <m:r>
                <m:t>j</m:t>
              </m:r>
            </m:sub>
          </m:sSub>
          <m:r>
            <m:rPr>
              <m:sty m:val="p"/>
            </m:rPr>
            <m:t>+</m:t>
          </m:r>
          <m:sSub>
            <m:e>
              <m:r>
                <m:t>β</m:t>
              </m:r>
            </m:e>
            <m:sub>
              <m:r>
                <m:t>4</m:t>
              </m:r>
            </m:sub>
          </m:sSub>
          <m:r>
            <m:t> </m:t>
          </m:r>
          <m:sSubSup>
            <m:e>
              <m:r>
                <m:t>X</m:t>
              </m:r>
            </m:e>
            <m:sub>
              <m:r>
                <m:t>i</m:t>
              </m:r>
              <m:r>
                <m:t>j</m:t>
              </m:r>
            </m:sub>
            <m:sup>
              <m:r>
                <m:t>2</m:t>
              </m:r>
            </m:sup>
          </m:sSubSup>
          <m:r>
            <m:rPr>
              <m:sty m:val="p"/>
            </m:rPr>
            <m:t>+</m:t>
          </m:r>
          <m:nary>
            <m:naryPr>
              <m:chr m:val="∑"/>
              <m:limLoc m:val="undOvr"/>
              <m:subHide m:val="off"/>
              <m:supHide m:val="on"/>
            </m:naryPr>
            <m:sub>
              <m:r>
                <m:t>e</m:t>
              </m:r>
            </m:sub>
            <m:sup>
              <m:r>
                <m:t>​</m:t>
              </m:r>
            </m:sup>
            <m:e>
              <m:sSub>
                <m:e>
                  <m:r>
                    <m:t>β</m:t>
                  </m:r>
                </m:e>
                <m:sub>
                  <m:r>
                    <m:t>e</m:t>
                  </m:r>
                </m:sub>
              </m:sSub>
            </m:e>
          </m:nary>
          <m:r>
            <m:t> </m:t>
          </m:r>
          <m:sSub>
            <m:e>
              <m:r>
                <m:rPr>
                  <m:nor/>
                  <m:sty m:val="p"/>
                </m:rPr>
                <m:t>Educ</m:t>
              </m:r>
            </m:e>
            <m:sub>
              <m:r>
                <m:t>e</m:t>
              </m:r>
              <m:r>
                <m:rPr>
                  <m:sty m:val="p"/>
                </m:rPr>
                <m:t>,</m:t>
              </m:r>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(1)</m:t>
          </m:r>
        </m:oMath>
      </m:oMathPara>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w:t>
      </w:r>
      <w:r>
        <w:rPr>
          <w:rFonts w:ascii="Arial" w:hAnsi="Arial"/>
          <w:sz w:val="22"/>
        </w:rPr>
        <w:t xml:space="preserve"> </w:t>
      </w:r>
      <w:r>
        <w:rPr>
          <w:rFonts w:ascii="Arial" w:hAnsi="Arial"/>
          <w:sz w:val="22"/>
        </w:rPr>
        <w:t xml:space="preserve">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(2)</m:t>
          </m:r>
        </m:oMath>
      </m:oMathPara>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 xml:space="preserve">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Bryk (2002)</w:t>
      </w:r>
      <w:r>
        <w:rPr>
          <w:rFonts w:ascii="Arial" w:hAnsi="Arial"/>
          <w:sz w:val="22"/>
        </w:rPr>
        <w:t xml:space="preserve">, os modelos</w:t>
      </w:r>
      <w:r>
        <w:rPr>
          <w:rFonts w:ascii="Arial" w:hAnsi="Arial"/>
          <w:sz w:val="22"/>
        </w:rPr>
        <w:t xml:space="preserve"> </w:t>
      </w:r>
      <w:r>
        <w:rPr>
          <w:rFonts w:ascii="Arial" w:hAnsi="Arial"/>
          <w:sz w:val="22"/>
        </w:rPr>
        <w:t xml:space="preserve">são estimados em degraus aninhados: M0 (nulo: só o intercepto aleatório, que dá o ICC);</w:t>
      </w:r>
      <w:r>
        <w:rPr>
          <w:rFonts w:ascii="Arial" w:hAnsi="Arial"/>
          <w:sz w:val="22"/>
        </w:rPr>
        <w:t xml:space="preserve"> </w:t>
      </w:r>
      <w:r>
        <w:rPr>
          <w:rFonts w:ascii="Arial" w:hAnsi="Arial"/>
          <w:sz w:val="22"/>
        </w:rPr>
        <w:t xml:space="preserve">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xml:space="preserve">;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 xml:space="preserve">estimados por máxima verossimilhança (ML), necessária para comparar efeitos fixos entre</w:t>
      </w:r>
      <w:r>
        <w:rPr>
          <w:rFonts w:ascii="Arial" w:hAnsi="Arial"/>
          <w:sz w:val="22"/>
        </w:rPr>
        <w:t xml:space="preserve"> </w:t>
      </w:r>
      <w:r>
        <w:rPr>
          <w:rFonts w:ascii="Arial" w:hAnsi="Arial"/>
          <w:sz w:val="22"/>
        </w:rPr>
        <w:t xml:space="preserve">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 xml:space="preserve">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(Blinder, 1973; 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 xml:space="preserve">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Gelbach; Miller,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Bryk, 2002)</w:t>
      </w:r>
      <w:r>
        <w:rPr>
          <w:rFonts w:ascii="Arial" w:hAnsi="Arial"/>
          <w:sz w:val="22"/>
        </w:rPr>
        <w:t xml:space="preserve">,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xml:space="preserve">—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 xml:space="preserve">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Pischke, 2009)</w:t>
      </w:r>
      <w:r>
        <w:rPr>
          <w:rFonts w:ascii="Arial" w:hAnsi="Arial"/>
          <w:sz w:val="22"/>
        </w:rPr>
        <w:t xml:space="preserve">;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 xml:space="preserve">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O mesmo vale para o acesso e para a decomposição: com o peso V1028 e erro agrupado por UPA,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xml:space="preserve">, e a parcela de preço da Oaxaca–Blinder (A) de 17,9% a 15,3%. O modelo multinível ponderado (WeMix)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 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75"/>
        <w:gridCol w:w="3516"/>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7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1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tcPr>
          <w:p>
            <w:pPr>
              <w:pStyle w:val="Compact"/>
              <w:keepNext/>
              <w:spacing w:line="240" w:lineRule="auto" w:after="0"/>
              <w:ind w:firstLine="0"/>
              <w:jc w:val="left"/>
            </w:pPr>
            <w:r>
              <w:rPr>
                <w:rFonts w:ascii="Arial" w:hAnsi="Arial"/>
                <w:b w:val="0"/>
                <w:sz w:val="22"/>
              </w:rPr>
              <w:t xml:space="preserve">Heterocedasticidade (Breusch–Pagan)</w:t>
            </w:r>
          </w:p>
        </w:tc>
        <w:tc>
          <w:tcPr>
            <w:tcW w:type="dxa" w:w="2875"/>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16"/>
          </w:tcPr>
          <w:p>
            <w:pPr>
              <w:pStyle w:val="Compact"/>
              <w:keepNext/>
              <w:spacing w:line="240" w:lineRule="auto" w:after="0"/>
              <w:ind w:firstLine="0"/>
              <w:jc w:val="left"/>
            </w:pPr>
            <w:r>
              <w:rPr>
                <w:rFonts w:ascii="Arial" w:hAnsi="Arial"/>
                <w:b w:val="0"/>
                <w:sz w:val="22"/>
              </w:rPr>
              <w:t xml:space="preserve">erro-padrão agrupado por UPA e bootstrap em blocos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Forma funcional (RESET)</w:t>
            </w:r>
          </w:p>
        </w:tc>
        <w:tc>
          <w:tcPr>
            <w:tcW w:type="dxa" w:w="2875"/>
          </w:tcPr>
          <w:p>
            <w:pPr>
              <w:pStyle w:val="Compact"/>
              <w:keepNext/>
              <w:spacing w:line="240" w:lineRule="auto" w:after="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16"/>
          </w:tcPr>
          <w:p>
            <w:pPr>
              <w:pStyle w:val="Compact"/>
              <w:keepNext/>
              <w:spacing w:line="240" w:lineRule="auto" w:after="0"/>
              <w:ind w:firstLine="0"/>
              <w:jc w:val="left"/>
            </w:pPr>
            <w:r>
              <w:rPr>
                <w:rFonts w:ascii="Arial" w:hAnsi="Arial"/>
                <w:b w:val="0"/>
                <w:sz w:val="22"/>
              </w:rPr>
              <w:t xml:space="preserve">rejeição sem relevância prática; forma mantida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Multicolinearidade (VIF)</w:t>
            </w:r>
          </w:p>
        </w:tc>
        <w:tc>
          <w:tcPr>
            <w:tcW w:type="dxa" w:w="2875"/>
          </w:tcPr>
          <w:p>
            <w:pPr>
              <w:pStyle w:val="Compact"/>
              <w:keepNext/>
              <w:spacing w:line="240" w:lineRule="auto" w:after="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16"/>
          </w:tcPr>
          <w:p>
            <w:pPr>
              <w:pStyle w:val="Compact"/>
              <w:keepNext/>
              <w:spacing w:line="240" w:lineRule="auto" w:after="0"/>
              <w:ind w:firstLine="0"/>
              <w:jc w:val="left"/>
            </w:pPr>
            <w:r>
              <w:rPr>
                <w:rFonts w:ascii="Arial" w:hAnsi="Arial"/>
                <w:b w:val="0"/>
                <w:sz w:val="22"/>
              </w:rPr>
              <w:t xml:space="preserve">sem colinearidade relevante; o coeficiente de interesse não é afetado</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Estrutura multinível (teste de razão de verossimilhança)</w:t>
            </w:r>
          </w:p>
        </w:tc>
        <w:tc>
          <w:tcPr>
            <w:tcW w:type="dxa" w:w="2875"/>
          </w:tcPr>
          <w:p>
            <w:pPr>
              <w:pStyle w:val="Compact"/>
              <w:keepNext/>
              <w:spacing w:line="240" w:lineRule="auto" w:after="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16"/>
          </w:tcPr>
          <w:p>
            <w:pPr>
              <w:pStyle w:val="Compact"/>
              <w:keepNext/>
              <w:spacing w:line="240" w:lineRule="auto" w:after="0"/>
              <w:ind w:firstLine="0"/>
              <w:jc w:val="left"/>
            </w:pPr>
            <w:r>
              <w:rPr>
                <w:rFonts w:ascii="Arial" w:hAnsi="Arial"/>
                <w:b w:val="0"/>
                <w:sz w:val="22"/>
              </w:rPr>
              <w:t xml:space="preserve">nível de bairro justificado (limiar de 5%)</w:t>
            </w:r>
          </w:p>
        </w:tc>
      </w:tr>
      <w:tr>
        <w:trPr>
          <w:cantSplit/>
        </w:trPr>
        <w:tc>
          <w:tcPr>
            <w:tcW w:type="dxa" w:w="2680"/>
          </w:tcPr>
          <w:p>
            <w:pPr>
              <w:pStyle w:val="Compact"/>
              <w:keepNext/>
              <w:spacing w:line="240" w:lineRule="auto" w:after="0"/>
              <w:ind w:firstLine="0"/>
              <w:jc w:val="left"/>
            </w:pPr>
            <w:r>
              <w:rPr>
                <w:rFonts w:ascii="Arial" w:hAnsi="Arial"/>
                <w:b w:val="0"/>
                <w:sz w:val="22"/>
              </w:rPr>
              <w:t xml:space="preserve">Método de estimação (ML vs. REML)</w:t>
            </w:r>
          </w:p>
        </w:tc>
        <w:tc>
          <w:tcPr>
            <w:tcW w:type="dxa" w:w="2875"/>
          </w:tcPr>
          <w:p>
            <w:pPr>
              <w:pStyle w:val="Compact"/>
              <w:keepNext/>
              <w:spacing w:line="240" w:lineRule="auto" w:after="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16"/>
          </w:tcPr>
          <w:p>
            <w:pPr>
              <w:pStyle w:val="Compact"/>
              <w:keepNext/>
              <w:spacing w:line="240" w:lineRule="auto" w:after="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(Konfound/ITCV)</w:t>
            </w:r>
          </w:p>
        </w:tc>
        <w:tc>
          <w:tcPr>
            <w:tcW w:type="dxa" w:w="2875"/>
          </w:tcPr>
          <w:p>
            <w:pPr>
              <w:pStyle w:val="Compact"/>
              <w:keepNext/>
              <w:spacing w:line="240" w:lineRule="auto" w:after="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16"/>
          </w:tcPr>
          <w:p>
            <w:pPr>
              <w:pStyle w:val="Compact"/>
              <w:keepNext/>
              <w:spacing w:line="240" w:lineRule="auto" w:after="0"/>
              <w:ind w:firstLine="0"/>
              <w:jc w:val="left"/>
            </w:pPr>
            <w:r>
              <w:rPr>
                <w:rFonts w:ascii="Arial" w:hAnsi="Arial"/>
                <w:b w:val="0"/>
                <w:sz w:val="22"/>
              </w:rPr>
              <w:t xml:space="preserve">achado robusto a confundimento plausível</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(E-value)</w:t>
            </w:r>
          </w:p>
        </w:tc>
        <w:tc>
          <w:tcPr>
            <w:tcW w:type="dxa" w:w="2875"/>
          </w:tcPr>
          <w:p>
            <w:pPr>
              <w:pStyle w:val="Compact"/>
              <w:keepNext/>
              <w:spacing w:line="240" w:lineRule="auto" w:after="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16"/>
          </w:tcPr>
          <w:p>
            <w:pPr>
              <w:pStyle w:val="Compact"/>
              <w:keepNext/>
              <w:spacing w:line="240" w:lineRule="auto" w:after="0"/>
              <w:ind w:firstLine="0"/>
              <w:jc w:val="left"/>
            </w:pPr>
            <w:r>
              <w:rPr>
                <w:rFonts w:ascii="Arial" w:hAnsi="Arial"/>
                <w:b w:val="0"/>
                <w:sz w:val="22"/>
              </w:rPr>
              <w:t xml:space="preserve">um confundidor precisaria dessa força com raça e desfecho</w:t>
            </w:r>
          </w:p>
        </w:tc>
      </w:tr>
      <w:tr>
        <w:trPr>
          <w:cantSplit/>
        </w:trPr>
        <w:tc>
          <w:tcPr>
            <w:tcW w:type="dxa" w:w="2680"/>
          </w:tcPr>
          <w:p>
            <w:pPr>
              <w:pStyle w:val="Compact"/>
              <w:keepNext/>
              <w:spacing w:line="240" w:lineRule="auto" w:after="0"/>
              <w:ind w:firstLine="0"/>
              <w:jc w:val="left"/>
            </w:pPr>
            <w:r>
              <w:rPr>
                <w:rFonts w:ascii="Arial" w:hAnsi="Arial"/>
                <w:b w:val="0"/>
                <w:sz w:val="22"/>
              </w:rPr>
              <w:t xml:space="preserve">Sobreajuste (treino vs. teste)</w:t>
            </w:r>
          </w:p>
        </w:tc>
        <w:tc>
          <w:tcPr>
            <w:tcW w:type="dxa" w:w="2875"/>
          </w:tcPr>
          <w:p>
            <w:pPr>
              <w:pStyle w:val="Compact"/>
              <w:keepNext/>
              <w:spacing w:line="240" w:lineRule="auto" w:after="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16"/>
          </w:tcPr>
          <w:p>
            <w:pPr>
              <w:pStyle w:val="Compact"/>
              <w:keepNext/>
              <w:spacing w:line="240" w:lineRule="auto" w:after="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tcPr>
          <w:p>
            <w:pPr>
              <w:pStyle w:val="Compact"/>
              <w:keepNext/>
              <w:spacing w:line="240" w:lineRule="auto" w:after="0"/>
              <w:ind w:firstLine="0"/>
              <w:jc w:val="left"/>
            </w:pPr>
            <w:r>
              <w:rPr>
                <w:rFonts w:ascii="Arial" w:hAnsi="Arial"/>
                <w:b w:val="0"/>
                <w:sz w:val="22"/>
              </w:rPr>
              <w:t xml:space="preserve">Ganho do ML sobre o linear</w:t>
            </w:r>
          </w:p>
        </w:tc>
        <w:tc>
          <w:tcPr>
            <w:tcW w:type="dxa" w:w="2875"/>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16"/>
          </w:tcPr>
          <w:p>
            <w:pPr>
              <w:pStyle w:val="Compact"/>
              <w:keepNext/>
              <w:spacing w:line="240" w:lineRule="auto" w:after="0"/>
              <w:ind w:firstLine="0"/>
              <w:jc w:val="left"/>
            </w:pPr>
            <w:r>
              <w:rPr>
                <w:rFonts w:ascii="Arial" w:hAnsi="Arial"/>
                <w:b w:val="0"/>
                <w:sz w:val="22"/>
              </w:rPr>
              <w:t xml:space="preserve">mesmo treino e teste; o ganho real está no XGBoost</w:t>
            </w:r>
          </w:p>
        </w:tc>
      </w:tr>
      <w:tr>
        <w:trPr>
          <w:cantSplit/>
        </w:trPr>
        <w:tc>
          <w:tcPr>
            <w:tcW w:type="dxa" w:w="2680"/>
          </w:tcPr>
          <w:p>
            <w:pPr>
              <w:pStyle w:val="Compact"/>
              <w:keepNext/>
              <w:spacing w:line="240" w:lineRule="auto" w:after="0"/>
              <w:ind w:firstLine="0"/>
              <w:jc w:val="left"/>
            </w:pPr>
            <w:r>
              <w:rPr>
                <w:rFonts w:ascii="Arial" w:hAnsi="Arial"/>
                <w:b w:val="0"/>
                <w:sz w:val="22"/>
              </w:rPr>
              <w:t xml:space="preserve">Peso amostral (V1028) no acesso e na decomposição</w:t>
            </w:r>
          </w:p>
        </w:tc>
        <w:tc>
          <w:tcPr>
            <w:tcW w:type="dxa" w:w="2875"/>
          </w:tcPr>
          <w:p>
            <w:pPr>
              <w:pStyle w:val="Compact"/>
              <w:keepNext/>
              <w:spacing w:line="240" w:lineRule="auto" w:after="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preço da Oaxaca (A)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16"/>
          </w:tcPr>
          <w:p>
            <w:pPr>
              <w:pStyle w:val="Compact"/>
              <w:keepNext/>
              <w:spacing w:line="240" w:lineRule="auto" w:after="0"/>
              <w:ind w:firstLine="0"/>
              <w:jc w:val="left"/>
            </w:pPr>
            <w:r>
              <w:rPr>
                <w:rFonts w:ascii="Arial" w:hAnsi="Arial"/>
                <w:b w:val="0"/>
                <w:sz w:val="22"/>
              </w:rPr>
              <w:t xml:space="preserve">logit com UF fixo e erro agrupado por UPA; conclusão inalterada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75"/>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16"/>
          </w:tcPr>
          <w:p>
            <w:pPr>
              <w:pStyle w:val="Compact"/>
              <w:keepNext/>
              <w:spacing w:line="240" w:lineRule="auto" w:after="0"/>
              <w:ind w:firstLine="0"/>
              <w:jc w:val="left"/>
            </w:pPr>
            <w:r>
              <w:rPr>
                <w:rFonts w:ascii="Arial" w:hAnsi="Arial"/>
                <w:b w:val="0"/>
                <w:sz w:val="22"/>
              </w:rPr>
              <w:t xml:space="preserve">hiperparâmetros escolhidos em partição de validação e confirmados por CV</w:t>
            </w:r>
          </w:p>
        </w:tc>
      </w:tr>
      <w:tr>
        <w:trPr>
          <w:cantSplit/>
        </w:trPr>
        <w:tc>
          <w:tcPr>
            <w:tcW w:type="dxa" w:w="2680"/>
          </w:tcPr>
          <w:p>
            <w:pPr>
              <w:pStyle w:val="Compact"/>
              <w:keepNext/>
              <w:spacing w:line="240" w:lineRule="auto" w:after="0"/>
              <w:ind w:firstLine="0"/>
              <w:jc w:val="left"/>
            </w:pPr>
            <w:r>
              <w:rPr>
                <w:rFonts w:ascii="Arial" w:hAnsi="Arial"/>
                <w:b w:val="0"/>
                <w:sz w:val="22"/>
              </w:rPr>
              <w:t xml:space="preserve">Balanceamento e suporte comum</w:t>
            </w:r>
          </w:p>
        </w:tc>
        <w:tc>
          <w:tcPr>
            <w:tcW w:type="dxa" w:w="2875"/>
          </w:tcPr>
          <w:p>
            <w:pPr>
              <w:pStyle w:val="Compact"/>
              <w:keepNext/>
              <w:spacing w:line="240" w:lineRule="auto" w:after="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16"/>
          </w:tcPr>
          <w:p>
            <w:pPr>
              <w:pStyle w:val="Compact"/>
              <w:keepNext/>
              <w:spacing w:line="240" w:lineRule="auto" w:after="0"/>
              <w:ind w:firstLine="0"/>
              <w:jc w:val="left"/>
            </w:pPr>
            <w:r>
              <w:rPr>
                <w:rFonts w:ascii="Arial" w:hAnsi="Arial"/>
                <w:b w:val="0"/>
                <w:sz w:val="22"/>
              </w:rPr>
              <w:t xml:space="preserve">desequilíbrio concentrado no contexto de bairro, absorvido pelo nível 2</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Especificação do nível de estado</w:t>
            </w:r>
          </w:p>
        </w:tc>
        <w:tc>
          <w:tcPr>
            <w:tcW w:type="dxa" w:w="2875"/>
          </w:tcPr>
          <w:p>
            <w:pPr>
              <w:pStyle w:val="Compact"/>
              <w:keepNext/>
              <w:spacing w:line="240" w:lineRule="auto" w:after="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16"/>
          </w:tcPr>
          <w:p>
            <w:pPr>
              <w:pStyle w:val="Compact"/>
              <w:keepNext/>
              <w:spacing w:line="240" w:lineRule="auto" w:after="0"/>
              <w:ind w:firstLine="0"/>
              <w:jc w:val="left"/>
            </w:pPr>
            <w:r>
              <w:rPr>
                <w:rFonts w:ascii="Arial" w:hAnsi="Arial"/>
                <w:b w:val="0"/>
                <w:sz w:val="22"/>
              </w:rPr>
              <w:t xml:space="preserve">igual ao da UF como efeito fixo; resultado não depende da escolha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Vazamento das médias de contexto</w:t>
            </w:r>
          </w:p>
        </w:tc>
        <w:tc>
          <w:tcPr>
            <w:tcW w:type="dxa" w:w="2875"/>
          </w:tcPr>
          <w:p>
            <w:pPr>
              <w:pStyle w:val="Compact"/>
              <w:keepNext/>
              <w:spacing w:line="240" w:lineRule="auto" w:after="0"/>
              <w:ind w:firstLine="0"/>
              <w:jc w:val="left"/>
            </w:pPr>
            <w:r>
              <w:rPr>
                <w:rFonts w:ascii="Arial" w:hAnsi="Arial"/>
                <w:b w:val="0"/>
                <w:sz w:val="22"/>
              </w:rPr>
              <w:t xml:space="preserve">médias do bairro e do estado calculadas sem a própria observação</w:t>
            </w:r>
          </w:p>
        </w:tc>
        <w:tc>
          <w:tcPr>
            <w:tcW w:type="dxa" w:w="3516"/>
          </w:tcPr>
          <w:p>
            <w:pPr>
              <w:pStyle w:val="Compact"/>
              <w:keepNext/>
              <w:spacing w:line="240" w:lineRule="auto" w:after="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Dependência intragrupo (Moulton)</w:t>
            </w:r>
          </w:p>
        </w:tc>
        <w:tc>
          <w:tcPr>
            <w:tcW w:type="dxa" w:w="287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regressores que variam no nível da UPA</w:t>
            </w:r>
          </w:p>
        </w:tc>
        <w:tc>
          <w:tcPr>
            <w:tcW w:type="dxa" w:w="3516"/>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erro-padrão agrupado por UPA em todos os modelos</w:t>
            </w:r>
          </w:p>
        </w:tc>
      </w:tr>
    </w:tbl>
    <w:bookmarkEnd w:id="30"/>
    <w:p>
      <w:pPr>
        <w:pStyle w:val="BodyText"/>
        <w:spacing w:line="240" w:lineRule="auto" w:before="40" w:after="240"/>
        <w:ind w:firstLine="0"/>
        <w:jc w:val="both"/>
      </w:pPr>
      <w:r>
        <w:rPr>
          <w:rFonts w:ascii="Arial" w:hAnsi="Arial"/>
          <w:sz w:val="22"/>
        </w:rPr>
        <w:t xml:space="preserve">Fonte: Resultados originais da pesquisa.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 xml:space="preserve">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 xml:space="preserve">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9"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 xml:space="preserve">Os resultados seguem a trajetória anunciada nas Considerações Iniciais: o bairro, a composição do diferencial, a porta das ocupações, a escada da distribuição de renda e a interseção de raça e gênero. Cada etapa responde a uma pergunta e deixa a seguinte; a Discussão, ao final, reúne as respostas e as confronta com as políticas vigentes.</w:t>
      </w:r>
    </w:p>
    <w:bookmarkStart w:id="56"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4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5"/>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6"/>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7"/>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8"/>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 xml:space="preserve">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39"/>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p>
    <w:bookmarkStart w:id="41" w:name="tab:simetria"/>
    <w:p>
      <w:pPr>
        <w:pStyle w:val="TableCaption"/>
        <w:keepNext/>
        <w:keepLines/>
        <w:spacing w:line="240" w:lineRule="auto" w:before="240" w:after="40"/>
        <w:ind w:firstLine="0"/>
        <w:jc w:val="both"/>
      </w:pPr>
      <w:r>
        <w:rPr>
          <w:rFonts w:ascii="Arial" w:hAnsi="Arial"/>
          <w:sz w:val="22"/>
        </w:rPr>
        <w:t xml:space="preserve">Tabela 3. Simetria dos controles entre os dois modelos. Os blocos predeterminados são</w:t>
      </w:r>
      <w:r>
        <w:rPr>
          <w:rFonts w:ascii="Arial" w:hAnsi="Arial"/>
          <w:sz w:val="22"/>
        </w:rPr>
        <w:t xml:space="preserve"> </w:t>
      </w:r>
      <w:r>
        <w:rPr>
          <w:rFonts w:ascii="Arial" w:hAnsi="Arial"/>
          <w:sz w:val="22"/>
        </w:rPr>
        <w:t xml:space="preserve">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tbl>
      <w:tblPr>
        <w:tblStyle w:val="Table"/>
        <w:tblW w:type="auto" w:w="0"/>
        <w:tblLayout w:type="fixed"/>
        <w:tblLook w:firstRow="1" w:lastRow="0" w:firstColumn="0" w:lastColumn="0" w:noHBand="0" w:noVBand="0" w:val="0020"/>
        <w:tblCaption w:val="Tabela 3.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tcPr>
          <w:p>
            <w:pPr>
              <w:pStyle w:val="Compact"/>
              <w:keepNext/>
              <w:spacing w:line="240" w:lineRule="auto" w:after="0"/>
              <w:ind w:firstLine="0"/>
              <w:jc w:val="left"/>
            </w:pPr>
            <w:r>
              <w:rPr>
                <w:rFonts w:ascii="Arial" w:hAnsi="Arial"/>
                <w:b w:val="0"/>
                <w:sz w:val="22"/>
              </w:rPr>
              <w:t xml:space="preserve">Predeterminados</w:t>
            </w:r>
          </w:p>
        </w:tc>
        <w:tc>
          <w:tcPr>
            <w:tcW w:type="dxa" w:w="3564"/>
          </w:tcPr>
          <w:p>
            <w:pPr>
              <w:pStyle w:val="Compact"/>
              <w:keepNext/>
              <w:spacing w:line="240" w:lineRule="auto" w:after="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Contexto do bairro</w:t>
            </w:r>
          </w:p>
        </w:tc>
        <w:tc>
          <w:tcPr>
            <w:tcW w:type="dxa" w:w="3564"/>
          </w:tcPr>
          <w:p>
            <w:pPr>
              <w:pStyle w:val="Compact"/>
              <w:keepNext/>
              <w:spacing w:line="240" w:lineRule="auto" w:after="0"/>
              <w:ind w:firstLine="0"/>
              <w:jc w:val="left"/>
            </w:pPr>
            <w:r>
              <w:rPr>
                <w:rFonts w:ascii="Arial" w:hAnsi="Arial"/>
                <w:b w:val="0"/>
                <w:sz w:val="22"/>
              </w:rPr>
              <w:t xml:space="preserve">% negro, desemprego e escolaridade média da UPA</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Jornada</w:t>
            </w:r>
          </w:p>
        </w:tc>
        <w:tc>
          <w:tcPr>
            <w:tcW w:type="dxa" w:w="3564"/>
          </w:tcPr>
          <w:p>
            <w:pPr>
              <w:pStyle w:val="Compact"/>
              <w:keepNext/>
              <w:spacing w:line="240" w:lineRule="auto" w:after="0"/>
              <w:ind w:firstLine="0"/>
              <w:jc w:val="left"/>
            </w:pPr>
            <w:r>
              <w:rPr>
                <w:rFonts w:ascii="Arial" w:hAnsi="Arial"/>
                <w:b w:val="0"/>
                <w:sz w:val="22"/>
              </w:rPr>
              <w:t xml:space="preserve">controle necessário: o desfecho é rendimento mensal</w:t>
            </w:r>
          </w:p>
        </w:tc>
        <w:tc>
          <w:tcPr>
            <w:tcW w:type="dxa" w:w="3337"/>
          </w:tcPr>
          <w:p>
            <w:pPr>
              <w:pStyle w:val="Compact"/>
              <w:keepNext/>
              <w:spacing w:line="240" w:lineRule="auto" w:after="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1"/>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 xml:space="preserve">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2"/>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6" w:name="fig:hlm_blups"/>
    <w:p>
      <w:pPr>
        <w:pStyle w:val="CaptionedFigure"/>
        <w:keepNext/>
        <w:keepLines/>
      </w:pPr>
      <w:r>
        <w:rPr>
          <w:rFonts w:ascii="Arial" w:hAnsi="Arial"/>
          <w:sz w:val="22"/>
        </w:rPr>
        <w:drawing>
          <wp:inline>
            <wp:extent cx="5753100" cy="2573415"/>
            <wp:effectExtent b="0" l="0" r="0" t="0"/>
            <wp:docPr descr="" title="" id="44" name="Picture"/>
            <a:graphic>
              <a:graphicData uri="http://schemas.openxmlformats.org/drawingml/2006/picture">
                <pic:pic>
                  <pic:nvPicPr>
                    <pic:cNvPr descr="outputs/figures/hlm_efeitos_uf_blup_upa.png" id="45" name="Picture"/>
                    <pic:cNvPicPr>
                      <a:picLocks noChangeArrowheads="1" noChangeAspect="1"/>
                    </pic:cNvPicPr>
                  </pic:nvPicPr>
                  <pic:blipFill>
                    <a:blip r:embed="rId43"/>
                    <a:stretch>
                      <a:fillRect/>
                    </a:stretch>
                  </pic:blipFill>
                  <pic:spPr bwMode="auto">
                    <a:xfrm>
                      <a:off x="0" y="0"/>
                      <a:ext cx="5753100" cy="25734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À esquerda, os</w:t>
      </w:r>
      <w:r>
        <w:rPr>
          <w:rFonts w:ascii="Arial" w:hAnsi="Arial"/>
          <w:sz w:val="22"/>
        </w:rPr>
        <w:t xml:space="preserve"> </w:t>
      </w:r>
      <w:r>
        <w:rPr>
          <w:rFonts w:ascii="Arial" w:hAnsi="Arial"/>
          <w:sz w:val="22"/>
        </w:rPr>
        <w:t xml:space="preserve">efeitos fixos de UF do M3 com IC 95% (referência: primeira UF); à direita,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 cada ponto à esquerda é um estado;</w:t>
      </w:r>
      <w:r>
        <w:rPr>
          <w:rFonts w:ascii="Arial" w:hAnsi="Arial"/>
          <w:sz w:val="22"/>
        </w:rPr>
        <w:t xml:space="preserve"> </w:t>
      </w:r>
      <w:r>
        <w:rPr>
          <w:rFonts w:ascii="Arial" w:hAnsi="Arial"/>
          <w:sz w:val="22"/>
        </w:rPr>
        <w:t xml:space="preserve">a largura do histograma à direita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0" w:name="fig:hlm_rs"/>
    <w:p>
      <w:pPr>
        <w:pStyle w:val="CaptionedFigure"/>
        <w:keepNext/>
        <w:keepLines/>
      </w:pPr>
      <w:r>
        <w:rPr>
          <w:rFonts w:ascii="Arial" w:hAnsi="Arial"/>
          <w:sz w:val="22"/>
        </w:rPr>
        <w:drawing>
          <wp:inline>
            <wp:extent cx="5753100" cy="2510443"/>
            <wp:effectExtent b="0" l="0" r="0" t="0"/>
            <wp:docPr descr="" title="" id="48" name="Picture"/>
            <a:graphic>
              <a:graphicData uri="http://schemas.openxmlformats.org/drawingml/2006/picture">
                <pic:pic>
                  <pic:nvPicPr>
                    <pic:cNvPr descr="outputs/figures/hlm_rs_retas_upa.png" id="49" name="Picture"/>
                    <pic:cNvPicPr>
                      <a:picLocks noChangeArrowheads="1" noChangeAspect="1"/>
                    </pic:cNvPicPr>
                  </pic:nvPicPr>
                  <pic:blipFill>
                    <a:blip r:embed="rId47"/>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à esquerda, a reta ajustada</w:t>
      </w:r>
      <w:r>
        <w:rPr>
          <w:rFonts w:ascii="Arial" w:hAnsi="Arial"/>
          <w:sz w:val="22"/>
        </w:rPr>
        <w:t xml:space="preserve"> </w:t>
      </w:r>
      <w:r>
        <w:rPr>
          <w:rFonts w:ascii="Arial" w:hAnsi="Arial"/>
          <w:sz w:val="22"/>
        </w:rPr>
        <w:t xml:space="preserve">de cada bairro (amostra de 250 UPAs com brancos e negros) e, em azul, a média; à direita,</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à esquerda,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À direita,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 xml:space="preserve">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bookmarkStart w:id="54" w:name="fig:hlm_negro_educ"/>
    <w:p>
      <w:pPr>
        <w:pStyle w:val="CaptionedFigure"/>
        <w:keepNext/>
        <w:keepLines/>
      </w:pPr>
      <w:r>
        <w:rPr>
          <w:rFonts w:ascii="Arial" w:hAnsi="Arial"/>
          <w:sz w:val="22"/>
        </w:rPr>
        <w:drawing>
          <wp:inline>
            <wp:extent cx="5177790" cy="3634073"/>
            <wp:effectExtent b="0" l="0" r="0" t="0"/>
            <wp:docPr descr="" title="" id="52" name="Picture"/>
            <a:graphic>
              <a:graphicData uri="http://schemas.openxmlformats.org/drawingml/2006/picture">
                <pic:pic>
                  <pic:nvPicPr>
                    <pic:cNvPr descr="outputs/figures/hlm_negro_por_educ_retas.png" id="53" name="Picture"/>
                    <pic:cNvPicPr>
                      <a:picLocks noChangeArrowheads="1" noChangeAspect="1"/>
                    </pic:cNvPicPr>
                  </pic:nvPicPr>
                  <pic:blipFill>
                    <a:blip r:embed="rId51"/>
                    <a:stretch>
                      <a:fillRect/>
                    </a:stretch>
                  </pic:blipFill>
                  <pic:spPr bwMode="auto">
                    <a:xfrm>
                      <a:off x="0" y="0"/>
                      <a:ext cx="5177790" cy="36340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54"/>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3: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 xml:space="preserve">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7)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Start w:id="55" w:name="tab:hlm_resultados"/>
    <w:p>
      <w:pPr>
        <w:pStyle w:val="TableCaption"/>
        <w:keepNext/>
        <w:keepLines/>
        <w:spacing w:line="240" w:lineRule="auto" w:before="240" w:after="40"/>
        <w:ind w:firstLine="0"/>
        <w:jc w:val="both"/>
      </w:pPr>
      <w:r>
        <w:rPr>
          <w:rFonts w:ascii="Arial" w:hAnsi="Arial"/>
          <w:sz w:val="22"/>
        </w:rPr>
        <w:t xml:space="preserve">Tabela 4. HLM de dois níveis (indivíduo em UPA) com efeitos fixos de UF — 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xml:space="preserve">; 40.728 UPAs; 27 UFs). 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Pischke, 2009, cap. 8)</w:t>
      </w:r>
      <w:r>
        <w:rPr>
          <w:rFonts w:ascii="Arial" w:hAnsi="Arial"/>
          <w:sz w:val="22"/>
        </w:rPr>
        <w:t xml:space="preserve">.</w:t>
      </w:r>
    </w:p>
    <w:tbl>
      <w:tblPr>
        <w:tblStyle w:val="Table"/>
        <w:tblW w:type="auto" w:w="0"/>
        <w:tblLayout w:type="fixed"/>
        <w:tblLook w:firstRow="1" w:lastRow="0" w:firstColumn="0" w:lastColumn="0" w:noHBand="0" w:noVBand="0" w:val="0020"/>
        <w:tblCaption w:val="Tabela 4.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tcPr>
          <w:p>
            <w:pPr>
              <w:pStyle w:val="Compact"/>
              <w:spacing w:line="240" w:lineRule="auto" w:after="0"/>
              <w:ind w:firstLine="0"/>
              <w:jc w:val="left"/>
            </w:pPr>
            <w:r>
              <w:rPr>
                <w:rFonts w:ascii="Arial" w:hAnsi="Arial"/>
                <w:b w:val="0"/>
                <w:sz w:val="20"/>
              </w:rPr>
              <w:t xml:space="preserve">Intercepto</w:t>
            </w:r>
          </w:p>
        </w:tc>
        <w:tc>
          <w:tcPr>
            <w:tcW w:type="dxa" w:w="1415"/>
          </w:tcPr>
          <w:p>
            <w:pPr>
              <w:pStyle w:val="Compact"/>
              <w:spacing w:line="240" w:lineRule="auto" w:after="0"/>
              <w:ind w:firstLine="0"/>
              <w:jc w:val="right"/>
            </w:pPr>
            <w:r>
              <w:rPr>
                <w:rFonts w:ascii="Arial" w:hAnsi="Arial"/>
                <w:b w:val="0"/>
                <w:sz w:val="20"/>
              </w:rPr>
              <w:t xml:space="preserve">7,5778 (0,0028)</w:t>
            </w:r>
          </w:p>
        </w:tc>
        <w:tc>
          <w:tcPr>
            <w:tcW w:type="dxa" w:w="1437"/>
          </w:tcPr>
          <w:p>
            <w:pPr>
              <w:pStyle w:val="Compact"/>
              <w:spacing w:line="240" w:lineRule="auto" w:after="0"/>
              <w:ind w:firstLine="0"/>
              <w:jc w:val="right"/>
            </w:pPr>
            <w:r>
              <w:rPr>
                <w:rFonts w:ascii="Arial" w:hAnsi="Arial"/>
                <w:b w:val="0"/>
                <w:sz w:val="20"/>
              </w:rPr>
              <w:t xml:space="preserve">4,8436 (0,0039)</w:t>
            </w:r>
          </w:p>
        </w:tc>
        <w:tc>
          <w:tcPr>
            <w:tcW w:type="dxa" w:w="1437"/>
          </w:tcPr>
          <w:p>
            <w:pPr>
              <w:pStyle w:val="Compact"/>
              <w:spacing w:line="240" w:lineRule="auto" w:after="0"/>
              <w:ind w:firstLine="0"/>
              <w:jc w:val="right"/>
            </w:pPr>
            <w:r>
              <w:rPr>
                <w:rFonts w:ascii="Arial" w:hAnsi="Arial"/>
                <w:b w:val="0"/>
                <w:sz w:val="20"/>
              </w:rPr>
              <w:t xml:space="preserve">5,0132 (0,0034)</w:t>
            </w:r>
          </w:p>
        </w:tc>
        <w:tc>
          <w:tcPr>
            <w:tcW w:type="dxa" w:w="1437"/>
          </w:tcPr>
          <w:p>
            <w:pPr>
              <w:pStyle w:val="Compact"/>
              <w:spacing w:line="240" w:lineRule="auto" w:after="0"/>
              <w:ind w:firstLine="0"/>
              <w:jc w:val="right"/>
            </w:pPr>
            <w:r>
              <w:rPr>
                <w:rFonts w:ascii="Arial" w:hAnsi="Arial"/>
                <w:b w:val="0"/>
                <w:sz w:val="20"/>
              </w:rPr>
              <w:t xml:space="preserve">5,2269 (0,0078)</w:t>
            </w:r>
          </w:p>
        </w:tc>
        <w:tc>
          <w:tcPr>
            <w:tcW w:type="dxa" w:w="1450"/>
          </w:tcPr>
          <w:p>
            <w:pPr>
              <w:pStyle w:val="Compact"/>
              <w:spacing w:line="240" w:lineRule="auto" w:after="0"/>
              <w:ind w:firstLine="0"/>
              <w:jc w:val="right"/>
            </w:pPr>
            <w:r>
              <w:rPr>
                <w:rFonts w:ascii="Arial" w:hAnsi="Arial"/>
                <w:b w:val="0"/>
                <w:sz w:val="20"/>
              </w:rPr>
              <w:t xml:space="preserve">5,4140 (0,0074)</w:t>
            </w:r>
          </w:p>
        </w:tc>
      </w:tr>
      <w:tr>
        <w:trPr>
          <w:cantSplit/>
        </w:trPr>
        <w:tc>
          <w:tcPr>
            <w:tcW w:type="dxa" w:w="1895"/>
          </w:tcPr>
          <w:p>
            <w:pPr>
              <w:pStyle w:val="Compact"/>
              <w:spacing w:line="240" w:lineRule="auto" w:after="0"/>
              <w:ind w:firstLine="0"/>
              <w:jc w:val="left"/>
            </w:pPr>
            <w:r>
              <w:rPr>
                <w:rFonts w:ascii="Arial" w:hAnsi="Arial"/>
                <w:b w:val="0"/>
                <w:bCs/>
                <w:sz w:val="20"/>
              </w:rPr>
              <w:t xml:space="preserve">Raça (negro)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−0,0669 (0,0005)</w:t>
            </w:r>
          </w:p>
        </w:tc>
        <w:tc>
          <w:tcPr>
            <w:tcW w:type="dxa" w:w="1437"/>
          </w:tcPr>
          <w:p>
            <w:pPr>
              <w:pStyle w:val="Compact"/>
              <w:spacing w:line="240" w:lineRule="auto" w:after="0"/>
              <w:ind w:firstLine="0"/>
              <w:jc w:val="right"/>
            </w:pPr>
            <w:r>
              <w:rPr>
                <w:rFonts w:ascii="Arial" w:hAnsi="Arial"/>
                <w:b w:val="0"/>
                <w:sz w:val="20"/>
              </w:rPr>
              <w:t xml:space="preserve">−0,0637 (0,0005)</w:t>
            </w:r>
          </w:p>
        </w:tc>
        <w:tc>
          <w:tcPr>
            <w:tcW w:type="dxa" w:w="1437"/>
          </w:tcPr>
          <w:p>
            <w:pPr>
              <w:pStyle w:val="Compact"/>
              <w:spacing w:line="240" w:lineRule="auto" w:after="0"/>
              <w:ind w:firstLine="0"/>
              <w:jc w:val="right"/>
            </w:pPr>
            <w:r>
              <w:rPr>
                <w:rFonts w:ascii="Arial" w:hAnsi="Arial"/>
                <w:b w:val="0"/>
                <w:sz w:val="20"/>
              </w:rPr>
              <w:t xml:space="preserve">−0,0629 (0,0005)</w:t>
            </w:r>
          </w:p>
        </w:tc>
        <w:tc>
          <w:tcPr>
            <w:tcW w:type="dxa" w:w="1450"/>
          </w:tcPr>
          <w:p>
            <w:pPr>
              <w:pStyle w:val="Compact"/>
              <w:spacing w:line="240" w:lineRule="auto" w:after="0"/>
              <w:ind w:firstLine="0"/>
              <w:jc w:val="right"/>
            </w:pPr>
            <w:r>
              <w:rPr>
                <w:rFonts w:ascii="Arial" w:hAnsi="Arial"/>
                <w:b w:val="0"/>
                <w:sz w:val="20"/>
              </w:rPr>
              <w:t xml:space="preserve">−0,0579 (0,0005)</w:t>
            </w:r>
          </w:p>
        </w:tc>
      </w:tr>
      <w:tr>
        <w:trPr>
          <w:cantSplit/>
        </w:trPr>
        <w:tc>
          <w:tcPr>
            <w:tcW w:type="dxa" w:w="1895"/>
          </w:tcPr>
          <w:p>
            <w:pPr>
              <w:pStyle w:val="Compact"/>
              <w:spacing w:line="240" w:lineRule="auto" w:after="0"/>
              <w:ind w:firstLine="0"/>
              <w:jc w:val="left"/>
            </w:pPr>
            <w:r>
              <w:rPr>
                <w:rFonts w:ascii="Arial" w:hAnsi="Arial"/>
                <w:b w:val="0"/>
                <w:sz w:val="20"/>
              </w:rPr>
              <w:t xml:space="preserve">Sexo feminino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−0,2594 (0,0005)</w:t>
            </w:r>
          </w:p>
        </w:tc>
        <w:tc>
          <w:tcPr>
            <w:tcW w:type="dxa" w:w="1437"/>
          </w:tcPr>
          <w:p>
            <w:pPr>
              <w:pStyle w:val="Compact"/>
              <w:spacing w:line="240" w:lineRule="auto" w:after="0"/>
              <w:ind w:firstLine="0"/>
              <w:jc w:val="right"/>
            </w:pPr>
            <w:r>
              <w:rPr>
                <w:rFonts w:ascii="Arial" w:hAnsi="Arial"/>
                <w:b w:val="0"/>
                <w:sz w:val="20"/>
              </w:rPr>
              <w:t xml:space="preserve">−0,2590 (0,0005)</w:t>
            </w:r>
          </w:p>
        </w:tc>
        <w:tc>
          <w:tcPr>
            <w:tcW w:type="dxa" w:w="1437"/>
          </w:tcPr>
          <w:p>
            <w:pPr>
              <w:pStyle w:val="Compact"/>
              <w:spacing w:line="240" w:lineRule="auto" w:after="0"/>
              <w:ind w:firstLine="0"/>
              <w:jc w:val="right"/>
            </w:pPr>
            <w:r>
              <w:rPr>
                <w:rFonts w:ascii="Arial" w:hAnsi="Arial"/>
                <w:b w:val="0"/>
                <w:sz w:val="20"/>
              </w:rPr>
              <w:t xml:space="preserve">−0,2592 (0,0005)</w:t>
            </w:r>
          </w:p>
        </w:tc>
        <w:tc>
          <w:tcPr>
            <w:tcW w:type="dxa" w:w="1450"/>
          </w:tcPr>
          <w:p>
            <w:pPr>
              <w:pStyle w:val="Compact"/>
              <w:spacing w:line="240" w:lineRule="auto" w:after="0"/>
              <w:ind w:firstLine="0"/>
              <w:jc w:val="right"/>
            </w:pPr>
            <w:r>
              <w:rPr>
                <w:rFonts w:ascii="Arial" w:hAnsi="Arial"/>
                <w:b w:val="0"/>
                <w:sz w:val="20"/>
              </w:rPr>
              <w:t xml:space="preserve">−0,2394 (0,0005)</w:t>
            </w:r>
          </w:p>
        </w:tc>
      </w:tr>
      <w:tr>
        <w:trPr>
          <w:cantSplit/>
        </w:trPr>
        <w:tc>
          <w:tcPr>
            <w:tcW w:type="dxa" w:w="1895"/>
          </w:tcPr>
          <w:p>
            <w:pPr>
              <w:pStyle w:val="Compact"/>
              <w:spacing w:line="240" w:lineRule="auto" w:after="0"/>
              <w:ind w:firstLine="0"/>
              <w:jc w:val="left"/>
            </w:pPr>
            <w:r>
              <w:rPr>
                <w:rFonts w:ascii="Arial" w:hAnsi="Arial"/>
                <w:b w:val="0"/>
                <w:sz w:val="20"/>
              </w:rPr>
              <w:t xml:space="preserve">Idade (centrada)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0,0079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50"/>
          </w:tcPr>
          <w:p>
            <w:pPr>
              <w:pStyle w:val="Compact"/>
              <w:spacing w:line="240" w:lineRule="auto" w:after="0"/>
              <w:ind w:firstLine="0"/>
              <w:jc w:val="right"/>
            </w:pPr>
            <w:r>
              <w:rPr>
                <w:rFonts w:ascii="Arial" w:hAnsi="Arial"/>
                <w:b w:val="0"/>
                <w:sz w:val="20"/>
              </w:rPr>
              <w:t xml:space="preserve">0,0088 (&lt;0,0001)</w:t>
            </w:r>
          </w:p>
        </w:tc>
      </w:tr>
      <w:tr>
        <w:trPr>
          <w:cantSplit/>
        </w:trPr>
        <w:tc>
          <w:tcPr>
            <w:tcW w:type="dxa" w:w="1895"/>
          </w:tcPr>
          <w:p>
            <w:pPr>
              <w:pStyle w:val="Compact"/>
              <w:spacing w:line="240" w:lineRule="auto" w:after="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50"/>
          </w:tcPr>
          <w:p>
            <w:pPr>
              <w:pStyle w:val="Compact"/>
              <w:spacing w:line="240" w:lineRule="auto" w:after="0"/>
              <w:ind w:firstLine="0"/>
              <w:jc w:val="right"/>
            </w:pPr>
            <w:r>
              <w:rPr>
                <w:rFonts w:ascii="Arial" w:hAnsi="Arial"/>
                <w:b w:val="0"/>
                <w:sz w:val="20"/>
              </w:rPr>
              <w:t xml:space="preserve">−0,0004 (&lt;0,0001)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Educ.: fundamental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0,1884 (0,0007)</w:t>
            </w:r>
          </w:p>
        </w:tc>
        <w:tc>
          <w:tcPr>
            <w:tcW w:type="dxa" w:w="1437"/>
          </w:tcPr>
          <w:p>
            <w:pPr>
              <w:pStyle w:val="Compact"/>
              <w:spacing w:line="240" w:lineRule="auto" w:after="0"/>
              <w:ind w:firstLine="0"/>
              <w:jc w:val="right"/>
            </w:pPr>
            <w:r>
              <w:rPr>
                <w:rFonts w:ascii="Arial" w:hAnsi="Arial"/>
                <w:b w:val="0"/>
                <w:sz w:val="20"/>
              </w:rPr>
              <w:t xml:space="preserve">0,1880 (0,0007)</w:t>
            </w:r>
          </w:p>
        </w:tc>
        <w:tc>
          <w:tcPr>
            <w:tcW w:type="dxa" w:w="1437"/>
          </w:tcPr>
          <w:p>
            <w:pPr>
              <w:pStyle w:val="Compact"/>
              <w:spacing w:line="240" w:lineRule="auto" w:after="0"/>
              <w:ind w:firstLine="0"/>
              <w:jc w:val="right"/>
            </w:pPr>
            <w:r>
              <w:rPr>
                <w:rFonts w:ascii="Arial" w:hAnsi="Arial"/>
                <w:b w:val="0"/>
                <w:sz w:val="20"/>
              </w:rPr>
              <w:t xml:space="preserve">0,1877 (0,0007)</w:t>
            </w:r>
          </w:p>
        </w:tc>
        <w:tc>
          <w:tcPr>
            <w:tcW w:type="dxa" w:w="1450"/>
          </w:tcPr>
          <w:p>
            <w:pPr>
              <w:pStyle w:val="Compact"/>
              <w:spacing w:line="240" w:lineRule="auto" w:after="0"/>
              <w:ind w:firstLine="0"/>
              <w:jc w:val="right"/>
            </w:pPr>
            <w:r>
              <w:rPr>
                <w:rFonts w:ascii="Arial" w:hAnsi="Arial"/>
                <w:b w:val="0"/>
                <w:sz w:val="20"/>
              </w:rPr>
              <w:t xml:space="preserve">0,1464 (0,0007)</w:t>
            </w:r>
          </w:p>
        </w:tc>
      </w:tr>
      <w:tr>
        <w:trPr>
          <w:cantSplit/>
        </w:trPr>
        <w:tc>
          <w:tcPr>
            <w:tcW w:type="dxa" w:w="1895"/>
          </w:tcPr>
          <w:p>
            <w:pPr>
              <w:pStyle w:val="Compact"/>
              <w:spacing w:line="240" w:lineRule="auto" w:after="0"/>
              <w:ind w:firstLine="0"/>
              <w:jc w:val="left"/>
            </w:pPr>
            <w:r>
              <w:rPr>
                <w:rFonts w:ascii="Arial" w:hAnsi="Arial"/>
                <w:b w:val="0"/>
                <w:sz w:val="20"/>
              </w:rPr>
              <w:t xml:space="preserve">Educ.: médio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0,1965 (0,0007)</w:t>
            </w:r>
          </w:p>
        </w:tc>
        <w:tc>
          <w:tcPr>
            <w:tcW w:type="dxa" w:w="1437"/>
          </w:tcPr>
          <w:p>
            <w:pPr>
              <w:pStyle w:val="Compact"/>
              <w:spacing w:line="240" w:lineRule="auto" w:after="0"/>
              <w:ind w:firstLine="0"/>
              <w:jc w:val="right"/>
            </w:pPr>
            <w:r>
              <w:rPr>
                <w:rFonts w:ascii="Arial" w:hAnsi="Arial"/>
                <w:b w:val="0"/>
                <w:sz w:val="20"/>
              </w:rPr>
              <w:t xml:space="preserve">0,1956 (0,0007)</w:t>
            </w:r>
          </w:p>
        </w:tc>
        <w:tc>
          <w:tcPr>
            <w:tcW w:type="dxa" w:w="1437"/>
          </w:tcPr>
          <w:p>
            <w:pPr>
              <w:pStyle w:val="Compact"/>
              <w:spacing w:line="240" w:lineRule="auto" w:after="0"/>
              <w:ind w:firstLine="0"/>
              <w:jc w:val="right"/>
            </w:pPr>
            <w:r>
              <w:rPr>
                <w:rFonts w:ascii="Arial" w:hAnsi="Arial"/>
                <w:b w:val="0"/>
                <w:sz w:val="20"/>
              </w:rPr>
              <w:t xml:space="preserve">0,1958 (0,0007)</w:t>
            </w:r>
          </w:p>
        </w:tc>
        <w:tc>
          <w:tcPr>
            <w:tcW w:type="dxa" w:w="1450"/>
          </w:tcPr>
          <w:p>
            <w:pPr>
              <w:pStyle w:val="Compact"/>
              <w:spacing w:line="240" w:lineRule="auto" w:after="0"/>
              <w:ind w:firstLine="0"/>
              <w:jc w:val="right"/>
            </w:pPr>
            <w:r>
              <w:rPr>
                <w:rFonts w:ascii="Arial" w:hAnsi="Arial"/>
                <w:b w:val="0"/>
                <w:sz w:val="20"/>
              </w:rPr>
              <w:t xml:space="preserve">0,1013 (0,0007)</w:t>
            </w:r>
          </w:p>
        </w:tc>
      </w:tr>
      <w:tr>
        <w:trPr>
          <w:cantSplit/>
        </w:trPr>
        <w:tc>
          <w:tcPr>
            <w:tcW w:type="dxa" w:w="1895"/>
          </w:tcPr>
          <w:p>
            <w:pPr>
              <w:pStyle w:val="Compact"/>
              <w:spacing w:line="240" w:lineRule="auto" w:after="0"/>
              <w:ind w:firstLine="0"/>
              <w:jc w:val="left"/>
            </w:pPr>
            <w:r>
              <w:rPr>
                <w:rFonts w:ascii="Arial" w:hAnsi="Arial"/>
                <w:b w:val="0"/>
                <w:sz w:val="20"/>
              </w:rPr>
              <w:t xml:space="preserve">Educ.: superior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0,5133 (0,0007)</w:t>
            </w:r>
          </w:p>
        </w:tc>
        <w:tc>
          <w:tcPr>
            <w:tcW w:type="dxa" w:w="1437"/>
          </w:tcPr>
          <w:p>
            <w:pPr>
              <w:pStyle w:val="Compact"/>
              <w:spacing w:line="240" w:lineRule="auto" w:after="0"/>
              <w:ind w:firstLine="0"/>
              <w:jc w:val="right"/>
            </w:pPr>
            <w:r>
              <w:rPr>
                <w:rFonts w:ascii="Arial" w:hAnsi="Arial"/>
                <w:b w:val="0"/>
                <w:sz w:val="20"/>
              </w:rPr>
              <w:t xml:space="preserve">0,5107 (0,0007)</w:t>
            </w:r>
          </w:p>
        </w:tc>
        <w:tc>
          <w:tcPr>
            <w:tcW w:type="dxa" w:w="1437"/>
          </w:tcPr>
          <w:p>
            <w:pPr>
              <w:pStyle w:val="Compact"/>
              <w:spacing w:line="240" w:lineRule="auto" w:after="0"/>
              <w:ind w:firstLine="0"/>
              <w:jc w:val="right"/>
            </w:pPr>
            <w:r>
              <w:rPr>
                <w:rFonts w:ascii="Arial" w:hAnsi="Arial"/>
                <w:b w:val="0"/>
                <w:sz w:val="20"/>
              </w:rPr>
              <w:t xml:space="preserve">0,5112 (0,0007)</w:t>
            </w:r>
          </w:p>
        </w:tc>
        <w:tc>
          <w:tcPr>
            <w:tcW w:type="dxa" w:w="1450"/>
          </w:tcPr>
          <w:p>
            <w:pPr>
              <w:pStyle w:val="Compact"/>
              <w:spacing w:line="240" w:lineRule="auto" w:after="0"/>
              <w:ind w:firstLine="0"/>
              <w:jc w:val="right"/>
            </w:pPr>
            <w:r>
              <w:rPr>
                <w:rFonts w:ascii="Arial" w:hAnsi="Arial"/>
                <w:b w:val="0"/>
                <w:sz w:val="20"/>
              </w:rPr>
              <w:t xml:space="preserve">0,2937 (0,0008)</w:t>
            </w:r>
          </w:p>
        </w:tc>
      </w:tr>
      <w:tr>
        <w:trPr>
          <w:cantSplit/>
        </w:trPr>
        <w:tc>
          <w:tcPr>
            <w:tcW w:type="dxa" w:w="1895"/>
          </w:tcPr>
          <w:p>
            <w:pPr>
              <w:pStyle w:val="Compact"/>
              <w:spacing w:line="240" w:lineRule="auto" w:after="0"/>
              <w:ind w:firstLine="0"/>
              <w:jc w:val="left"/>
            </w:pPr>
            <w:r>
              <w:rPr>
                <w:rFonts w:ascii="Arial" w:hAnsi="Arial"/>
                <w:b w:val="0"/>
                <w:sz w:val="20"/>
              </w:rPr>
              <w:t xml:space="preserve">Educ.: pós-graduação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0,3359 (0,0011)</w:t>
            </w:r>
          </w:p>
        </w:tc>
        <w:tc>
          <w:tcPr>
            <w:tcW w:type="dxa" w:w="1437"/>
          </w:tcPr>
          <w:p>
            <w:pPr>
              <w:pStyle w:val="Compact"/>
              <w:spacing w:line="240" w:lineRule="auto" w:after="0"/>
              <w:ind w:firstLine="0"/>
              <w:jc w:val="right"/>
            </w:pPr>
            <w:r>
              <w:rPr>
                <w:rFonts w:ascii="Arial" w:hAnsi="Arial"/>
                <w:b w:val="0"/>
                <w:sz w:val="20"/>
              </w:rPr>
              <w:t xml:space="preserve">0,3341 (0,0011)</w:t>
            </w:r>
          </w:p>
        </w:tc>
        <w:tc>
          <w:tcPr>
            <w:tcW w:type="dxa" w:w="1437"/>
          </w:tcPr>
          <w:p>
            <w:pPr>
              <w:pStyle w:val="Compact"/>
              <w:spacing w:line="240" w:lineRule="auto" w:after="0"/>
              <w:ind w:firstLine="0"/>
              <w:jc w:val="right"/>
            </w:pPr>
            <w:r>
              <w:rPr>
                <w:rFonts w:ascii="Arial" w:hAnsi="Arial"/>
                <w:b w:val="0"/>
                <w:sz w:val="20"/>
              </w:rPr>
              <w:t xml:space="preserve">0,3350 (0,0011)</w:t>
            </w:r>
          </w:p>
        </w:tc>
        <w:tc>
          <w:tcPr>
            <w:tcW w:type="dxa" w:w="1450"/>
          </w:tcPr>
          <w:p>
            <w:pPr>
              <w:pStyle w:val="Compact"/>
              <w:spacing w:line="240" w:lineRule="auto" w:after="0"/>
              <w:ind w:firstLine="0"/>
              <w:jc w:val="right"/>
            </w:pPr>
            <w:r>
              <w:rPr>
                <w:rFonts w:ascii="Arial" w:hAnsi="Arial"/>
                <w:b w:val="0"/>
                <w:sz w:val="20"/>
              </w:rPr>
              <w:t xml:space="preserve">0,2445 (0,0011)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log(horas)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0,6536 (0,0006)</w:t>
            </w:r>
          </w:p>
        </w:tc>
        <w:tc>
          <w:tcPr>
            <w:tcW w:type="dxa" w:w="1437"/>
          </w:tcPr>
          <w:p>
            <w:pPr>
              <w:pStyle w:val="Compact"/>
              <w:spacing w:line="240" w:lineRule="auto" w:after="0"/>
              <w:ind w:firstLine="0"/>
              <w:jc w:val="right"/>
            </w:pPr>
            <w:r>
              <w:rPr>
                <w:rFonts w:ascii="Arial" w:hAnsi="Arial"/>
                <w:b w:val="0"/>
                <w:sz w:val="20"/>
              </w:rPr>
              <w:t xml:space="preserve">0,6539 (0,0006)</w:t>
            </w:r>
          </w:p>
        </w:tc>
        <w:tc>
          <w:tcPr>
            <w:tcW w:type="dxa" w:w="1437"/>
          </w:tcPr>
          <w:p>
            <w:pPr>
              <w:pStyle w:val="Compact"/>
              <w:spacing w:line="240" w:lineRule="auto" w:after="0"/>
              <w:ind w:firstLine="0"/>
              <w:jc w:val="right"/>
            </w:pPr>
            <w:r>
              <w:rPr>
                <w:rFonts w:ascii="Arial" w:hAnsi="Arial"/>
                <w:b w:val="0"/>
                <w:sz w:val="20"/>
              </w:rPr>
              <w:t xml:space="preserve">0,6534 (0,0006)</w:t>
            </w:r>
          </w:p>
        </w:tc>
        <w:tc>
          <w:tcPr>
            <w:tcW w:type="dxa" w:w="1450"/>
          </w:tcPr>
          <w:p>
            <w:pPr>
              <w:pStyle w:val="Compact"/>
              <w:spacing w:line="240" w:lineRule="auto" w:after="0"/>
              <w:ind w:firstLine="0"/>
              <w:jc w:val="right"/>
            </w:pPr>
            <w:r>
              <w:rPr>
                <w:rFonts w:ascii="Arial" w:hAnsi="Arial"/>
                <w:b w:val="0"/>
                <w:sz w:val="20"/>
              </w:rPr>
              <w:t xml:space="preserve">0,5801 (0,0006)</w:t>
            </w:r>
          </w:p>
        </w:tc>
      </w:tr>
      <w:tr>
        <w:trPr>
          <w:cantSplit/>
        </w:trPr>
        <w:tc>
          <w:tcPr>
            <w:tcW w:type="dxa" w:w="1895"/>
          </w:tcPr>
          <w:p>
            <w:pPr>
              <w:pStyle w:val="Compact"/>
              <w:spacing w:line="240" w:lineRule="auto" w:after="0"/>
              <w:ind w:firstLine="0"/>
              <w:jc w:val="left"/>
            </w:pPr>
            <w:r>
              <w:rPr>
                <w:rFonts w:ascii="Arial" w:hAnsi="Arial"/>
                <w:b w:val="0"/>
                <w:sz w:val="20"/>
              </w:rPr>
              <w:t xml:space="preserve">Urbano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0,3419 (0,0037)</w:t>
            </w:r>
          </w:p>
        </w:tc>
        <w:tc>
          <w:tcPr>
            <w:tcW w:type="dxa" w:w="1437"/>
          </w:tcPr>
          <w:p>
            <w:pPr>
              <w:pStyle w:val="Compact"/>
              <w:spacing w:line="240" w:lineRule="auto" w:after="0"/>
              <w:ind w:firstLine="0"/>
              <w:jc w:val="right"/>
            </w:pPr>
            <w:r>
              <w:rPr>
                <w:rFonts w:ascii="Arial" w:hAnsi="Arial"/>
                <w:b w:val="0"/>
                <w:sz w:val="20"/>
              </w:rPr>
              <w:t xml:space="preserve">0,0927 (0,0032)</w:t>
            </w:r>
          </w:p>
        </w:tc>
        <w:tc>
          <w:tcPr>
            <w:tcW w:type="dxa" w:w="1437"/>
          </w:tcPr>
          <w:p>
            <w:pPr>
              <w:pStyle w:val="Compact"/>
              <w:spacing w:line="240" w:lineRule="auto" w:after="0"/>
              <w:ind w:firstLine="0"/>
              <w:jc w:val="right"/>
            </w:pPr>
            <w:r>
              <w:rPr>
                <w:rFonts w:ascii="Arial" w:hAnsi="Arial"/>
                <w:b w:val="0"/>
                <w:sz w:val="20"/>
              </w:rPr>
              <w:t xml:space="preserve">0,0492 (0,0027)</w:t>
            </w:r>
          </w:p>
        </w:tc>
        <w:tc>
          <w:tcPr>
            <w:tcW w:type="dxa" w:w="1450"/>
          </w:tcPr>
          <w:p>
            <w:pPr>
              <w:pStyle w:val="Compact"/>
              <w:spacing w:line="240" w:lineRule="auto" w:after="0"/>
              <w:ind w:firstLine="0"/>
              <w:jc w:val="right"/>
            </w:pPr>
            <w:r>
              <w:rPr>
                <w:rFonts w:ascii="Arial" w:hAnsi="Arial"/>
                <w:b w:val="0"/>
                <w:sz w:val="20"/>
              </w:rPr>
              <w:t xml:space="preserve">0,0071 (0,0025)</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−0,1272 (0,0013)</w:t>
            </w:r>
          </w:p>
        </w:tc>
        <w:tc>
          <w:tcPr>
            <w:tcW w:type="dxa" w:w="1437"/>
          </w:tcPr>
          <w:p>
            <w:pPr>
              <w:pStyle w:val="Compact"/>
              <w:spacing w:line="240" w:lineRule="auto" w:after="0"/>
              <w:ind w:firstLine="0"/>
              <w:jc w:val="right"/>
            </w:pPr>
            <w:r>
              <w:rPr>
                <w:rFonts w:ascii="Arial" w:hAnsi="Arial"/>
                <w:b w:val="0"/>
                <w:sz w:val="20"/>
              </w:rPr>
              <w:t xml:space="preserve">−0,0528 (0,0018)</w:t>
            </w:r>
          </w:p>
        </w:tc>
        <w:tc>
          <w:tcPr>
            <w:tcW w:type="dxa" w:w="1450"/>
          </w:tcPr>
          <w:p>
            <w:pPr>
              <w:pStyle w:val="Compact"/>
              <w:spacing w:line="240" w:lineRule="auto" w:after="0"/>
              <w:ind w:firstLine="0"/>
              <w:jc w:val="right"/>
            </w:pPr>
            <w:r>
              <w:rPr>
                <w:rFonts w:ascii="Arial" w:hAnsi="Arial"/>
                <w:b w:val="0"/>
                <w:sz w:val="20"/>
              </w:rPr>
              <w:t xml:space="preserve">−0,0576 (0,0017)</w:t>
            </w:r>
          </w:p>
        </w:tc>
      </w:tr>
      <w:tr>
        <w:trPr>
          <w:cantSplit/>
        </w:trPr>
        <w:tc>
          <w:tcPr>
            <w:tcW w:type="dxa" w:w="1895"/>
          </w:tcPr>
          <w:p>
            <w:pPr>
              <w:pStyle w:val="Compac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−0,0183 (0,0012)</w:t>
            </w:r>
          </w:p>
        </w:tc>
        <w:tc>
          <w:tcPr>
            <w:tcW w:type="dxa" w:w="1437"/>
          </w:tcPr>
          <w:p>
            <w:pPr>
              <w:pStyle w:val="Compact"/>
              <w:spacing w:line="240" w:lineRule="auto" w:after="0"/>
              <w:ind w:firstLine="0"/>
              <w:jc w:val="right"/>
            </w:pPr>
            <w:r>
              <w:rPr>
                <w:rFonts w:ascii="Arial" w:hAnsi="Arial"/>
                <w:b w:val="0"/>
                <w:sz w:val="20"/>
              </w:rPr>
              <w:t xml:space="preserve">−0,0007 (0,0010)</w:t>
            </w:r>
          </w:p>
        </w:tc>
        <w:tc>
          <w:tcPr>
            <w:tcW w:type="dxa" w:w="1450"/>
          </w:tcPr>
          <w:p>
            <w:pPr>
              <w:pStyle w:val="Compact"/>
              <w:spacing w:line="240" w:lineRule="auto" w:after="0"/>
              <w:ind w:firstLine="0"/>
              <w:jc w:val="right"/>
            </w:pPr>
            <w:r>
              <w:rPr>
                <w:rFonts w:ascii="Arial" w:hAnsi="Arial"/>
                <w:b w:val="0"/>
                <w:sz w:val="20"/>
              </w:rPr>
              <w:t xml:space="preserve">−0,0051 (0,0010)</w:t>
            </w:r>
          </w:p>
        </w:tc>
      </w:tr>
      <w:tr>
        <w:trPr>
          <w:cantSplit/>
        </w:trPr>
        <w:tc>
          <w:tcPr>
            <w:tcW w:type="dxa" w:w="1895"/>
          </w:tcPr>
          <w:p>
            <w:pPr>
              <w:pStyle w:val="Compac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0,1577 (0,0014)</w:t>
            </w:r>
          </w:p>
        </w:tc>
        <w:tc>
          <w:tcPr>
            <w:tcW w:type="dxa" w:w="1437"/>
          </w:tcPr>
          <w:p>
            <w:pPr>
              <w:pStyle w:val="Compact"/>
              <w:spacing w:line="240" w:lineRule="auto" w:after="0"/>
              <w:ind w:firstLine="0"/>
              <w:jc w:val="right"/>
            </w:pPr>
            <w:r>
              <w:rPr>
                <w:rFonts w:ascii="Arial" w:hAnsi="Arial"/>
                <w:b w:val="0"/>
                <w:sz w:val="20"/>
              </w:rPr>
              <w:t xml:space="preserve">0,1694 (0,0013)</w:t>
            </w:r>
          </w:p>
        </w:tc>
        <w:tc>
          <w:tcPr>
            <w:tcW w:type="dxa" w:w="1450"/>
          </w:tcPr>
          <w:p>
            <w:pPr>
              <w:pStyle w:val="Compact"/>
              <w:spacing w:line="240" w:lineRule="auto" w:after="0"/>
              <w:ind w:firstLine="0"/>
              <w:jc w:val="right"/>
            </w:pPr>
            <w:r>
              <w:rPr>
                <w:rFonts w:ascii="Arial" w:hAnsi="Arial"/>
                <w:b w:val="0"/>
                <w:sz w:val="20"/>
              </w:rPr>
              <w:t xml:space="preserve">0,1427 (0,0012)</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Emprego formal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0,1585 (0,0006)</w:t>
            </w:r>
          </w:p>
        </w:tc>
      </w:tr>
      <w:tr>
        <w:trPr>
          <w:cantSplit/>
        </w:trPr>
        <w:tc>
          <w:tcPr>
            <w:tcW w:type="dxa" w:w="1895"/>
          </w:tcPr>
          <w:p>
            <w:pPr>
              <w:pStyle w:val="Compact"/>
              <w:spacing w:line="240" w:lineRule="auto" w:after="0"/>
              <w:ind w:firstLine="0"/>
              <w:jc w:val="left"/>
            </w:pPr>
            <w:r>
              <w:rPr>
                <w:rFonts w:ascii="Arial" w:hAnsi="Arial"/>
                <w:b w:val="0"/>
                <w:sz w:val="20"/>
              </w:rPr>
              <w:t xml:space="preserve">Conta própria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−0,1658 (0,0006)</w:t>
            </w:r>
          </w:p>
        </w:tc>
      </w:tr>
      <w:tr>
        <w:trPr>
          <w:cantSplit/>
        </w:trPr>
        <w:tc>
          <w:tcPr>
            <w:tcW w:type="dxa" w:w="1895"/>
          </w:tcPr>
          <w:p>
            <w:pPr>
              <w:pStyle w:val="Compact"/>
              <w:spacing w:line="240" w:lineRule="auto" w:after="0"/>
              <w:ind w:firstLine="0"/>
              <w:jc w:val="left"/>
            </w:pPr>
            <w:r>
              <w:rPr>
                <w:rFonts w:ascii="Arial" w:hAnsi="Arial"/>
                <w:b w:val="0"/>
                <w:sz w:val="20"/>
              </w:rPr>
              <w:t xml:space="preserve">Trab. doméstico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−0,1052 (0,0010)</w:t>
            </w:r>
          </w:p>
        </w:tc>
      </w:tr>
      <w:tr>
        <w:trPr>
          <w:cantSplit/>
        </w:trPr>
        <w:tc>
          <w:tcPr>
            <w:tcW w:type="dxa" w:w="1895"/>
          </w:tcPr>
          <w:p>
            <w:pPr>
              <w:pStyle w:val="Compact"/>
              <w:spacing w:line="240" w:lineRule="auto" w:after="0"/>
              <w:ind w:firstLine="0"/>
              <w:jc w:val="left"/>
            </w:pPr>
            <w:r>
              <w:rPr>
                <w:rFonts w:ascii="Arial" w:hAnsi="Arial"/>
                <w:b w:val="0"/>
                <w:sz w:val="20"/>
              </w:rPr>
              <w:t xml:space="preserve">CBO: dirigente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0,6250 (0,0013)</w:t>
            </w:r>
          </w:p>
        </w:tc>
      </w:tr>
      <w:tr>
        <w:trPr>
          <w:cantSplit/>
        </w:trPr>
        <w:tc>
          <w:tcPr>
            <w:tcW w:type="dxa" w:w="1895"/>
          </w:tcPr>
          <w:p>
            <w:pPr>
              <w:pStyle w:val="Compact"/>
              <w:spacing w:line="240" w:lineRule="auto" w:after="0"/>
              <w:ind w:firstLine="0"/>
              <w:jc w:val="left"/>
            </w:pPr>
            <w:r>
              <w:rPr>
                <w:rFonts w:ascii="Arial" w:hAnsi="Arial"/>
                <w:b w:val="0"/>
                <w:sz w:val="20"/>
              </w:rPr>
              <w:t xml:space="preserve">CBO: profissional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0,5608 (0,0011)</w:t>
            </w:r>
          </w:p>
        </w:tc>
      </w:tr>
      <w:tr>
        <w:trPr>
          <w:cantSplit/>
        </w:trPr>
        <w:tc>
          <w:tcPr>
            <w:tcW w:type="dxa" w:w="1895"/>
          </w:tcPr>
          <w:p>
            <w:pPr>
              <w:pStyle w:val="Compact"/>
              <w:spacing w:line="240" w:lineRule="auto" w:after="0"/>
              <w:ind w:firstLine="0"/>
              <w:jc w:val="left"/>
            </w:pPr>
            <w:r>
              <w:rPr>
                <w:rFonts w:ascii="Arial" w:hAnsi="Arial"/>
                <w:b w:val="0"/>
                <w:sz w:val="20"/>
              </w:rPr>
              <w:t xml:space="preserve">CBO: técnico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0,4001 (0,0010)</w:t>
            </w:r>
          </w:p>
        </w:tc>
      </w:tr>
      <w:tr>
        <w:trPr>
          <w:cantSplit/>
        </w:trPr>
        <w:tc>
          <w:tcPr>
            <w:tcW w:type="dxa" w:w="1895"/>
          </w:tcPr>
          <w:p>
            <w:pPr>
              <w:pStyle w:val="Compact"/>
              <w:spacing w:line="240" w:lineRule="auto" w:after="0"/>
              <w:ind w:firstLine="0"/>
              <w:jc w:val="left"/>
            </w:pPr>
            <w:r>
              <w:rPr>
                <w:rFonts w:ascii="Arial" w:hAnsi="Arial"/>
                <w:b w:val="0"/>
                <w:sz w:val="20"/>
              </w:rPr>
              <w:t xml:space="preserve">CBO: administrativo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0,1771 (0,0010)</w:t>
            </w:r>
          </w:p>
        </w:tc>
      </w:tr>
      <w:tr>
        <w:trPr>
          <w:cantSplit/>
        </w:trPr>
        <w:tc>
          <w:tcPr>
            <w:tcW w:type="dxa" w:w="1895"/>
          </w:tcPr>
          <w:p>
            <w:pPr>
              <w:pStyle w:val="Compact"/>
              <w:spacing w:line="240" w:lineRule="auto" w:after="0"/>
              <w:ind w:firstLine="0"/>
              <w:jc w:val="left"/>
            </w:pPr>
            <w:r>
              <w:rPr>
                <w:rFonts w:ascii="Arial" w:hAnsi="Arial"/>
                <w:b w:val="0"/>
                <w:sz w:val="20"/>
              </w:rPr>
              <w:t xml:space="preserve">CBO: serviços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0,1517 (0,0007)</w:t>
            </w:r>
          </w:p>
        </w:tc>
      </w:tr>
      <w:tr>
        <w:trPr>
          <w:cantSplit/>
        </w:trPr>
        <w:tc>
          <w:tcPr>
            <w:tcW w:type="dxa" w:w="1895"/>
          </w:tcPr>
          <w:p>
            <w:pPr>
              <w:pStyle w:val="Compact"/>
              <w:spacing w:line="240" w:lineRule="auto" w:after="0"/>
              <w:ind w:firstLine="0"/>
              <w:jc w:val="left"/>
            </w:pPr>
            <w:r>
              <w:rPr>
                <w:rFonts w:ascii="Arial" w:hAnsi="Arial"/>
                <w:b w:val="0"/>
                <w:sz w:val="20"/>
              </w:rPr>
              <w:t xml:space="preserve">CBO: agropecuária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0,0844 (0,0010)</w:t>
            </w:r>
          </w:p>
        </w:tc>
      </w:tr>
      <w:tr>
        <w:trPr>
          <w:cantSplit/>
        </w:trPr>
        <w:tc>
          <w:tcPr>
            <w:tcW w:type="dxa" w:w="1895"/>
          </w:tcPr>
          <w:p>
            <w:pPr>
              <w:pStyle w:val="Compact"/>
              <w:spacing w:line="240" w:lineRule="auto" w:after="0"/>
              <w:ind w:firstLine="0"/>
              <w:jc w:val="left"/>
            </w:pPr>
            <w:r>
              <w:rPr>
                <w:rFonts w:ascii="Arial" w:hAnsi="Arial"/>
                <w:b w:val="0"/>
                <w:sz w:val="20"/>
              </w:rPr>
              <w:t xml:space="preserve">CBO: operário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0,1839 (0,0008)</w:t>
            </w:r>
          </w:p>
        </w:tc>
      </w:tr>
      <w:tr>
        <w:trPr>
          <w:cantSplit/>
        </w:trPr>
        <w:tc>
          <w:tcPr>
            <w:tcW w:type="dxa" w:w="1895"/>
          </w:tcPr>
          <w:p>
            <w:pPr>
              <w:pStyle w:val="Compact"/>
              <w:spacing w:line="240" w:lineRule="auto" w:after="0"/>
              <w:ind w:firstLine="0"/>
              <w:jc w:val="left"/>
            </w:pPr>
            <w:r>
              <w:rPr>
                <w:rFonts w:ascii="Arial" w:hAnsi="Arial"/>
                <w:b w:val="0"/>
                <w:sz w:val="20"/>
              </w:rPr>
              <w:t xml:space="preserve">CBO: operador</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0,2152 (0,0009)</w:t>
            </w:r>
          </w:p>
        </w:tc>
      </w:tr>
      <w:tr>
        <w:trPr>
          <w:cantSplit/>
        </w:trPr>
        <w:tc>
          <w:tcPr>
            <w:tcW w:type="dxa" w:w="1895"/>
          </w:tcPr>
          <w:p>
            <w:pPr>
              <w:pStyle w:val="Compact"/>
              <w:spacing w:line="240" w:lineRule="auto" w:after="0"/>
              <w:ind w:firstLine="0"/>
              <w:jc w:val="left"/>
            </w:pPr>
            <w:r>
              <w:rPr>
                <w:rFonts w:ascii="Arial" w:hAnsi="Arial"/>
                <w:b w:val="0"/>
                <w:sz w:val="20"/>
              </w:rPr>
              <w:t xml:space="preserve">CBO: FFAA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0,7871 (0,0023)</w:t>
            </w:r>
          </w:p>
        </w:tc>
      </w:tr>
      <w:tr>
        <w:trPr>
          <w:cantSplit/>
        </w:trPr>
        <w:tc>
          <w:tcPr>
            <w:tcW w:type="dxa" w:w="1895"/>
          </w:tcPr>
          <w:p>
            <w:pPr>
              <w:pStyle w:val="Compact"/>
              <w:spacing w:line="240" w:lineRule="auto" w:after="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[−0,0679; −0,0658]</w:t>
            </w:r>
          </w:p>
        </w:tc>
        <w:tc>
          <w:tcPr>
            <w:tcW w:type="dxa" w:w="1437"/>
          </w:tcPr>
          <w:p>
            <w:pPr>
              <w:pStyle w:val="Compact"/>
              <w:spacing w:line="240" w:lineRule="auto" w:after="0"/>
              <w:ind w:firstLine="0"/>
              <w:jc w:val="left"/>
            </w:pPr>
            <w:r>
              <w:rPr>
                <w:rFonts w:ascii="Arial" w:hAnsi="Arial"/>
                <w:b w:val="0"/>
                <w:sz w:val="20"/>
              </w:rPr>
              <w:t xml:space="preserve">[−0,0647; −0,0627]</w:t>
            </w:r>
          </w:p>
        </w:tc>
        <w:tc>
          <w:tcPr>
            <w:tcW w:type="dxa" w:w="1437"/>
          </w:tcPr>
          <w:p>
            <w:pPr>
              <w:pStyle w:val="Compact"/>
              <w:spacing w:line="240" w:lineRule="auto" w:after="0"/>
              <w:ind w:firstLine="0"/>
              <w:jc w:val="left"/>
            </w:pPr>
            <w:r>
              <w:rPr>
                <w:rFonts w:ascii="Arial" w:hAnsi="Arial"/>
                <w:b w:val="0"/>
                <w:sz w:val="20"/>
              </w:rPr>
              <w:t xml:space="preserve">[−0,0639; −0,0619]</w:t>
            </w:r>
          </w:p>
        </w:tc>
        <w:tc>
          <w:tcPr>
            <w:tcW w:type="dxa" w:w="1450"/>
          </w:tcPr>
          <w:p>
            <w:pPr>
              <w:pStyle w:val="Compact"/>
              <w:spacing w:line="240" w:lineRule="auto" w:after="0"/>
              <w:ind w:firstLine="0"/>
              <w:jc w:val="left"/>
            </w:pPr>
            <w:r>
              <w:rPr>
                <w:rFonts w:ascii="Arial" w:hAnsi="Arial"/>
                <w:b w:val="0"/>
                <w:sz w:val="20"/>
              </w:rPr>
              <w:t xml:space="preserve">[−0,0588; −0,0569]</w:t>
            </w:r>
          </w:p>
        </w:tc>
      </w:tr>
      <w:tr>
        <w:trPr>
          <w:cantSplit/>
        </w:trPr>
        <w:tc>
          <w:tcPr>
            <w:tcW w:type="dxa" w:w="1895"/>
          </w:tcPr>
          <w:p>
            <w:pPr>
              <w:pStyle w:val="Compact"/>
              <w:spacing w:line="240" w:lineRule="auto" w:after="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−6,5</w:t>
            </w:r>
          </w:p>
        </w:tc>
        <w:tc>
          <w:tcPr>
            <w:tcW w:type="dxa" w:w="1437"/>
          </w:tcPr>
          <w:p>
            <w:pPr>
              <w:pStyle w:val="Compact"/>
              <w:spacing w:line="240" w:lineRule="auto" w:after="0"/>
              <w:ind w:firstLine="0"/>
              <w:jc w:val="right"/>
            </w:pPr>
            <w:r>
              <w:rPr>
                <w:rFonts w:ascii="Arial" w:hAnsi="Arial"/>
                <w:b w:val="0"/>
                <w:sz w:val="20"/>
              </w:rPr>
              <w:t xml:space="preserve">−6,2</w:t>
            </w:r>
          </w:p>
        </w:tc>
        <w:tc>
          <w:tcPr>
            <w:tcW w:type="dxa" w:w="1437"/>
          </w:tcPr>
          <w:p>
            <w:pPr>
              <w:pStyle w:val="Compact"/>
              <w:spacing w:line="240" w:lineRule="auto" w:after="0"/>
              <w:ind w:firstLine="0"/>
              <w:jc w:val="right"/>
            </w:pPr>
            <w:r>
              <w:rPr>
                <w:rFonts w:ascii="Arial" w:hAnsi="Arial"/>
                <w:b w:val="0"/>
                <w:sz w:val="20"/>
              </w:rPr>
              <w:t xml:space="preserve">−6,1</w:t>
            </w:r>
          </w:p>
        </w:tc>
        <w:tc>
          <w:tcPr>
            <w:tcW w:type="dxa" w:w="1450"/>
          </w:tcPr>
          <w:p>
            <w:pPr>
              <w:pStyle w:val="Compact"/>
              <w:spacing w:line="240" w:lineRule="auto" w:after="0"/>
              <w:ind w:firstLine="0"/>
              <w:jc w:val="right"/>
            </w:pPr>
            <w:r>
              <w:rPr>
                <w:rFonts w:ascii="Arial" w:hAnsi="Arial"/>
                <w:b w:val="0"/>
                <w:sz w:val="20"/>
              </w:rPr>
              <w:t xml:space="preserve">−5,6</w:t>
            </w:r>
          </w:p>
        </w:tc>
      </w:tr>
      <w:tr>
        <w:trPr>
          <w:cantSplit/>
        </w:trPr>
        <w:tc>
          <w:tcPr>
            <w:tcW w:type="dxa" w:w="1895"/>
          </w:tcPr>
          <w:p>
            <w:pPr>
              <w:pStyle w:val="Compact"/>
              <w:spacing w:line="240" w:lineRule="auto" w:after="0"/>
              <w:ind w:firstLine="0"/>
              <w:jc w:val="left"/>
            </w:pPr>
            <w:r>
              <w:rPr>
                <w:rFonts w:ascii="Arial" w:hAnsi="Arial"/>
                <w:b w:val="0"/>
                <w:sz w:val="20"/>
              </w:rPr>
              <w:t xml:space="preserve">Efeitos fixos de UF</w:t>
            </w:r>
          </w:p>
        </w:tc>
        <w:tc>
          <w:tcPr>
            <w:tcW w:type="dxa" w:w="1415"/>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sim</w:t>
            </w:r>
          </w:p>
        </w:tc>
        <w:tc>
          <w:tcPr>
            <w:tcW w:type="dxa" w:w="1450"/>
          </w:tcPr>
          <w:p>
            <w:pPr>
              <w:pStyle w:val="Compact"/>
              <w:spacing w:line="240" w:lineRule="auto" w:after="0"/>
              <w:ind w:firstLine="0"/>
              <w:jc w:val="left"/>
            </w:pPr>
            <w:r>
              <w:rPr>
                <w:rFonts w:ascii="Arial" w:hAnsi="Arial"/>
                <w:b w:val="0"/>
                <w:sz w:val="20"/>
              </w:rPr>
              <w:t xml:space="preserve">sim</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tcPr>
          <w:p>
            <w:pPr>
              <w:pStyle w:val="Compact"/>
              <w:spacing w:line="240" w:lineRule="auto" w:after="0"/>
              <w:ind w:firstLine="0"/>
              <w:jc w:val="right"/>
            </w:pPr>
            <w:r>
              <w:rPr>
                <w:rFonts w:ascii="Arial" w:hAnsi="Arial"/>
                <w:b w:val="0"/>
                <w:sz w:val="20"/>
              </w:rPr>
              <w:t xml:space="preserve">0,3018</w:t>
            </w:r>
          </w:p>
        </w:tc>
        <w:tc>
          <w:tcPr>
            <w:tcW w:type="dxa" w:w="1437"/>
          </w:tcPr>
          <w:p>
            <w:pPr>
              <w:pStyle w:val="Compact"/>
              <w:spacing w:line="240" w:lineRule="auto" w:after="0"/>
              <w:ind w:firstLine="0"/>
              <w:jc w:val="right"/>
            </w:pPr>
            <w:r>
              <w:rPr>
                <w:rFonts w:ascii="Arial" w:hAnsi="Arial"/>
                <w:b w:val="0"/>
                <w:sz w:val="20"/>
              </w:rPr>
              <w:t xml:space="preserve">0,1012</w:t>
            </w:r>
          </w:p>
        </w:tc>
        <w:tc>
          <w:tcPr>
            <w:tcW w:type="dxa" w:w="1437"/>
          </w:tcPr>
          <w:p>
            <w:pPr>
              <w:pStyle w:val="Compact"/>
              <w:spacing w:line="240" w:lineRule="auto" w:after="0"/>
              <w:ind w:firstLine="0"/>
              <w:jc w:val="right"/>
            </w:pPr>
            <w:r>
              <w:rPr>
                <w:rFonts w:ascii="Arial" w:hAnsi="Arial"/>
                <w:b w:val="0"/>
                <w:sz w:val="20"/>
              </w:rPr>
              <w:t xml:space="preserve">0,0454</w:t>
            </w:r>
          </w:p>
        </w:tc>
        <w:tc>
          <w:tcPr>
            <w:tcW w:type="dxa" w:w="1437"/>
          </w:tcPr>
          <w:p>
            <w:pPr>
              <w:pStyle w:val="Compact"/>
              <w:spacing w:line="240" w:lineRule="auto" w:after="0"/>
              <w:ind w:firstLine="0"/>
              <w:jc w:val="right"/>
            </w:pPr>
            <w:r>
              <w:rPr>
                <w:rFonts w:ascii="Arial" w:hAnsi="Arial"/>
                <w:b w:val="0"/>
                <w:sz w:val="20"/>
              </w:rPr>
              <w:t xml:space="preserve">0,0297</w:t>
            </w:r>
          </w:p>
        </w:tc>
        <w:tc>
          <w:tcPr>
            <w:tcW w:type="dxa" w:w="1450"/>
          </w:tcPr>
          <w:p>
            <w:pPr>
              <w:pStyle w:val="Compact"/>
              <w:spacing w:line="240" w:lineRule="auto" w:after="0"/>
              <w:ind w:firstLine="0"/>
              <w:jc w:val="right"/>
            </w:pPr>
            <w:r>
              <w:rPr>
                <w:rFonts w:ascii="Arial" w:hAnsi="Arial"/>
                <w:b w:val="0"/>
                <w:sz w:val="20"/>
              </w:rPr>
              <w:t xml:space="preserve">0,0263</w:t>
            </w:r>
          </w:p>
        </w:tc>
      </w:tr>
      <w:tr>
        <w:trPr>
          <w:cantSplit/>
        </w:trPr>
        <w:tc>
          <w:tcPr>
            <w:tcW w:type="dxa" w:w="1895"/>
          </w:tcPr>
          <w:p>
            <w:pPr>
              <w:pStyle w:val="Compact"/>
              <w:spacing w:line="240" w:lineRule="auto" w:after="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tcPr>
          <w:p>
            <w:pPr>
              <w:pStyle w:val="Compact"/>
              <w:spacing w:line="240" w:lineRule="auto" w:after="0"/>
              <w:ind w:firstLine="0"/>
              <w:jc w:val="right"/>
            </w:pPr>
            <w:r>
              <w:rPr>
                <w:rFonts w:ascii="Arial" w:hAnsi="Arial"/>
                <w:b w:val="0"/>
                <w:sz w:val="20"/>
              </w:rPr>
              <w:t xml:space="preserve">0,5524</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0,3620</w:t>
            </w:r>
          </w:p>
        </w:tc>
        <w:tc>
          <w:tcPr>
            <w:tcW w:type="dxa" w:w="1450"/>
          </w:tcPr>
          <w:p>
            <w:pPr>
              <w:pStyle w:val="Compact"/>
              <w:spacing w:line="240" w:lineRule="auto" w:after="0"/>
              <w:ind w:firstLine="0"/>
              <w:jc w:val="right"/>
            </w:pPr>
            <w:r>
              <w:rPr>
                <w:rFonts w:ascii="Arial" w:hAnsi="Arial"/>
                <w:b w:val="0"/>
                <w:sz w:val="20"/>
              </w:rPr>
              <w:t xml:space="preserve">0,3237</w:t>
            </w:r>
          </w:p>
        </w:tc>
      </w:tr>
      <w:tr>
        <w:trPr>
          <w:cantSplit/>
        </w:trPr>
        <w:tc>
          <w:tcPr>
            <w:tcW w:type="dxa" w:w="1895"/>
          </w:tcPr>
          <w:p>
            <w:pPr>
              <w:pStyle w:val="Compact"/>
              <w:spacing w:line="240" w:lineRule="auto" w:after="0"/>
              <w:ind w:firstLine="0"/>
              <w:jc w:val="left"/>
            </w:pPr>
            <w:r>
              <w:rPr>
                <w:rFonts w:ascii="Arial" w:hAnsi="Arial"/>
                <w:b w:val="0"/>
                <w:sz w:val="20"/>
              </w:rPr>
              <w:t xml:space="preserve">ICC</w:t>
            </w:r>
            <m:oMath>
              <m:sSub>
                <m:e>
                  <m:r>
                    <m:t>​</m:t>
                  </m:r>
                </m:e>
                <m:sub>
                  <m:r>
                    <m:rPr>
                      <m:nor/>
                      <m:sty m:val="p"/>
                    </m:rPr>
                    <m:t>UPA</m:t>
                  </m:r>
                </m:sub>
              </m:sSub>
            </m:oMath>
          </w:p>
        </w:tc>
        <w:tc>
          <w:tcPr>
            <w:tcW w:type="dxa" w:w="1415"/>
          </w:tcPr>
          <w:p>
            <w:pPr>
              <w:pStyle w:val="Compact"/>
              <w:spacing w:line="240" w:lineRule="auto" w:after="0"/>
              <w:ind w:firstLine="0"/>
              <w:jc w:val="right"/>
            </w:pPr>
            <w:r>
              <w:rPr>
                <w:rFonts w:ascii="Arial" w:hAnsi="Arial"/>
                <w:b w:val="0"/>
                <w:sz w:val="20"/>
              </w:rPr>
              <w:t xml:space="preserve">0,353</w:t>
            </w:r>
          </w:p>
        </w:tc>
        <w:tc>
          <w:tcPr>
            <w:tcW w:type="dxa" w:w="1437"/>
          </w:tcPr>
          <w:p>
            <w:pPr>
              <w:pStyle w:val="Compact"/>
              <w:spacing w:line="240" w:lineRule="auto" w:after="0"/>
              <w:ind w:firstLine="0"/>
              <w:jc w:val="right"/>
            </w:pPr>
            <w:r>
              <w:rPr>
                <w:rFonts w:ascii="Arial" w:hAnsi="Arial"/>
                <w:b w:val="0"/>
                <w:sz w:val="20"/>
              </w:rPr>
              <w:t xml:space="preserve">0,219</w:t>
            </w:r>
          </w:p>
        </w:tc>
        <w:tc>
          <w:tcPr>
            <w:tcW w:type="dxa" w:w="1437"/>
          </w:tcPr>
          <w:p>
            <w:pPr>
              <w:pStyle w:val="Compact"/>
              <w:spacing w:line="240" w:lineRule="auto" w:after="0"/>
              <w:ind w:firstLine="0"/>
              <w:jc w:val="right"/>
            </w:pPr>
            <w:r>
              <w:rPr>
                <w:rFonts w:ascii="Arial" w:hAnsi="Arial"/>
                <w:b w:val="0"/>
                <w:sz w:val="20"/>
              </w:rPr>
              <w:t xml:space="preserve">0,111</w:t>
            </w:r>
          </w:p>
        </w:tc>
        <w:tc>
          <w:tcPr>
            <w:tcW w:type="dxa" w:w="1437"/>
          </w:tcPr>
          <w:p>
            <w:pPr>
              <w:pStyle w:val="Compact"/>
              <w:spacing w:line="240" w:lineRule="auto" w:after="0"/>
              <w:ind w:firstLine="0"/>
              <w:jc w:val="right"/>
            </w:pPr>
            <w:r>
              <w:rPr>
                <w:rFonts w:ascii="Arial" w:hAnsi="Arial"/>
                <w:b w:val="0"/>
                <w:sz w:val="20"/>
              </w:rPr>
              <w:t xml:space="preserve">0,076</w:t>
            </w:r>
          </w:p>
        </w:tc>
        <w:tc>
          <w:tcPr>
            <w:tcW w:type="dxa" w:w="1450"/>
          </w:tcPr>
          <w:p>
            <w:pPr>
              <w:pStyle w:val="Compact"/>
              <w:spacing w:line="240" w:lineRule="auto" w:after="0"/>
              <w:ind w:firstLine="0"/>
              <w:jc w:val="right"/>
            </w:pPr>
            <w:r>
              <w:rPr>
                <w:rFonts w:ascii="Arial" w:hAnsi="Arial"/>
                <w:b w:val="0"/>
                <w:sz w:val="20"/>
              </w:rPr>
              <w:t xml:space="preserve">0,075</w:t>
            </w:r>
          </w:p>
        </w:tc>
      </w:tr>
      <w:tr>
        <w:trPr>
          <w:cantSplit/>
        </w:trPr>
        <w:tc>
          <w:tcPr>
            <w:tcW w:type="dxa" w:w="1895"/>
          </w:tcPr>
          <w:p>
            <w:pPr>
              <w:pStyle w:val="Compact"/>
              <w:spacing w:line="240" w:lineRule="auto" w:after="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66,5</w:t>
            </w:r>
          </w:p>
        </w:tc>
        <w:tc>
          <w:tcPr>
            <w:tcW w:type="dxa" w:w="1437"/>
          </w:tcPr>
          <w:p>
            <w:pPr>
              <w:pStyle w:val="Compact"/>
              <w:spacing w:line="240" w:lineRule="auto" w:after="0"/>
              <w:ind w:firstLine="0"/>
              <w:jc w:val="right"/>
            </w:pPr>
            <w:r>
              <w:rPr>
                <w:rFonts w:ascii="Arial" w:hAnsi="Arial"/>
                <w:b w:val="0"/>
                <w:sz w:val="20"/>
              </w:rPr>
              <w:t xml:space="preserve">85,0</w:t>
            </w:r>
          </w:p>
        </w:tc>
        <w:tc>
          <w:tcPr>
            <w:tcW w:type="dxa" w:w="1437"/>
          </w:tcPr>
          <w:p>
            <w:pPr>
              <w:pStyle w:val="Compact"/>
              <w:spacing w:line="240" w:lineRule="auto" w:after="0"/>
              <w:ind w:firstLine="0"/>
              <w:jc w:val="right"/>
            </w:pPr>
            <w:r>
              <w:rPr>
                <w:rFonts w:ascii="Arial" w:hAnsi="Arial"/>
                <w:b w:val="0"/>
                <w:sz w:val="20"/>
              </w:rPr>
              <w:t xml:space="preserve">90,1</w:t>
            </w:r>
          </w:p>
        </w:tc>
        <w:tc>
          <w:tcPr>
            <w:tcW w:type="dxa" w:w="1450"/>
          </w:tcPr>
          <w:p>
            <w:pPr>
              <w:pStyle w:val="Compact"/>
              <w:spacing w:line="240" w:lineRule="auto" w:after="0"/>
              <w:ind w:firstLine="0"/>
              <w:jc w:val="right"/>
            </w:pPr>
            <w:r>
              <w:rPr>
                <w:rFonts w:ascii="Arial" w:hAnsi="Arial"/>
                <w:b w:val="0"/>
                <w:sz w:val="20"/>
              </w:rPr>
              <w:t xml:space="preserve">91,3</w:t>
            </w:r>
          </w:p>
        </w:tc>
      </w:tr>
      <w:tr>
        <w:trPr>
          <w:cantSplit/>
        </w:trPr>
        <w:tc>
          <w:tcPr>
            <w:tcW w:type="dxa" w:w="1895"/>
          </w:tcPr>
          <w:p>
            <w:pPr>
              <w:pStyle w:val="Compact"/>
              <w:spacing w:line="240" w:lineRule="auto" w:after="0"/>
              <w:ind w:firstLine="0"/>
              <w:jc w:val="left"/>
            </w:pPr>
            <w:r>
              <w:rPr>
                <w:rFonts w:ascii="Arial" w:hAnsi="Arial"/>
                <w:b w:val="0"/>
                <w:sz w:val="20"/>
              </w:rPr>
              <w:t xml:space="preserve">−2 LL (deviance)</w:t>
            </w:r>
          </w:p>
        </w:tc>
        <w:tc>
          <w:tcPr>
            <w:tcW w:type="dxa" w:w="1415"/>
          </w:tcPr>
          <w:p>
            <w:pPr>
              <w:pStyle w:val="Compact"/>
              <w:spacing w:line="240" w:lineRule="auto" w:after="0"/>
              <w:ind w:firstLine="0"/>
              <w:jc w:val="right"/>
            </w:pPr>
            <w:r>
              <w:rPr>
                <w:rFonts w:ascii="Arial" w:hAnsi="Arial"/>
                <w:b w:val="0"/>
                <w:sz w:val="20"/>
              </w:rPr>
              <w:t xml:space="preserve">17.439.754</w:t>
            </w:r>
          </w:p>
        </w:tc>
        <w:tc>
          <w:tcPr>
            <w:tcW w:type="dxa" w:w="1437"/>
          </w:tcPr>
          <w:p>
            <w:pPr>
              <w:pStyle w:val="Compact"/>
              <w:spacing w:line="240" w:lineRule="auto" w:after="0"/>
              <w:ind w:firstLine="0"/>
              <w:jc w:val="right"/>
            </w:pPr>
            <w:r>
              <w:rPr>
                <w:rFonts w:ascii="Arial" w:hAnsi="Arial"/>
                <w:b w:val="0"/>
                <w:sz w:val="20"/>
              </w:rPr>
              <w:t xml:space="preserve">14.160.374</w:t>
            </w:r>
          </w:p>
        </w:tc>
        <w:tc>
          <w:tcPr>
            <w:tcW w:type="dxa" w:w="1437"/>
          </w:tcPr>
          <w:p>
            <w:pPr>
              <w:pStyle w:val="Compact"/>
              <w:spacing w:line="240" w:lineRule="auto" w:after="0"/>
              <w:ind w:firstLine="0"/>
              <w:jc w:val="right"/>
            </w:pPr>
            <w:r>
              <w:rPr>
                <w:rFonts w:ascii="Arial" w:hAnsi="Arial"/>
                <w:b w:val="0"/>
                <w:sz w:val="20"/>
              </w:rPr>
              <w:t xml:space="preserve">14.130.562</w:t>
            </w:r>
          </w:p>
        </w:tc>
        <w:tc>
          <w:tcPr>
            <w:tcW w:type="dxa" w:w="1437"/>
          </w:tcPr>
          <w:p>
            <w:pPr>
              <w:pStyle w:val="Compact"/>
              <w:spacing w:line="240" w:lineRule="auto" w:after="0"/>
              <w:ind w:firstLine="0"/>
              <w:jc w:val="right"/>
            </w:pPr>
            <w:r>
              <w:rPr>
                <w:rFonts w:ascii="Arial" w:hAnsi="Arial"/>
                <w:b w:val="0"/>
                <w:sz w:val="20"/>
              </w:rPr>
              <w:t xml:space="preserve">14.115.850</w:t>
            </w:r>
          </w:p>
        </w:tc>
        <w:tc>
          <w:tcPr>
            <w:tcW w:type="dxa" w:w="1450"/>
          </w:tcPr>
          <w:p>
            <w:pPr>
              <w:pStyle w:val="Compact"/>
              <w:spacing w:line="240" w:lineRule="auto" w:after="0"/>
              <w:ind w:firstLine="0"/>
              <w:jc w:val="right"/>
            </w:pPr>
            <w:r>
              <w:rPr>
                <w:rFonts w:ascii="Arial" w:hAnsi="Arial"/>
                <w:b w:val="0"/>
                <w:sz w:val="20"/>
              </w:rPr>
              <w:t xml:space="preserve">13.255.146</w:t>
            </w:r>
          </w:p>
        </w:tc>
      </w:tr>
      <w:tr>
        <w:trPr>
          <w:cantSplit/>
        </w:trPr>
        <w:tc>
          <w:tcPr>
            <w:tcW w:type="dxa" w:w="1895"/>
          </w:tcPr>
          <w:p>
            <w:pPr>
              <w:pStyle w:val="Compact"/>
              <w:spacing w:line="240" w:lineRule="auto" w:after="0"/>
              <w:ind w:firstLine="0"/>
              <w:jc w:val="left"/>
            </w:pPr>
            <w:r>
              <w:rPr>
                <w:rFonts w:ascii="Arial" w:hAnsi="Arial"/>
                <w:b w:val="0"/>
                <w:sz w:val="20"/>
              </w:rPr>
              <w:t xml:space="preserve">AIC</w:t>
            </w:r>
          </w:p>
        </w:tc>
        <w:tc>
          <w:tcPr>
            <w:tcW w:type="dxa" w:w="1415"/>
          </w:tcPr>
          <w:p>
            <w:pPr>
              <w:pStyle w:val="Compact"/>
              <w:spacing w:line="240" w:lineRule="auto" w:after="0"/>
              <w:ind w:firstLine="0"/>
              <w:jc w:val="right"/>
            </w:pPr>
            <w:r>
              <w:rPr>
                <w:rFonts w:ascii="Arial" w:hAnsi="Arial"/>
                <w:b w:val="0"/>
                <w:sz w:val="20"/>
              </w:rPr>
              <w:t xml:space="preserve">17.439.760</w:t>
            </w:r>
          </w:p>
        </w:tc>
        <w:tc>
          <w:tcPr>
            <w:tcW w:type="dxa" w:w="1437"/>
          </w:tcPr>
          <w:p>
            <w:pPr>
              <w:pStyle w:val="Compact"/>
              <w:spacing w:line="240" w:lineRule="auto" w:after="0"/>
              <w:ind w:firstLine="0"/>
              <w:jc w:val="right"/>
            </w:pPr>
            <w:r>
              <w:rPr>
                <w:rFonts w:ascii="Arial" w:hAnsi="Arial"/>
                <w:b w:val="0"/>
                <w:sz w:val="20"/>
              </w:rPr>
              <w:t xml:space="preserve">14.160.418</w:t>
            </w:r>
          </w:p>
        </w:tc>
        <w:tc>
          <w:tcPr>
            <w:tcW w:type="dxa" w:w="1437"/>
          </w:tcPr>
          <w:p>
            <w:pPr>
              <w:pStyle w:val="Compact"/>
              <w:spacing w:line="240" w:lineRule="auto" w:after="0"/>
              <w:ind w:firstLine="0"/>
              <w:jc w:val="right"/>
            </w:pPr>
            <w:r>
              <w:rPr>
                <w:rFonts w:ascii="Arial" w:hAnsi="Arial"/>
                <w:b w:val="0"/>
                <w:sz w:val="20"/>
              </w:rPr>
              <w:t xml:space="preserve">14.130.612</w:t>
            </w:r>
          </w:p>
        </w:tc>
        <w:tc>
          <w:tcPr>
            <w:tcW w:type="dxa" w:w="1437"/>
          </w:tcPr>
          <w:p>
            <w:pPr>
              <w:pStyle w:val="Compact"/>
              <w:spacing w:line="240" w:lineRule="auto" w:after="0"/>
              <w:ind w:firstLine="0"/>
              <w:jc w:val="right"/>
            </w:pPr>
            <w:r>
              <w:rPr>
                <w:rFonts w:ascii="Arial" w:hAnsi="Arial"/>
                <w:b w:val="0"/>
                <w:sz w:val="20"/>
              </w:rPr>
              <w:t xml:space="preserve">14.115.952</w:t>
            </w:r>
          </w:p>
        </w:tc>
        <w:tc>
          <w:tcPr>
            <w:tcW w:type="dxa" w:w="1450"/>
          </w:tcPr>
          <w:p>
            <w:pPr>
              <w:pStyle w:val="Compact"/>
              <w:spacing w:line="240" w:lineRule="auto" w:after="0"/>
              <w:ind w:firstLine="0"/>
              <w:jc w:val="right"/>
            </w:pPr>
            <w:r>
              <w:rPr>
                <w:rFonts w:ascii="Arial" w:hAnsi="Arial"/>
                <w:b w:val="0"/>
                <w:sz w:val="20"/>
              </w:rPr>
              <w:t xml:space="preserve">13.255.272</w:t>
            </w:r>
          </w:p>
        </w:tc>
      </w:tr>
      <w:tr>
        <w:trPr>
          <w:cantSplit/>
        </w:trPr>
        <w:tc>
          <w:tcPr>
            <w:tcW w:type="dxa" w:w="1895"/>
          </w:tcPr>
          <w:p>
            <w:pPr>
              <w:pStyle w:val="Compact"/>
              <w:spacing w:line="240" w:lineRule="auto" w:after="0"/>
              <w:ind w:firstLine="0"/>
              <w:jc w:val="left"/>
            </w:pPr>
            <w:r>
              <w:rPr>
                <w:rFonts w:ascii="Arial" w:hAnsi="Arial"/>
                <w:b w:val="0"/>
                <w:sz w:val="20"/>
              </w:rPr>
              <w:t xml:space="preserve">BIC</w:t>
            </w:r>
          </w:p>
        </w:tc>
        <w:tc>
          <w:tcPr>
            <w:tcW w:type="dxa" w:w="1415"/>
          </w:tcPr>
          <w:p>
            <w:pPr>
              <w:pStyle w:val="Compact"/>
              <w:spacing w:line="240" w:lineRule="auto" w:after="0"/>
              <w:ind w:firstLine="0"/>
              <w:jc w:val="right"/>
            </w:pPr>
            <w:r>
              <w:rPr>
                <w:rFonts w:ascii="Arial" w:hAnsi="Arial"/>
                <w:b w:val="0"/>
                <w:sz w:val="20"/>
              </w:rPr>
              <w:t xml:space="preserve">17.439.802</w:t>
            </w:r>
          </w:p>
        </w:tc>
        <w:tc>
          <w:tcPr>
            <w:tcW w:type="dxa" w:w="1437"/>
          </w:tcPr>
          <w:p>
            <w:pPr>
              <w:pStyle w:val="Compact"/>
              <w:spacing w:line="240" w:lineRule="auto" w:after="0"/>
              <w:ind w:firstLine="0"/>
              <w:jc w:val="right"/>
            </w:pPr>
            <w:r>
              <w:rPr>
                <w:rFonts w:ascii="Arial" w:hAnsi="Arial"/>
                <w:b w:val="0"/>
                <w:sz w:val="20"/>
              </w:rPr>
              <w:t xml:space="preserve">14.160.722</w:t>
            </w:r>
          </w:p>
        </w:tc>
        <w:tc>
          <w:tcPr>
            <w:tcW w:type="dxa" w:w="1437"/>
          </w:tcPr>
          <w:p>
            <w:pPr>
              <w:pStyle w:val="Compact"/>
              <w:spacing w:line="240" w:lineRule="auto" w:after="0"/>
              <w:ind w:firstLine="0"/>
              <w:jc w:val="right"/>
            </w:pPr>
            <w:r>
              <w:rPr>
                <w:rFonts w:ascii="Arial" w:hAnsi="Arial"/>
                <w:b w:val="0"/>
                <w:sz w:val="20"/>
              </w:rPr>
              <w:t xml:space="preserve">14.130.959</w:t>
            </w:r>
          </w:p>
        </w:tc>
        <w:tc>
          <w:tcPr>
            <w:tcW w:type="dxa" w:w="1437"/>
          </w:tcPr>
          <w:p>
            <w:pPr>
              <w:pStyle w:val="Compact"/>
              <w:spacing w:line="240" w:lineRule="auto" w:after="0"/>
              <w:ind w:firstLine="0"/>
              <w:jc w:val="right"/>
            </w:pPr>
            <w:r>
              <w:rPr>
                <w:rFonts w:ascii="Arial" w:hAnsi="Arial"/>
                <w:b w:val="0"/>
                <w:sz w:val="20"/>
              </w:rPr>
              <w:t xml:space="preserve">14.116.659</w:t>
            </w:r>
          </w:p>
        </w:tc>
        <w:tc>
          <w:tcPr>
            <w:tcW w:type="dxa" w:w="1450"/>
          </w:tcPr>
          <w:p>
            <w:pPr>
              <w:pStyle w:val="Compact"/>
              <w:spacing w:line="240" w:lineRule="auto" w:after="0"/>
              <w:ind w:firstLine="0"/>
              <w:jc w:val="right"/>
            </w:pPr>
            <w:r>
              <w:rPr>
                <w:rFonts w:ascii="Arial" w:hAnsi="Arial"/>
                <w:b w:val="0"/>
                <w:sz w:val="20"/>
              </w:rPr>
              <w:t xml:space="preserve">13.256.145</w:t>
            </w:r>
          </w:p>
        </w:tc>
      </w:tr>
      <w:tr>
        <w:trPr>
          <w:cantSplit/>
        </w:trPr>
        <w:tc>
          <w:tcPr>
            <w:tcW w:type="dxa" w:w="1895"/>
          </w:tcPr>
          <w:p>
            <w:pPr>
              <w:pStyle w:val="Compact"/>
              <w:spacing w:line="240" w:lineRule="auto" w:after="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3.279.380 (19)</w:t>
            </w:r>
          </w:p>
        </w:tc>
        <w:tc>
          <w:tcPr>
            <w:tcW w:type="dxa" w:w="1437"/>
          </w:tcPr>
          <w:p>
            <w:pPr>
              <w:pStyle w:val="Compact"/>
              <w:spacing w:line="240" w:lineRule="auto" w:after="0"/>
              <w:ind w:firstLine="0"/>
              <w:jc w:val="right"/>
            </w:pPr>
            <w:r>
              <w:rPr>
                <w:rFonts w:ascii="Arial" w:hAnsi="Arial"/>
                <w:b w:val="0"/>
                <w:sz w:val="20"/>
              </w:rPr>
              <w:t xml:space="preserve">29.811 (3)</w:t>
            </w:r>
          </w:p>
        </w:tc>
        <w:tc>
          <w:tcPr>
            <w:tcW w:type="dxa" w:w="1437"/>
          </w:tcPr>
          <w:p>
            <w:pPr>
              <w:pStyle w:val="Compact"/>
              <w:spacing w:line="240" w:lineRule="auto" w:after="0"/>
              <w:ind w:firstLine="0"/>
              <w:jc w:val="right"/>
            </w:pPr>
            <w:r>
              <w:rPr>
                <w:rFonts w:ascii="Arial" w:hAnsi="Arial"/>
                <w:b w:val="0"/>
                <w:sz w:val="20"/>
              </w:rPr>
              <w:t xml:space="preserve">14.712 (26)</w:t>
            </w:r>
          </w:p>
        </w:tc>
        <w:tc>
          <w:tcPr>
            <w:tcW w:type="dxa" w:w="1450"/>
          </w:tcPr>
          <w:p>
            <w:pPr>
              <w:pStyle w:val="Compact"/>
              <w:spacing w:line="240" w:lineRule="auto" w:after="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tcPr>
          <w:p>
            <w:pPr>
              <w:pStyle w:val="Compact"/>
              <w:spacing w:line="240" w:lineRule="auto" w:after="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50"/>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r>
    </w:tbl>
    <w:bookmarkEnd w:id="5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xml:space="preserve">;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w:t>
      </w:r>
    </w:p>
    <w:bookmarkEnd w:id="56"/>
    <w:bookmarkStart w:id="62"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 xml:space="preserve">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7"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t>
      </w:r>
      <w:r>
        <w:rPr>
          <w:rFonts w:ascii="Arial" w:hAnsi="Arial"/>
          <w:sz w:val="22"/>
        </w:rPr>
        <w:t xml:space="preserve">(HLM de dois níveis, indivíduos em UPA, com efeitos fixos de UF; PNAD Contínua</w:t>
      </w:r>
      <w:r>
        <w:rPr>
          <w:rFonts w:ascii="Arial" w:hAnsi="Arial"/>
          <w:sz w:val="22"/>
        </w:rPr>
        <w:t xml:space="preserve"> </w:t>
      </w:r>
      <w:r>
        <w:rPr>
          <w:rFonts w:ascii="Arial" w:hAnsi="Arial"/>
          <w:sz w:val="22"/>
        </w:rPr>
        <w:t xml:space="preserve">2016–2025, população completa). Cada linha</w:t>
      </w:r>
      <w:r>
        <w:rPr>
          <w:rFonts w:ascii="Arial" w:hAnsi="Arial"/>
          <w:sz w:val="22"/>
        </w:rPr>
        <w:t xml:space="preserve"> </w:t>
      </w:r>
      <w:r>
        <w:rPr>
          <w:rFonts w:ascii="Arial" w:hAnsi="Arial"/>
          <w:sz w:val="22"/>
        </w:rPr>
        <w:t xml:space="preserve">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tcPr>
          <w:p>
            <w:pPr>
              <w:pStyle w:val="Compact"/>
              <w:keepNext/>
              <w:spacing w:line="240" w:lineRule="auto" w:after="0"/>
              <w:ind w:firstLine="0"/>
              <w:jc w:val="left"/>
            </w:pPr>
            <w:r>
              <w:rPr>
                <w:rFonts w:ascii="Arial" w:hAnsi="Arial"/>
                <w:b w:val="0"/>
                <w:sz w:val="22"/>
              </w:rPr>
              <w:t xml:space="preserve">Agregado: individual + UF, sem efeito de bairro (OLS)</w:t>
            </w:r>
          </w:p>
        </w:tc>
        <w:tc>
          <w:tcPr>
            <w:tcW w:type="dxa" w:w="1471"/>
          </w:tcPr>
          <w:p>
            <w:pPr>
              <w:pStyle w:val="Compact"/>
              <w:keepNext/>
              <w:spacing w:line="240" w:lineRule="auto" w:after="0"/>
              <w:ind w:firstLine="0"/>
              <w:jc w:val="right"/>
            </w:pPr>
            <w:r>
              <w:rPr>
                <w:rFonts w:ascii="Arial" w:hAnsi="Arial"/>
                <w:b w:val="0"/>
                <w:sz w:val="22"/>
              </w:rPr>
              <w:t xml:space="preserve">−0,1104</w:t>
            </w:r>
          </w:p>
        </w:tc>
        <w:tc>
          <w:tcPr>
            <w:tcW w:type="dxa" w:w="1056"/>
          </w:tcPr>
          <w:p>
            <w:pPr>
              <w:pStyle w:val="Compact"/>
              <w:keepNext/>
              <w:spacing w:line="240" w:lineRule="auto" w:after="0"/>
              <w:ind w:firstLine="0"/>
              <w:jc w:val="right"/>
            </w:pPr>
            <w:r>
              <w:rPr>
                <w:rFonts w:ascii="Arial" w:hAnsi="Arial"/>
                <w:b w:val="0"/>
                <w:sz w:val="22"/>
              </w:rPr>
              <w:t xml:space="preserve">−10,5</w:t>
            </w:r>
          </w:p>
        </w:tc>
        <w:tc>
          <w:tcPr>
            <w:tcW w:type="dxa" w:w="1276"/>
          </w:tcPr>
          <w:p>
            <w:pPr>
              <w:pStyle w:val="Compact"/>
              <w:keepNext/>
              <w:spacing w:line="240" w:lineRule="auto" w:after="0"/>
              <w:ind w:firstLine="0"/>
              <w:jc w:val="left"/>
            </w:pPr>
            <w:r>
              <w:rPr>
                <w:rFonts w:ascii="Arial" w:hAnsi="Arial"/>
                <w:b w:val="0"/>
                <w:sz w:val="22"/>
              </w:rPr>
              <w:t xml:space="preserve">—</w:t>
            </w:r>
          </w:p>
        </w:tc>
      </w:tr>
      <w:tr>
        <w:trPr>
          <w:cantSplit/>
        </w:trPr>
        <w:tc>
          <w:tcPr>
            <w:tcW w:type="dxa" w:w="5268"/>
          </w:tcPr>
          <w:p>
            <w:pPr>
              <w:pStyle w:val="Compact"/>
              <w:keepNext/>
              <w:spacing w:line="240" w:lineRule="auto" w:after="0"/>
              <w:ind w:firstLine="0"/>
              <w:jc w:val="left"/>
            </w:pPr>
            <w:r>
              <w:rPr>
                <w:rFonts w:ascii="Arial" w:hAnsi="Arial"/>
                <w:b w:val="0"/>
                <w:sz w:val="22"/>
              </w:rPr>
              <w:t xml:space="preserve">M1: + intercepto aleatório de bairro (UPA)</w:t>
            </w:r>
          </w:p>
        </w:tc>
        <w:tc>
          <w:tcPr>
            <w:tcW w:type="dxa" w:w="1471"/>
          </w:tcPr>
          <w:p>
            <w:pPr>
              <w:pStyle w:val="Compact"/>
              <w:keepNext/>
              <w:spacing w:line="240" w:lineRule="auto" w:after="0"/>
              <w:ind w:firstLine="0"/>
              <w:jc w:val="right"/>
            </w:pPr>
            <w:r>
              <w:rPr>
                <w:rFonts w:ascii="Arial" w:hAnsi="Arial"/>
                <w:b w:val="0"/>
                <w:sz w:val="22"/>
              </w:rPr>
              <w:t xml:space="preserve">−0,0669</w:t>
            </w:r>
          </w:p>
        </w:tc>
        <w:tc>
          <w:tcPr>
            <w:tcW w:type="dxa" w:w="1056"/>
          </w:tcPr>
          <w:p>
            <w:pPr>
              <w:pStyle w:val="Compact"/>
              <w:keepNext/>
              <w:spacing w:line="240" w:lineRule="auto" w:after="0"/>
              <w:ind w:firstLine="0"/>
              <w:jc w:val="right"/>
            </w:pPr>
            <w:r>
              <w:rPr>
                <w:rFonts w:ascii="Arial" w:hAnsi="Arial"/>
                <w:b w:val="0"/>
                <w:sz w:val="22"/>
              </w:rPr>
              <w:t xml:space="preserve">−6,5</w:t>
            </w:r>
          </w:p>
        </w:tc>
        <w:tc>
          <w:tcPr>
            <w:tcW w:type="dxa" w:w="1276"/>
          </w:tcPr>
          <w:p>
            <w:pPr>
              <w:pStyle w:val="Compact"/>
              <w:keepNext/>
              <w:spacing w:line="240" w:lineRule="auto" w:after="0"/>
              <w:ind w:firstLine="0"/>
              <w:jc w:val="right"/>
            </w:pPr>
            <w:r>
              <w:rPr>
                <w:rFonts w:ascii="Arial" w:hAnsi="Arial"/>
                <w:b w:val="0"/>
                <w:sz w:val="22"/>
              </w:rPr>
              <w:t xml:space="preserve">39,5</w:t>
            </w:r>
          </w:p>
        </w:tc>
      </w:tr>
      <w:tr>
        <w:trPr>
          <w:cantSplit/>
        </w:trPr>
        <w:tc>
          <w:tcPr>
            <w:tcW w:type="dxa" w:w="5268"/>
          </w:tcPr>
          <w:p>
            <w:pPr>
              <w:pStyle w:val="Compact"/>
              <w:keepNext/>
              <w:spacing w:line="240" w:lineRule="auto" w:after="0"/>
              <w:ind w:firstLine="0"/>
              <w:jc w:val="left"/>
            </w:pPr>
            <w:r>
              <w:rPr>
                <w:rFonts w:ascii="Arial" w:hAnsi="Arial"/>
                <w:b w:val="0"/>
                <w:sz w:val="22"/>
              </w:rPr>
              <w:t xml:space="preserve">M2: + contexto do bairro (UPA)</w:t>
            </w:r>
          </w:p>
        </w:tc>
        <w:tc>
          <w:tcPr>
            <w:tcW w:type="dxa" w:w="1471"/>
          </w:tcPr>
          <w:p>
            <w:pPr>
              <w:pStyle w:val="Compact"/>
              <w:keepNext/>
              <w:spacing w:line="240" w:lineRule="auto" w:after="0"/>
              <w:ind w:firstLine="0"/>
              <w:jc w:val="right"/>
            </w:pPr>
            <w:r>
              <w:rPr>
                <w:rFonts w:ascii="Arial" w:hAnsi="Arial"/>
                <w:b w:val="0"/>
                <w:sz w:val="22"/>
              </w:rPr>
              <w:t xml:space="preserve">−0,0637</w:t>
            </w:r>
          </w:p>
        </w:tc>
        <w:tc>
          <w:tcPr>
            <w:tcW w:type="dxa" w:w="1056"/>
          </w:tcPr>
          <w:p>
            <w:pPr>
              <w:pStyle w:val="Compact"/>
              <w:keepNext/>
              <w:spacing w:line="240" w:lineRule="auto" w:after="0"/>
              <w:ind w:firstLine="0"/>
              <w:jc w:val="right"/>
            </w:pPr>
            <w:r>
              <w:rPr>
                <w:rFonts w:ascii="Arial" w:hAnsi="Arial"/>
                <w:b w:val="0"/>
                <w:sz w:val="22"/>
              </w:rPr>
              <w:t xml:space="preserve">−6,2</w:t>
            </w:r>
          </w:p>
        </w:tc>
        <w:tc>
          <w:tcPr>
            <w:tcW w:type="dxa" w:w="1276"/>
          </w:tcPr>
          <w:p>
            <w:pPr>
              <w:pStyle w:val="Compact"/>
              <w:keepNext/>
              <w:spacing w:line="240" w:lineRule="auto" w:after="0"/>
              <w:ind w:firstLine="0"/>
              <w:jc w:val="right"/>
            </w:pPr>
            <w:r>
              <w:rPr>
                <w:rFonts w:ascii="Arial" w:hAnsi="Arial"/>
                <w:b w:val="0"/>
                <w:sz w:val="22"/>
              </w:rPr>
              <w:t xml:space="preserve">42,3</w:t>
            </w:r>
          </w:p>
        </w:tc>
      </w:tr>
      <w:tr>
        <w:trPr>
          <w:cantSplit/>
        </w:trPr>
        <w:tc>
          <w:tcPr>
            <w:tcW w:type="dxa" w:w="5268"/>
          </w:tcPr>
          <w:p>
            <w:pPr>
              <w:pStyle w:val="Compact"/>
              <w:keepNext/>
              <w:spacing w:line="240" w:lineRule="auto" w:after="0"/>
              <w:ind w:firstLine="0"/>
              <w:jc w:val="left"/>
            </w:pPr>
            <w:r>
              <w:rPr>
                <w:rFonts w:ascii="Arial" w:hAnsi="Arial"/>
                <w:b w:val="0"/>
                <w:sz w:val="22"/>
              </w:rPr>
              <w:t xml:space="preserve">M3: + efeitos fixos de UF (gap líquido)</w:t>
            </w:r>
          </w:p>
        </w:tc>
        <w:tc>
          <w:tcPr>
            <w:tcW w:type="dxa" w:w="1471"/>
          </w:tcPr>
          <w:p>
            <w:pPr>
              <w:pStyle w:val="Compact"/>
              <w:keepNext/>
              <w:spacing w:line="240" w:lineRule="auto" w:after="0"/>
              <w:ind w:firstLine="0"/>
              <w:jc w:val="right"/>
            </w:pPr>
            <w:r>
              <w:rPr>
                <w:rFonts w:ascii="Arial" w:hAnsi="Arial"/>
                <w:b w:val="0"/>
                <w:sz w:val="22"/>
              </w:rPr>
              <w:t xml:space="preserve">−0,0629</w:t>
            </w:r>
          </w:p>
        </w:tc>
        <w:tc>
          <w:tcPr>
            <w:tcW w:type="dxa" w:w="1056"/>
          </w:tcPr>
          <w:p>
            <w:pPr>
              <w:pStyle w:val="Compact"/>
              <w:keepNext/>
              <w:spacing w:line="240" w:lineRule="auto" w:after="0"/>
              <w:ind w:firstLine="0"/>
              <w:jc w:val="right"/>
            </w:pPr>
            <w:r>
              <w:rPr>
                <w:rFonts w:ascii="Arial" w:hAnsi="Arial"/>
                <w:b w:val="0"/>
                <w:sz w:val="22"/>
              </w:rPr>
              <w:t xml:space="preserve">−6,1</w:t>
            </w:r>
          </w:p>
        </w:tc>
        <w:tc>
          <w:tcPr>
            <w:tcW w:type="dxa" w:w="1276"/>
          </w:tcPr>
          <w:p>
            <w:pPr>
              <w:pStyle w:val="Compact"/>
              <w:keepNext/>
              <w:spacing w:line="240" w:lineRule="auto" w:after="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−0,0579</w:t>
            </w:r>
          </w:p>
        </w:tc>
        <w:tc>
          <w:tcPr>
            <w:tcW w:type="dxa" w:w="105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−5,6</w:t>
            </w:r>
          </w:p>
        </w:tc>
        <w:tc>
          <w:tcPr>
            <w:tcW w:type="dxa" w:w="127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47,6</w:t>
            </w:r>
          </w:p>
        </w:tc>
      </w:tr>
    </w:tbl>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 xml:space="preserve">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 xml:space="preserve">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4 resume a sequência de degraus em barras.</w:t>
      </w:r>
    </w:p>
    <w:bookmarkStart w:id="61" w:name="fig:hlm_gap"/>
    <w:p>
      <w:pPr>
        <w:pStyle w:val="CaptionedFigure"/>
        <w:keepNext/>
        <w:keepLines/>
      </w:pPr>
      <w:r>
        <w:rPr>
          <w:rFonts w:ascii="Arial" w:hAnsi="Arial"/>
          <w:sz w:val="22"/>
        </w:rPr>
        <w:drawing>
          <wp:inline>
            <wp:extent cx="5292852" cy="2571773"/>
            <wp:effectExtent b="0" l="0" r="0" t="0"/>
            <wp:docPr descr="" title="" id="59" name="Picture"/>
            <a:graphic>
              <a:graphicData uri="http://schemas.openxmlformats.org/drawingml/2006/picture">
                <pic:pic>
                  <pic:nvPicPr>
                    <pic:cNvPr descr="outputs/figures/fig_hlm_gap.png" id="60" name="Picture"/>
                    <pic:cNvPicPr>
                      <a:picLocks noChangeArrowheads="1" noChangeAspect="1"/>
                    </pic:cNvPicPr>
                  </pic:nvPicPr>
                  <pic:blipFill>
                    <a:blip r:embed="rId58"/>
                    <a:stretch>
                      <a:fillRect/>
                    </a:stretch>
                  </pic:blipFill>
                  <pic:spPr bwMode="auto">
                    <a:xfrm>
                      <a:off x="0" y="0"/>
                      <a:ext cx="5292852" cy="25717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w:t>
      </w:r>
      <w:r>
        <w:rPr>
          <w:rFonts w:ascii="Arial" w:hAnsi="Arial"/>
          <w:sz w:val="22"/>
        </w:rPr>
        <w:t xml:space="preserve"> </w:t>
      </w:r>
      <w:r>
        <w:rPr>
          <w:rFonts w:ascii="Arial" w:hAnsi="Arial"/>
          <w:sz w:val="22"/>
        </w:rPr>
        <w:t xml:space="preserve">rótulo: gap em % de renda. Em azul, o M3 (gap líquido).</w:t>
      </w:r>
    </w:p>
    <w:bookmarkEnd w:id="6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4: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62"/>
    <w:bookmarkStart w:id="68"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 xml:space="preserve">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 xml:space="preserve">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63"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 (A)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 xml:space="preserve">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Ransom, 1999)</w:t>
      </w:r>
      <w:r>
        <w:rPr>
          <w:rFonts w:ascii="Arial" w:hAnsi="Arial"/>
          <w:sz w:val="22"/>
        </w:rPr>
        <w:t xml:space="preserve"> </w:t>
      </w:r>
      <w:r>
        <w:rPr>
          <w:rFonts w:ascii="Arial" w:hAnsi="Arial"/>
          <w:sz w:val="22"/>
        </w:rPr>
        <w:t xml:space="preserve">(ver o GLMM de acesso, Tabela 7).</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xml:space="preserve">; 41.459 UPAs).</w:t>
      </w:r>
      <w:r>
        <w:rPr>
          <w:rFonts w:ascii="Arial" w:hAnsi="Arial"/>
          <w:sz w:val="22"/>
        </w:rPr>
        <w:t xml:space="preserve"> </w:t>
      </w:r>
      <w:r>
        <w:rPr>
          <w:rFonts w:ascii="Arial" w:hAnsi="Arial"/>
          <w:sz w:val="22"/>
        </w:rPr>
        <w:t xml:space="preserve">Erros-padrão entre parênteses: bootstrap em blocos por UPA (500 réplicas).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Ransom, 1999) (ver o GLMM de acesso, Tabela 7).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tcPr>
          <w:p>
            <w:pPr>
              <w:pStyle w:val="Compact"/>
              <w:keepNext/>
              <w:spacing w:line="240" w:lineRule="auto" w:after="0"/>
              <w:ind w:firstLine="0"/>
              <w:jc w:val="left"/>
            </w:pPr>
            <w:r>
              <w:rPr>
                <w:rFonts w:ascii="Arial" w:hAnsi="Arial"/>
                <w:b w:val="0"/>
                <w:sz w:val="20"/>
              </w:rPr>
              <w:t xml:space="preserve">Componente</w:t>
            </w:r>
          </w:p>
        </w:tc>
        <w:tc>
          <w:tcPr>
            <w:tcW w:type="dxa" w:w="1415"/>
          </w:tcPr>
          <w:p>
            <w:pPr>
              <w:pStyle w:val="Compact"/>
              <w:keepNext/>
              <w:spacing w:line="240" w:lineRule="auto" w:after="0"/>
              <w:ind w:firstLine="0"/>
              <w:jc w:val="left"/>
            </w:pPr>
            <w:r>
              <w:rPr>
                <w:rFonts w:ascii="Arial" w:hAnsi="Arial"/>
                <w:b w:val="0"/>
                <w:sz w:val="20"/>
              </w:rPr>
              <w:t xml:space="preserve">log-pontos (SE)</w:t>
            </w:r>
          </w:p>
        </w:tc>
        <w:tc>
          <w:tcPr>
            <w:tcW w:type="dxa" w:w="1189"/>
          </w:tcPr>
          <w:p>
            <w:pPr>
              <w:pStyle w:val="Compact"/>
              <w:keepNext/>
              <w:spacing w:line="240" w:lineRule="auto" w:after="0"/>
              <w:ind w:firstLine="0"/>
              <w:jc w:val="left"/>
            </w:pPr>
            <w:r>
              <w:rPr>
                <w:rFonts w:ascii="Arial" w:hAnsi="Arial"/>
                <w:b w:val="0"/>
                <w:sz w:val="20"/>
              </w:rPr>
              <w:t xml:space="preserve">% do gap</w:t>
            </w:r>
          </w:p>
        </w:tc>
        <w:tc>
          <w:tcPr>
            <w:tcW w:type="dxa" w:w="1805"/>
          </w:tcPr>
          <w:p>
            <w:pPr>
              <w:pStyle w:val="Compact"/>
              <w:keepNext/>
              <w:spacing w:line="240" w:lineRule="auto" w:after="0"/>
              <w:ind w:firstLine="0"/>
              <w:jc w:val="left"/>
            </w:pPr>
            <w:r>
              <w:rPr>
                <w:rFonts w:ascii="Arial" w:hAnsi="Arial"/>
                <w:b w:val="0"/>
                <w:sz w:val="20"/>
              </w:rPr>
              <w:t xml:space="preserve">log-pontos (SE)</w:t>
            </w:r>
          </w:p>
        </w:tc>
        <w:tc>
          <w:tcPr>
            <w:tcW w:type="dxa" w:w="1791"/>
          </w:tcPr>
          <w:p>
            <w:pPr>
              <w:pStyle w:val="Compact"/>
              <w:keepNext/>
              <w:spacing w:line="240" w:lineRule="auto" w:after="0"/>
              <w:ind w:firstLine="0"/>
              <w:jc w:val="left"/>
            </w:pPr>
            <w:r>
              <w:rPr>
                <w:rFonts w:ascii="Arial" w:hAnsi="Arial"/>
                <w:b w:val="0"/>
                <w:sz w:val="20"/>
              </w:rPr>
              <w:t xml:space="preserve">% do gap</w:t>
            </w:r>
          </w:p>
        </w:tc>
      </w:tr>
      <w:tr>
        <w:trPr>
          <w:cantSplit/>
        </w:trPr>
        <w:tc>
          <w:tcPr>
            <w:tcW w:type="dxa" w:w="2870"/>
          </w:tcPr>
          <w:p>
            <w:pPr>
              <w:pStyle w:val="Compact"/>
              <w:keepNext/>
              <w:spacing w:line="240" w:lineRule="auto" w:after="0"/>
              <w:ind w:firstLine="0"/>
              <w:jc w:val="left"/>
            </w:pPr>
            <w:r>
              <w:rPr>
                <w:rFonts w:ascii="Arial" w:hAnsi="Arial"/>
                <w:b w:val="0"/>
                <w:sz w:val="20"/>
              </w:rPr>
              <w:t xml:space="preserve">Gap total (branco − negro)</w:t>
            </w:r>
          </w:p>
        </w:tc>
        <w:tc>
          <w:tcPr>
            <w:tcW w:type="dxa" w:w="1415"/>
          </w:tcPr>
          <w:p>
            <w:pPr>
              <w:pStyle w:val="Compact"/>
              <w:keepNext/>
              <w:spacing w:line="240" w:lineRule="auto" w:after="0"/>
              <w:ind w:firstLine="0"/>
              <w:jc w:val="right"/>
            </w:pPr>
            <w:r>
              <w:rPr>
                <w:rFonts w:ascii="Arial" w:hAnsi="Arial"/>
                <w:b w:val="0"/>
                <w:sz w:val="20"/>
              </w:rPr>
              <w:t xml:space="preserve">0,4252 (0,0033)</w:t>
            </w:r>
          </w:p>
        </w:tc>
        <w:tc>
          <w:tcPr>
            <w:tcW w:type="dxa" w:w="1189"/>
          </w:tcPr>
          <w:p>
            <w:pPr>
              <w:pStyle w:val="Compact"/>
              <w:keepNext/>
              <w:spacing w:line="240" w:lineRule="auto" w:after="0"/>
              <w:ind w:firstLine="0"/>
              <w:jc w:val="right"/>
            </w:pPr>
            <w:r>
              <w:rPr>
                <w:rFonts w:ascii="Arial" w:hAnsi="Arial"/>
                <w:b w:val="0"/>
                <w:sz w:val="20"/>
              </w:rPr>
              <w:t xml:space="preserve">100,0</w:t>
            </w:r>
          </w:p>
        </w:tc>
        <w:tc>
          <w:tcPr>
            <w:tcW w:type="dxa" w:w="1805"/>
          </w:tcPr>
          <w:p>
            <w:pPr>
              <w:pStyle w:val="Compact"/>
              <w:keepNext/>
              <w:spacing w:line="240" w:lineRule="auto" w:after="0"/>
              <w:ind w:firstLine="0"/>
              <w:jc w:val="right"/>
            </w:pPr>
            <w:r>
              <w:rPr>
                <w:rFonts w:ascii="Arial" w:hAnsi="Arial"/>
                <w:b w:val="0"/>
                <w:sz w:val="20"/>
              </w:rPr>
              <w:t xml:space="preserve">0,4252 (0,0032)</w:t>
            </w:r>
          </w:p>
        </w:tc>
        <w:tc>
          <w:tcPr>
            <w:tcW w:type="dxa" w:w="1791"/>
          </w:tcPr>
          <w:p>
            <w:pPr>
              <w:pStyle w:val="Compact"/>
              <w:keepNext/>
              <w:spacing w:line="240" w:lineRule="auto" w:after="0"/>
              <w:ind w:firstLine="0"/>
              <w:jc w:val="right"/>
            </w:pPr>
            <w:r>
              <w:rPr>
                <w:rFonts w:ascii="Arial" w:hAnsi="Arial"/>
                <w:b w:val="0"/>
                <w:sz w:val="20"/>
              </w:rPr>
              <w:t xml:space="preserve">100,0</w:t>
            </w:r>
          </w:p>
        </w:tc>
      </w:tr>
      <w:tr>
        <w:trPr>
          <w:cantSplit/>
        </w:trPr>
        <w:tc>
          <w:tcPr>
            <w:tcW w:type="dxa" w:w="2870"/>
          </w:tcPr>
          <w:p>
            <w:pPr>
              <w:pStyle w:val="Compact"/>
              <w:keepNext/>
              <w:spacing w:line="240" w:lineRule="auto" w:after="0"/>
              <w:ind w:firstLine="0"/>
              <w:jc w:val="left"/>
            </w:pPr>
            <w:r>
              <w:rPr>
                <w:rFonts w:ascii="Arial" w:hAnsi="Arial"/>
                <w:b w:val="0"/>
                <w:sz w:val="20"/>
              </w:rPr>
              <w:t xml:space="preserve">Dotações (características observáveis)</w:t>
            </w:r>
          </w:p>
        </w:tc>
        <w:tc>
          <w:tcPr>
            <w:tcW w:type="dxa" w:w="1415"/>
          </w:tcPr>
          <w:p>
            <w:pPr>
              <w:pStyle w:val="Compact"/>
              <w:keepNext/>
              <w:spacing w:line="240" w:lineRule="auto" w:after="0"/>
              <w:ind w:firstLine="0"/>
              <w:jc w:val="right"/>
            </w:pPr>
            <w:r>
              <w:rPr>
                <w:rFonts w:ascii="Arial" w:hAnsi="Arial"/>
                <w:b w:val="0"/>
                <w:sz w:val="20"/>
              </w:rPr>
              <w:t xml:space="preserve">0,3491 (0,0033)</w:t>
            </w:r>
          </w:p>
        </w:tc>
        <w:tc>
          <w:tcPr>
            <w:tcW w:type="dxa" w:w="1189"/>
          </w:tcPr>
          <w:p>
            <w:pPr>
              <w:pStyle w:val="Compact"/>
              <w:keepNext/>
              <w:spacing w:line="240" w:lineRule="auto" w:after="0"/>
              <w:ind w:firstLine="0"/>
              <w:jc w:val="right"/>
            </w:pPr>
            <w:r>
              <w:rPr>
                <w:rFonts w:ascii="Arial" w:hAnsi="Arial"/>
                <w:b w:val="0"/>
                <w:sz w:val="20"/>
              </w:rPr>
              <w:t xml:space="preserve">82,1</w:t>
            </w:r>
          </w:p>
        </w:tc>
        <w:tc>
          <w:tcPr>
            <w:tcW w:type="dxa" w:w="1805"/>
          </w:tcPr>
          <w:p>
            <w:pPr>
              <w:pStyle w:val="Compact"/>
              <w:keepNext/>
              <w:spacing w:line="240" w:lineRule="auto" w:after="0"/>
              <w:ind w:firstLine="0"/>
              <w:jc w:val="right"/>
            </w:pPr>
            <w:r>
              <w:rPr>
                <w:rFonts w:ascii="Arial" w:hAnsi="Arial"/>
                <w:b w:val="0"/>
                <w:sz w:val="20"/>
              </w:rPr>
              <w:t xml:space="preserve">0,3598 (0,0032)</w:t>
            </w:r>
          </w:p>
        </w:tc>
        <w:tc>
          <w:tcPr>
            <w:tcW w:type="dxa" w:w="1791"/>
          </w:tcPr>
          <w:p>
            <w:pPr>
              <w:pStyle w:val="Compact"/>
              <w:keepNext/>
              <w:spacing w:line="240" w:lineRule="auto" w:after="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0,0761 (0,0012)</w:t>
            </w:r>
          </w:p>
        </w:tc>
        <w:tc>
          <w:tcPr>
            <w:tcW w:type="dxa" w:w="118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17,9</w:t>
            </w:r>
          </w:p>
        </w:tc>
        <w:tc>
          <w:tcPr>
            <w:tcW w:type="dxa" w:w="18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0,0654 (0,0011)</w:t>
            </w:r>
          </w:p>
        </w:tc>
        <w:tc>
          <w:tcPr>
            <w:tcW w:type="dxa" w:w="179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15,4</w:t>
            </w:r>
          </w:p>
        </w:tc>
      </w:tr>
    </w:tbl>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sz w:val="22"/>
        </w:rPr>
        <w:t xml:space="preserve">A Figura 5 apresenta as duas especificações em forma de cascata.</w:t>
      </w:r>
    </w:p>
    <w:bookmarkStart w:id="67" w:name="fig:ob_cascata"/>
    <w:p>
      <w:pPr>
        <w:pStyle w:val="CaptionedFigure"/>
        <w:keepNext/>
        <w:keepLines/>
      </w:pPr>
      <w:r>
        <w:rPr>
          <w:rFonts w:ascii="Arial" w:hAnsi="Arial"/>
          <w:sz w:val="22"/>
        </w:rPr>
        <w:drawing>
          <wp:inline>
            <wp:extent cx="5465445" cy="2196175"/>
            <wp:effectExtent b="0" l="0" r="0" t="0"/>
            <wp:docPr descr="" title="" id="65" name="Picture"/>
            <a:graphic>
              <a:graphicData uri="http://schemas.openxmlformats.org/drawingml/2006/picture">
                <pic:pic>
                  <pic:nvPicPr>
                    <pic:cNvPr descr="outputs/figures/fig_ob_cascata.png" id="66" name="Picture"/>
                    <pic:cNvPicPr>
                      <a:picLocks noChangeArrowheads="1" noChangeAspect="1"/>
                    </pic:cNvPicPr>
                  </pic:nvPicPr>
                  <pic:blipFill>
                    <a:blip r:embed="rId64"/>
                    <a:stretch>
                      <a:fillRect/>
                    </a:stretch>
                  </pic:blipFill>
                  <pic:spPr bwMode="auto">
                    <a:xfrm>
                      <a:off x="0" y="0"/>
                      <a:ext cx="5465445" cy="219617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 xml:space="preserve">opera na porta de entrada das ocupações — medida diretamente pelo modelo de acesso.</w:t>
      </w:r>
    </w:p>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5: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8"/>
    <w:bookmarkStart w:id="80"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 xml:space="preserve">A decomposição mostrou que parte do diferencial opera na entrada das ocupações; o modelo de acesso mede essa porta diretamente.</w:t>
      </w:r>
      <w:r>
        <w:rPr>
          <w:rFonts w:ascii="Arial" w:hAnsi="Arial"/>
          <w:sz w:val="22"/>
        </w:rPr>
        <w:t xml:space="preserve"> </w:t>
      </w:r>
      <w:bookmarkStart w:id="69" w:name="subsec:glmm_resultados"/>
      <w:bookmarkEnd w:id="69"/>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 xml:space="preserve">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 xml:space="preserve">de UF.</w:t>
      </w:r>
      <w:r>
        <w:rPr>
          <w:rStyle w:val="FootnoteReference"/>
          <w:rFonts w:ascii="Arial" w:hAnsi="Arial"/>
          <w:sz w:val="22"/>
          <w:vertAlign w:val="superscript"/>
        </w:rPr>
        <w:footnoteReference w:id="70"/>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71"/>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72"/>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6 reúne as razões</w:t>
      </w:r>
      <w:r>
        <w:rPr>
          <w:rFonts w:ascii="Arial" w:hAnsi="Arial"/>
          <w:sz w:val="22"/>
        </w:rPr>
        <w:t xml:space="preserve"> </w:t>
      </w:r>
      <w:r>
        <w:rPr>
          <w:rFonts w:ascii="Arial" w:hAnsi="Arial"/>
          <w:sz w:val="22"/>
        </w:rPr>
        <w:t xml:space="preserve">de chance dos três desfechos e dos modelos de cada um.</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3"/>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 xml:space="preserve">Tabela 7)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7" w:name="fig:glmm_or"/>
    <w:p>
      <w:pPr>
        <w:pStyle w:val="CaptionedFigure"/>
        <w:keepNext/>
        <w:keepLines/>
      </w:pPr>
      <w:r>
        <w:rPr>
          <w:rFonts w:ascii="Arial" w:hAnsi="Arial"/>
          <w:sz w:val="22"/>
        </w:rPr>
        <w:drawing>
          <wp:inline>
            <wp:extent cx="5465445" cy="2536151"/>
            <wp:effectExtent b="0" l="0" r="0" t="0"/>
            <wp:docPr descr="" title="" id="75" name="Picture"/>
            <a:graphic>
              <a:graphicData uri="http://schemas.openxmlformats.org/drawingml/2006/picture">
                <pic:pic>
                  <pic:nvPicPr>
                    <pic:cNvPr descr="outputs/figures/fig_glmm_or.png" id="76" name="Picture"/>
                    <pic:cNvPicPr>
                      <a:picLocks noChangeArrowheads="1" noChangeAspect="1"/>
                    </pic:cNvPicPr>
                  </pic:nvPicPr>
                  <pic:blipFill>
                    <a:blip r:embed="rId74"/>
                    <a:stretch>
                      <a:fillRect/>
                    </a:stretch>
                  </pic:blipFill>
                  <pic:spPr bwMode="auto">
                    <a:xfrm>
                      <a:off x="0" y="0"/>
                      <a:ext cx="5465445" cy="253615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 xml:space="preserve">IC 95%, por desfecho e degrau; em azul, o modelo com contexto de bairro (A2).</w:t>
      </w:r>
    </w:p>
    <w:bookmarkEnd w:id="7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bookmarkStart w:id="78" w:name="tab:glmm_glassceil"/>
    <w:p>
      <w:pPr>
        <w:pStyle w:val="TableCaption"/>
        <w:keepNext/>
        <w:keepLines/>
        <w:spacing w:line="240" w:lineRule="auto" w:before="240" w:after="40"/>
        <w:ind w:firstLine="0"/>
        <w:jc w:val="both"/>
      </w:pPr>
      <w:r>
        <w:rPr>
          <w:rFonts w:ascii="Arial" w:hAnsi="Arial"/>
          <w:sz w:val="22"/>
        </w:rPr>
        <w:t xml:space="preserve">Tabela 7.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p>
    <w:tbl>
      <w:tblPr>
        <w:tblStyle w:val="Table"/>
        <w:tblW w:type="auto" w:w="0"/>
        <w:tblLayout w:type="fixed"/>
        <w:tblLook w:firstRow="1" w:lastRow="0" w:firstColumn="0" w:lastColumn="0" w:noHBand="0" w:noVBand="0" w:val="0020"/>
        <w:tblCaption w:val="Tabela 7.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xml:space="preserve">;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com o desfecho para anular o OR; o E-value (IC) faz o mesmo para o limite do intervalo. A coluna logit-FE mostra que a conclusão não depende da hipótese de efeitos aleatórios.</w:t>
      </w:r>
    </w:p>
    <w:bookmarkStart w:id="79" w:name="tab:glmm_ajuste"/>
    <w:p>
      <w:pPr>
        <w:pStyle w:val="TableCaption"/>
        <w:keepNext/>
        <w:keepLines/>
        <w:spacing w:line="240" w:lineRule="auto" w:before="240" w:after="40"/>
        <w:ind w:firstLine="0"/>
        <w:jc w:val="both"/>
      </w:pPr>
      <w:r>
        <w:rPr>
          <w:rFonts w:ascii="Arial" w:hAnsi="Arial"/>
          <w:sz w:val="22"/>
        </w:rPr>
        <w:t xml:space="preserve">Tabela 8. GLMM logístico — ajuste e desempenho de classificação por degrau. 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xml:space="preserve">);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7.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tbl>
      <w:tblPr>
        <w:tblStyle w:val="Table"/>
        <w:tblW w:type="auto" w:w="0"/>
        <w:tblLayout w:type="fixed"/>
        <w:tblLook w:firstRow="1" w:lastRow="0" w:firstColumn="0" w:lastColumn="0" w:noHBand="0" w:noVBand="0" w:val="0020"/>
        <w:tblCaption w:val="Tabela 8.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7.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79"/>
    <w:p>
      <w:pPr>
        <w:pStyle w:val="BodyText"/>
        <w:spacing w:line="240" w:lineRule="auto" w:before="40" w:after="240"/>
        <w:ind w:firstLine="0"/>
        <w:jc w:val="both"/>
      </w:pPr>
      <w:r>
        <w:rPr>
          <w:rFonts w:ascii="Arial" w:hAnsi="Arial"/>
          <w:sz w:val="22"/>
        </w:rPr>
        <w:t xml:space="preserve">Fonte: Resultados originais da pesquisa.</w:t>
      </w:r>
    </w:p>
    <w:bookmarkEnd w:id="80"/>
    <w:bookmarkStart w:id="88"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81" w:name="subsec:qr_rif"/>
      <w:bookmarkEnd w:id="81"/>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 xml:space="preserve">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9</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 xml:space="preserve">pessoas de mesmo perfil); a</w:t>
      </w:r>
      <w:r>
        <w:rPr>
          <w:rFonts w:ascii="Arial" w:hAnsi="Arial"/>
          <w:sz w:val="22"/>
        </w:rPr>
        <w:t xml:space="preserve"> </w:t>
      </w:r>
      <w:r>
        <w:rPr>
          <w:rFonts w:ascii="Arial" w:hAnsi="Arial"/>
          <w:sz w:val="22"/>
        </w:rPr>
        <w:t xml:space="preserve">Tabela 10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10,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xml:space="preserve">;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 xml:space="preserve">As colunas por sexo da Tabela 9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Fortin; Lemieux,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 xml:space="preserve">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bookmarkStart w:id="82" w:name="tab:qr_melhorias"/>
    <w:p>
      <w:pPr>
        <w:pStyle w:val="TableCaption"/>
        <w:keepNext/>
        <w:keepLines/>
        <w:spacing w:line="240" w:lineRule="auto" w:before="240" w:after="40"/>
        <w:ind w:firstLine="0"/>
        <w:jc w:val="both"/>
      </w:pPr>
      <w:r>
        <w:rPr>
          <w:rFonts w:ascii="Arial" w:hAnsi="Arial"/>
          <w:sz w:val="22"/>
        </w:rPr>
        <w:t xml:space="preserve">Tabela 9.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tbl>
      <w:tblPr>
        <w:tblStyle w:val="Table"/>
        <w:tblW w:type="auto" w:w="0"/>
        <w:tblLayout w:type="fixed"/>
        <w:tblLook w:firstRow="0" w:lastRow="0" w:firstColumn="0" w:lastColumn="0" w:noHBand="0" w:noVBand="0" w:val="0000"/>
        <w:tblCaption w:val="Tabela 9.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82"/>
    <w:p>
      <w:pPr>
        <w:pStyle w:val="BodyText"/>
        <w:spacing w:line="240" w:lineRule="auto" w:before="40" w:after="240"/>
        <w:ind w:firstLine="0"/>
        <w:jc w:val="both"/>
      </w:pPr>
      <w:r>
        <w:rPr>
          <w:rFonts w:ascii="Arial" w:hAnsi="Arial"/>
          <w:sz w:val="22"/>
        </w:rPr>
        <w:t xml:space="preserve">Fonte: Resultados originais da pesquisa.</w:t>
      </w:r>
    </w:p>
    <w:bookmarkStart w:id="83" w:name="tab:rif_ob"/>
    <w:p>
      <w:pPr>
        <w:pStyle w:val="TableCaption"/>
        <w:keepNext/>
        <w:keepLines/>
        <w:spacing w:line="240" w:lineRule="auto" w:before="240" w:after="40"/>
        <w:ind w:firstLine="0"/>
        <w:jc w:val="both"/>
      </w:pPr>
      <w:r>
        <w:rPr>
          <w:rFonts w:ascii="Arial" w:hAnsi="Arial"/>
          <w:sz w:val="22"/>
        </w:rPr>
        <w:t xml:space="preserve">Tabela 10. Decomposição RIF-OB</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 Mesmos controles da decomposição de Oaxaca–Blinder sem ocupação (escolaridade,</w:t>
      </w:r>
      <w:r>
        <w:rPr>
          <w:rFonts w:ascii="Arial" w:hAnsi="Arial"/>
          <w:sz w:val="22"/>
        </w:rPr>
        <w:t xml:space="preserve"> </w:t>
      </w:r>
      <w:r>
        <w:rPr>
          <w:rFonts w:ascii="Arial" w:hAnsi="Arial"/>
          <w:sz w:val="22"/>
        </w:rPr>
        <w:t xml:space="preserve">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 xml:space="preserve">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tbl>
      <w:tblPr>
        <w:tblStyle w:val="Table"/>
        <w:tblW w:type="auto" w:w="0"/>
        <w:tblLayout w:type="fixed"/>
        <w:tblLook w:firstRow="1" w:lastRow="0" w:firstColumn="0" w:lastColumn="0" w:noHBand="0" w:noVBand="0" w:val="0020"/>
        <w:tblCaption w:val="Tabela 10. Decomposição RIF-OB (Firpo; Fortin; Lemieux,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83"/>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A Figura 7 põe os dois ângulos lado a lado.</w:t>
      </w:r>
    </w:p>
    <w:bookmarkStart w:id="87" w:name="fig:qr_rif"/>
    <w:p>
      <w:pPr>
        <w:pStyle w:val="CaptionedFigure"/>
        <w:keepNext/>
        <w:keepLines/>
      </w:pPr>
      <w:r>
        <w:rPr>
          <w:rFonts w:ascii="Arial" w:hAnsi="Arial"/>
          <w:sz w:val="22"/>
        </w:rPr>
        <w:drawing>
          <wp:inline>
            <wp:extent cx="5638038" cy="2038241"/>
            <wp:effectExtent b="0" l="0" r="0" t="0"/>
            <wp:docPr descr="" title="" id="85" name="Picture"/>
            <a:graphic>
              <a:graphicData uri="http://schemas.openxmlformats.org/drawingml/2006/picture">
                <pic:pic>
                  <pic:nvPicPr>
                    <pic:cNvPr descr="outputs/figures/fig_qr_rif.png" id="86" name="Picture"/>
                    <pic:cNvPicPr>
                      <a:picLocks noChangeArrowheads="1" noChangeAspect="1"/>
                    </pic:cNvPicPr>
                  </pic:nvPicPr>
                  <pic:blipFill>
                    <a:blip r:embed="rId84"/>
                    <a:stretch>
                      <a:fillRect/>
                    </a:stretch>
                  </pic:blipFill>
                  <pic:spPr bwMode="auto">
                    <a:xfrm>
                      <a:off x="0" y="0"/>
                      <a:ext cx="5638038" cy="203824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 xml:space="preserve">por bootstrap em blocos de UPA); à direita,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à esquerda,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À direita,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8"/>
    <w:bookmarkStart w:id="97"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 xml:space="preserve">Até aqui, raça foi tratada como um eixo só; a última etapa pergunta quem está na interseção.</w:t>
      </w:r>
      <w:r>
        <w:rPr>
          <w:rFonts w:ascii="Arial" w:hAnsi="Arial"/>
          <w:sz w:val="22"/>
        </w:rPr>
        <w:t xml:space="preserve"> </w:t>
      </w:r>
      <w:bookmarkStart w:id="89" w:name="subsec:interseccional"/>
      <w:bookmarkEnd w:id="89"/>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90"/>
      </w:r>
      <w:r>
        <w:rPr>
          <w:rFonts w:ascii="Arial" w:hAnsi="Arial"/>
          <w:sz w:val="22"/>
        </w:rPr>
        <w:t xml:space="preserve"> </w:t>
      </w:r>
      <w:r>
        <w:rPr>
          <w:rFonts w:ascii="Arial" w:hAnsi="Arial"/>
          <w:sz w:val="22"/>
        </w:rPr>
        <w:t xml:space="preserve">A Tabela 11 traz a decomposição de Oaxaca–Blinder dos quatro grupos contra o homem branco, e a Figura 8, as razões de chance nos três desfechos.</w:t>
      </w:r>
    </w:p>
    <w:bookmarkStart w:id="91"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 Dotações: parcela explicada por</w:t>
      </w:r>
      <w:r>
        <w:rPr>
          <w:rFonts w:ascii="Arial" w:hAnsi="Arial"/>
          <w:sz w:val="22"/>
        </w:rPr>
        <w:t xml:space="preserve"> </w:t>
      </w:r>
      <w:r>
        <w:rPr>
          <w:rFonts w:ascii="Arial" w:hAnsi="Arial"/>
          <w:sz w:val="22"/>
        </w:rPr>
        <w:t xml:space="preserve">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5" w:name="fig:interseccional"/>
    <w:p>
      <w:pPr>
        <w:pStyle w:val="CaptionedFigure"/>
        <w:keepNext/>
        <w:keepLines/>
      </w:pPr>
      <w:r>
        <w:rPr>
          <w:rFonts w:ascii="Arial" w:hAnsi="Arial"/>
          <w:sz w:val="22"/>
        </w:rPr>
        <w:drawing>
          <wp:inline>
            <wp:extent cx="4717542" cy="1814439"/>
            <wp:effectExtent b="0" l="0" r="0" t="0"/>
            <wp:docPr descr="" title="" id="93" name="Picture"/>
            <a:graphic>
              <a:graphicData uri="http://schemas.openxmlformats.org/drawingml/2006/picture">
                <pic:pic>
                  <pic:nvPicPr>
                    <pic:cNvPr descr="outputs/figures/grupo_rg_interseccional.png" id="94" name="Picture"/>
                    <pic:cNvPicPr>
                      <a:picLocks noChangeArrowheads="1" noChangeAspect="1"/>
                    </pic:cNvPicPr>
                  </pic:nvPicPr>
                  <pic:blipFill>
                    <a:blip r:embed="rId92"/>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8. A mulher negra entra pelas ocupações feminizadas, mas não chega ao comando nem ao topo: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8: cada linha é um grupo raça</w:t>
      </w:r>
      <m:oMath>
        <m:r>
          <m:rPr>
            <m:sty m:val="p"/>
          </m:rPr>
          <m:t>×</m:t>
        </m:r>
      </m:oMath>
      <w:r>
        <w:rPr>
          <w:rFonts w:ascii="Arial" w:hAnsi="Arial"/>
          <w:sz w:val="22"/>
        </w:rPr>
        <w:t xml:space="preserve">gênero e cada ponto, a razão de chances contra o homem branco, cuja referência é a linha tracejada em 1; abaixo dela, o grupo tem menos chance que ele. À esquerda, siga a linha azul: a mulher negra aparece acima da referência na categoria agregada e termina como o grupo mais distante dela no topo da renda. À direita,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 xml:space="preserve">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6"/>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7"/>
    <w:bookmarkStart w:id="99"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bookmarkStart w:id="98"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 Penalidade salarial: HLM M3 (mesmo bairro, escolaridade, idade, sexo,</w:t>
      </w:r>
      <w:r>
        <w:rPr>
          <w:rFonts w:ascii="Arial" w:hAnsi="Arial"/>
          <w:sz w:val="22"/>
        </w:rPr>
        <w:t xml:space="preserve"> </w:t>
      </w:r>
      <w:r>
        <w:rPr>
          <w:rFonts w:ascii="Arial" w:hAnsi="Arial"/>
          <w:sz w:val="22"/>
        </w:rPr>
        <w:t xml:space="preserve">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A2, contra brancos de mesmo perfil e bairro.</w:t>
      </w:r>
      <w:r>
        <w:rPr>
          <w:rFonts w:ascii="Arial" w:hAnsi="Arial"/>
          <w:sz w:val="22"/>
        </w:rPr>
        <w:t xml:space="preserve"> </w:t>
      </w:r>
      <w:r>
        <w:rPr>
          <w:rFonts w:ascii="Arial" w:hAnsi="Arial"/>
          <w:sz w:val="22"/>
        </w:rPr>
        <w:t xml:space="preserve">Preço: parcela não explicada da Oaxaca–Blinder (A), contra brancos. Cada recorte foi</w:t>
      </w:r>
      <w:r>
        <w:rPr>
          <w:rFonts w:ascii="Arial" w:hAnsi="Arial"/>
          <w:sz w:val="22"/>
        </w:rPr>
        <w:t xml:space="preserve"> </w:t>
      </w:r>
      <w:r>
        <w:rPr>
          <w:rFonts w:ascii="Arial" w:hAnsi="Arial"/>
          <w:sz w:val="22"/>
        </w:rPr>
        <w:t xml:space="preserve">estimado na população completa com a especificação do modelo de referência.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A2, contra brancos de mesmo perfil e bairro. Preço: parcela não explicada da Oaxaca–Blinder (A), contra brancos. Cada recorte foi estimado na população completa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 abaixo de 1 é menor chance que a de um branco</w:t>
      </w:r>
      <w:r>
        <w:rPr>
          <w:rFonts w:ascii="Arial" w:hAnsi="Arial"/>
          <w:sz w:val="22"/>
        </w:rPr>
        <w:t xml:space="preserve"> </w:t>
      </w:r>
      <w:r>
        <w:rPr>
          <w:rFonts w:ascii="Arial" w:hAnsi="Arial"/>
          <w:sz w:val="22"/>
        </w:rPr>
        <w:t xml:space="preserve">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Pretos e pardos estão abaixo dos brancos em todos os recortes, o que sustenta a categoria negro como referência de política; mas a penalidade dos pretos é maior em todos eles: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 xml:space="preserve">no décimo mais rico (Tabela 12). A distância entre os dois grupos cresce rumo ao topo: na regressão quantílica, vai de 4,7% e 4,2% na base a 11,6% e 9,5% no q95. O preço também se distribui de outro modo: nos pardos concentra-se na base (26,9% do gap RIF no q10, 7,4% no q90); nos pretos alcança 24,8% na mediana e permanece em 11,9% no topo. O padrão é compatível com colorismo — um preço maior para a pele mais escura onde a seleção é mais visível —, sem que estes dados o identifiquem como causa.</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xml:space="preserve">; no público, 4,6% e</w:t>
      </w:r>
      <w:r>
        <w:rPr>
          <w:rFonts w:ascii="Arial" w:hAnsi="Arial"/>
          <w:sz w:val="22"/>
        </w:rPr>
        <w:t xml:space="preserve"> </w:t>
      </w:r>
      <m:oMath>
        <m:r>
          <m:t>0</m:t>
        </m:r>
        <m:r>
          <m:rPr>
            <m:sty m:val="p"/>
          </m:rPr>
          <m:t>,</m:t>
        </m:r>
        <m:r>
          <m:t>843</m:t>
        </m:r>
      </m:oMath>
      <w:r>
        <w:rPr>
          <w:rFonts w:ascii="Arial" w:hAnsi="Arial"/>
          <w:sz w:val="22"/>
        </w:rPr>
        <w:t xml:space="preserve">. O teto de vidro não é efeito da geografia: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 xml:space="preserve">A penalidade cresce com a idade: 1,7% entre 14 e 29 anos, 8,8% entre 50 e 64 e 14,7% a partir dos 65. Dados transversais não separam as duas leituras possíveis — coorte (gerações que chegaram ao mercado depois das cotas) ou ciclo de vida (a desigualdade se acumula ao longo da carreira) —, e ambas são compatíveis com o teto de vidro.</w:t>
      </w:r>
    </w:p>
    <w:bookmarkEnd w:id="99"/>
    <w:bookmarkStart w:id="119"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100" w:name="subsec:ml"/>
      <w:bookmarkEnd w:id="100"/>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101"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10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13: R</w:t>
      </w:r>
      <w:r>
        <w:rPr>
          <w:rFonts w:ascii="Arial" w:hAnsi="Arial"/>
          <w:sz w:val="22"/>
          <w:vertAlign w:val="superscript"/>
        </w:rPr>
        <w:t xml:space="preserve">2</w:t>
      </w:r>
      <w:r>
        <w:rPr>
          <w:rFonts w:ascii="Arial" w:hAnsi="Arial"/>
          <w:sz w:val="22"/>
        </w:rPr>
        <w:t xml:space="preserve"> </w:t>
      </w:r>
      <w:r>
        <w:rPr>
          <w:rFonts w:ascii="Arial" w:hAnsi="Arial"/>
          <w:sz w:val="22"/>
        </w:rPr>
        <w:t xml:space="preserve">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w:t>
      </w:r>
      <w:r>
        <w:rPr>
          <w:rStyle w:val="FootnoteReference"/>
          <w:rFonts w:ascii="Arial" w:hAnsi="Arial"/>
          <w:sz w:val="22"/>
          <w:vertAlign w:val="superscript"/>
        </w:rPr>
        <w:footnoteReference w:id="102"/>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103" w:name="tab:ml_cv"/>
    <w:p>
      <w:pPr>
        <w:pStyle w:val="TableCaption"/>
        <w:keepNext/>
        <w:keepLines/>
        <w:spacing w:line="240" w:lineRule="auto" w:before="240" w:after="40"/>
        <w:ind w:firstLine="0"/>
        <w:jc w:val="both"/>
      </w:pPr>
      <w:r>
        <w:rPr>
          <w:rFonts w:ascii="Arial" w:hAnsi="Arial"/>
          <w:sz w:val="22"/>
        </w:rPr>
        <w:t xml:space="preserve">Tabela 14. Escolha de hiperparâmetros e validação cruzada do XGBoost (Alencar, 2024)</w:t>
      </w:r>
      <w:r>
        <w:rPr>
          <w:rFonts w:ascii="Arial" w:hAnsi="Arial"/>
          <w:sz w:val="22"/>
        </w:rPr>
        <w:t xml:space="preserve"> </w:t>
      </w:r>
      <w:r>
        <w:rPr>
          <w:rFonts w:ascii="Arial" w:hAnsi="Arial"/>
          <w:sz w:val="22"/>
        </w:rPr>
        <w:t xml:space="preserve">(Géron, 2021)</w:t>
      </w:r>
      <w:r>
        <w:rPr>
          <w:rFonts w:ascii="Arial" w:hAnsi="Arial"/>
          <w:sz w:val="22"/>
        </w:rPr>
        <w:t xml:space="preserve">. Painel A: seis configurações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Painel B: validação</w:t>
      </w:r>
      <w:r>
        <w:rPr>
          <w:rFonts w:ascii="Arial" w:hAnsi="Arial"/>
          <w:sz w:val="22"/>
        </w:rPr>
        <w:t xml:space="preserve"> </w:t>
      </w:r>
      <w:r>
        <w:rPr>
          <w:rFonts w:ascii="Arial" w:hAnsi="Arial"/>
          <w:sz w:val="22"/>
        </w:rPr>
        <w:t xml:space="preserve">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 com média e</w:t>
      </w:r>
      <w:r>
        <w:rPr>
          <w:rFonts w:ascii="Arial" w:hAnsi="Arial"/>
          <w:sz w:val="22"/>
        </w:rPr>
        <w:t xml:space="preserve"> </w:t>
      </w:r>
      <w:r>
        <w:rPr>
          <w:rFonts w:ascii="Arial" w:hAnsi="Arial"/>
          <w:sz w:val="22"/>
        </w:rPr>
        <w:t xml:space="preserve">desvio-padrão entre</w:t>
      </w:r>
      <w:r>
        <w:rPr>
          <w:rFonts w:ascii="Arial" w:hAnsi="Arial"/>
          <w:sz w:val="22"/>
        </w:rPr>
        <w:t xml:space="preserve"> </w:t>
      </w:r>
      <w:r>
        <w:rPr>
          <w:rFonts w:ascii="Arial" w:hAnsi="Arial"/>
          <w:sz w:val="22"/>
        </w:rPr>
        <w:t xml:space="preserve">folds</w:t>
      </w:r>
      <w:r>
        <w:rPr>
          <w:rFonts w:ascii="Arial" w:hAnsi="Arial"/>
          <w:sz w:val="22"/>
        </w:rPr>
        <w:t xml:space="preserve">. População completa: 6.159.418 observações de</w:t>
      </w:r>
      <w:r>
        <w:rPr>
          <w:rFonts w:ascii="Arial" w:hAnsi="Arial"/>
          <w:sz w:val="22"/>
        </w:rPr>
        <w:t xml:space="preserve"> </w:t>
      </w:r>
      <w:r>
        <w:rPr>
          <w:rFonts w:ascii="Arial" w:hAnsi="Arial"/>
          <w:sz w:val="22"/>
        </w:rPr>
        <w:t xml:space="preserve">treino e 1.539.855 de teste; nenhuma amostragem.</w:t>
      </w:r>
    </w:p>
    <w:tbl>
      <w:tblPr>
        <w:tblStyle w:val="Table"/>
        <w:tblW w:type="auto" w:w="0"/>
        <w:tblLayout w:type="fixed"/>
        <w:tblLook w:firstRow="1" w:lastRow="0" w:firstColumn="0" w:lastColumn="0" w:noHBand="0" w:noVBand="0" w:val="0020"/>
        <w:tblCaption w:val="Tabela 14. Escolha de hiperparâmetros e validação cruzada do XGBoost (Alencar, 2024) (Géron, 2021). Painel A: seis configurações comparadas numa partição de validação dentro do treino — o conjunto de teste permanece intocado. Painel B: validação cruzada k-fold (k=5) no treino completo, com média e desvio-padrão entre folds. População completa: 6.159.418 observações de treino e 1.539.855 de teste; nenhuma amostragem."/>
        <w:tblBorders>
          <w:top w:val="nil"/>
          <w:left w:val="nil"/>
          <w:bottom w:val="nil"/>
          <w:right w:val="nil"/>
          <w:insideH w:val="nil"/>
          <w:insideV w:val="nil"/>
        </w:tblBorders>
      </w:tblPr>
      <w:tblGrid>
        <w:gridCol w:w="1647"/>
        <w:gridCol w:w="1611"/>
        <w:gridCol w:w="1684"/>
        <w:gridCol w:w="1299"/>
        <w:gridCol w:w="1299"/>
        <w:gridCol w:w="1531"/>
      </w:tblGrid>
      <w:tr>
        <w:trPr>
          <w:tblHeader w:val="on"/>
          <w:cantSplit/>
        </w:trPr>
        <w:tc>
          <w:tcPr>
            <w:tcW w:type="dxa" w:w="1531"/>
            <w:gridSpan w:val="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A. Busca na partição de validação</w:t>
            </w:r>
          </w:p>
        </w:tc>
      </w:tr>
      <w:tr>
        <w:trPr>
          <w:cantSplit/>
        </w:trPr>
        <w:tc>
          <w:tcPr>
            <w:tcW w:type="dxa" w:w="1647"/>
          </w:tcPr>
          <w:p>
            <w:pPr>
              <w:pStyle w:val="Compact"/>
              <w:keepNext/>
              <w:spacing w:line="240" w:lineRule="auto" w:after="0"/>
              <w:ind w:firstLine="0"/>
              <w:jc w:val="left"/>
            </w:pPr>
            <w:r>
              <w:rPr>
                <w:rFonts w:ascii="Arial" w:hAnsi="Arial"/>
                <w:b w:val="0"/>
                <w:sz w:val="20"/>
              </w:rPr>
              <w:t xml:space="preserve">Profundidade</w:t>
            </w:r>
          </w:p>
        </w:tc>
        <w:tc>
          <w:tcPr>
            <w:tcW w:type="dxa" w:w="1611"/>
          </w:tcPr>
          <w:p>
            <w:pPr>
              <w:pStyle w:val="Compact"/>
              <w:keepNext/>
              <w:spacing w:line="240" w:lineRule="auto" w:after="0"/>
              <w:ind w:firstLine="0"/>
              <w:jc w:val="left"/>
            </w:pPr>
            <w:r>
              <w:rPr>
                <w:rFonts w:ascii="Arial" w:hAnsi="Arial"/>
                <w:b w:val="0"/>
                <w:sz w:val="20"/>
              </w:rPr>
              <w:t xml:space="preserve">Taxa de aprendizado</w:t>
            </w:r>
          </w:p>
        </w:tc>
        <w:tc>
          <w:tcPr>
            <w:tcW w:type="dxa" w:w="1684"/>
          </w:tcPr>
          <w:p>
            <w:pPr>
              <w:pStyle w:val="Compact"/>
              <w:keepNext/>
              <w:spacing w:line="240" w:lineRule="auto" w:after="0"/>
              <w:ind w:firstLine="0"/>
              <w:jc w:val="left"/>
            </w:pPr>
            <w:r>
              <w:rPr>
                <w:rFonts w:ascii="Arial" w:hAnsi="Arial"/>
                <w:b w:val="0"/>
                <w:sz w:val="20"/>
              </w:rPr>
              <w:t xml:space="preserve">Árvores</w:t>
            </w:r>
          </w:p>
        </w:tc>
        <w:tc>
          <w:tcPr>
            <w:tcW w:type="dxa" w:w="1299"/>
          </w:tcPr>
          <w:p>
            <w:pPr>
              <w:pStyle w:val="Compact"/>
              <w:keepNext/>
              <w:spacing w:line="240" w:lineRule="auto" w:after="0"/>
              <w:ind w:firstLine="0"/>
              <w:jc w:val="left"/>
            </w:pPr>
            <w:r>
              <w:rPr>
                <w:rFonts w:ascii="Arial" w:hAnsi="Arial"/>
                <w:b w:val="0"/>
                <w:i/>
                <w:iCs/>
                <w:sz w:val="20"/>
              </w:rPr>
              <w:t xml:space="preserve">R</w:t>
            </w:r>
            <w:r>
              <w:rPr>
                <w:rFonts w:ascii="Arial" w:hAnsi="Arial"/>
                <w:b w:val="0"/>
                <w:sz w:val="20"/>
                <w:vertAlign w:val="superscript"/>
              </w:rPr>
              <w:t xml:space="preserve">2</w:t>
            </w:r>
          </w:p>
        </w:tc>
        <w:tc>
          <w:tcPr>
            <w:tcW w:type="dxa" w:w="1299"/>
          </w:tcPr>
          <w:p>
            <w:pPr>
              <w:pStyle w:val="Compact"/>
              <w:keepNext/>
              <w:spacing w:line="240" w:lineRule="auto" w:after="0"/>
              <w:ind w:firstLine="0"/>
              <w:jc w:val="left"/>
            </w:pPr>
            <w:r>
              <w:rPr>
                <w:rFonts w:ascii="Arial" w:hAnsi="Arial"/>
                <w:b w:val="0"/>
                <w:sz w:val="20"/>
              </w:rPr>
              <w:t xml:space="preserve">MAE</w:t>
            </w:r>
          </w:p>
        </w:tc>
        <w:tc>
          <w:tcPr>
            <w:tcW w:type="dxa" w:w="1531"/>
          </w:tcPr>
          <w:p>
            <w:pPr>
              <w:pStyle w:val="Compact"/>
              <w:keepNext/>
              <w:spacing w:line="240" w:lineRule="auto" w:after="0"/>
              <w:ind w:firstLine="0"/>
              <w:jc w:val="left"/>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bCs/>
                <w:sz w:val="20"/>
              </w:rPr>
              <w:t xml:space="preserve">10</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0,6427</w:t>
            </w:r>
          </w:p>
        </w:tc>
        <w:tc>
          <w:tcPr>
            <w:tcW w:type="dxa" w:w="1299"/>
          </w:tcPr>
          <w:p>
            <w:pPr>
              <w:pStyle w:val="Compact"/>
              <w:keepNext/>
              <w:spacing w:line="240" w:lineRule="auto" w:after="0"/>
              <w:ind w:firstLine="0"/>
              <w:jc w:val="right"/>
            </w:pPr>
            <w:r>
              <w:rPr>
                <w:rFonts w:ascii="Arial" w:hAnsi="Arial"/>
                <w:b w:val="0"/>
                <w:sz w:val="20"/>
              </w:rPr>
              <w:t xml:space="preserve">0,3977</w:t>
            </w:r>
          </w:p>
        </w:tc>
        <w:tc>
          <w:tcPr>
            <w:tcW w:type="dxa" w:w="1531"/>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600</w:t>
            </w:r>
          </w:p>
        </w:tc>
        <w:tc>
          <w:tcPr>
            <w:tcW w:type="dxa" w:w="1299"/>
          </w:tcPr>
          <w:p>
            <w:pPr>
              <w:pStyle w:val="Compact"/>
              <w:keepNext/>
              <w:spacing w:line="240" w:lineRule="auto" w:after="0"/>
              <w:ind w:firstLine="0"/>
              <w:jc w:val="right"/>
            </w:pPr>
            <w:r>
              <w:rPr>
                <w:rFonts w:ascii="Arial" w:hAnsi="Arial"/>
                <w:b w:val="0"/>
                <w:sz w:val="20"/>
              </w:rPr>
              <w:t xml:space="preserve">0,6395</w:t>
            </w:r>
          </w:p>
        </w:tc>
        <w:tc>
          <w:tcPr>
            <w:tcW w:type="dxa" w:w="1299"/>
          </w:tcPr>
          <w:p>
            <w:pPr>
              <w:pStyle w:val="Compact"/>
              <w:keepNext/>
              <w:spacing w:line="240" w:lineRule="auto" w:after="0"/>
              <w:ind w:firstLine="0"/>
              <w:jc w:val="right"/>
            </w:pPr>
            <w:r>
              <w:rPr>
                <w:rFonts w:ascii="Arial" w:hAnsi="Arial"/>
                <w:b w:val="0"/>
                <w:sz w:val="20"/>
              </w:rPr>
              <w:t xml:space="preserve">0,3995</w:t>
            </w:r>
          </w:p>
        </w:tc>
        <w:tc>
          <w:tcPr>
            <w:tcW w:type="dxa" w:w="1531"/>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0,6352</w:t>
            </w:r>
          </w:p>
        </w:tc>
        <w:tc>
          <w:tcPr>
            <w:tcW w:type="dxa" w:w="1299"/>
          </w:tcPr>
          <w:p>
            <w:pPr>
              <w:pStyle w:val="Compact"/>
              <w:keepNext/>
              <w:spacing w:line="240" w:lineRule="auto" w:after="0"/>
              <w:ind w:firstLine="0"/>
              <w:jc w:val="right"/>
            </w:pPr>
            <w:r>
              <w:rPr>
                <w:rFonts w:ascii="Arial" w:hAnsi="Arial"/>
                <w:b w:val="0"/>
                <w:sz w:val="20"/>
              </w:rPr>
              <w:t xml:space="preserve">0,4022</w:t>
            </w:r>
          </w:p>
        </w:tc>
        <w:tc>
          <w:tcPr>
            <w:tcW w:type="dxa" w:w="1531"/>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0,10</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0,6322</w:t>
            </w:r>
          </w:p>
        </w:tc>
        <w:tc>
          <w:tcPr>
            <w:tcW w:type="dxa" w:w="1299"/>
          </w:tcPr>
          <w:p>
            <w:pPr>
              <w:pStyle w:val="Compact"/>
              <w:keepNext/>
              <w:spacing w:line="240" w:lineRule="auto" w:after="0"/>
              <w:ind w:firstLine="0"/>
              <w:jc w:val="right"/>
            </w:pPr>
            <w:r>
              <w:rPr>
                <w:rFonts w:ascii="Arial" w:hAnsi="Arial"/>
                <w:b w:val="0"/>
                <w:sz w:val="20"/>
              </w:rPr>
              <w:t xml:space="preserve">0,4041</w:t>
            </w:r>
          </w:p>
        </w:tc>
        <w:tc>
          <w:tcPr>
            <w:tcW w:type="dxa" w:w="1531"/>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 (referência)</w:t>
            </w:r>
          </w:p>
        </w:tc>
        <w:tc>
          <w:tcPr>
            <w:tcW w:type="dxa" w:w="1299"/>
          </w:tcPr>
          <w:p>
            <w:pPr>
              <w:pStyle w:val="Compact"/>
              <w:keepNext/>
              <w:spacing w:line="240" w:lineRule="auto" w:after="0"/>
              <w:ind w:firstLine="0"/>
              <w:jc w:val="right"/>
            </w:pPr>
            <w:r>
              <w:rPr>
                <w:rFonts w:ascii="Arial" w:hAnsi="Arial"/>
                <w:b w:val="0"/>
                <w:sz w:val="20"/>
              </w:rPr>
              <w:t xml:space="preserve">0,6286</w:t>
            </w:r>
          </w:p>
        </w:tc>
        <w:tc>
          <w:tcPr>
            <w:tcW w:type="dxa" w:w="1299"/>
          </w:tcPr>
          <w:p>
            <w:pPr>
              <w:pStyle w:val="Compact"/>
              <w:keepNext/>
              <w:spacing w:line="240" w:lineRule="auto" w:after="0"/>
              <w:ind w:firstLine="0"/>
              <w:jc w:val="right"/>
            </w:pPr>
            <w:r>
              <w:rPr>
                <w:rFonts w:ascii="Arial" w:hAnsi="Arial"/>
                <w:b w:val="0"/>
                <w:sz w:val="20"/>
              </w:rPr>
              <w:t xml:space="preserve">0,4062</w:t>
            </w:r>
          </w:p>
        </w:tc>
        <w:tc>
          <w:tcPr>
            <w:tcW w:type="dxa" w:w="1531"/>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61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68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103"/>
    <w:tbl>
      <w:tblPr>
        <w:tblStyle w:val="Table"/>
        <w:tblW w:type="auto" w:w="0"/>
        <w:tblLayout w:type="fixed"/>
        <w:tblLook w:firstRow="1" w:lastRow="0" w:firstColumn="0" w:lastColumn="0" w:noHBand="0" w:noVBand="0" w:val="0020"/>
        <w:tblBorders>
          <w:top w:val="nil"/>
          <w:left w:val="nil"/>
          <w:bottom w:val="nil"/>
          <w:right w:val="nil"/>
          <w:insideH w:val="nil"/>
          <w:insideV w:val="nil"/>
        </w:tblBorders>
      </w:tblPr>
      <w:tblGrid>
        <w:gridCol w:w="2268"/>
        <w:gridCol w:w="2268"/>
        <w:gridCol w:w="2268"/>
        <w:gridCol w:w="2268"/>
      </w:tblGrid>
      <w:tr>
        <w:trPr>
          <w:tblHeader w:val="on"/>
          <w:cantSplit/>
        </w:trPr>
        <w:tc>
          <w:tcPr>
            <w:tcW w:type="dxa" w:w="2268"/>
            <w:gridSpan w:val="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2"/>
              </w:rPr>
              <w:t xml:space="preserve">B. Validação cruzada no treino (5</w:t>
            </w:r>
            <w:r>
              <w:rPr>
                <w:rFonts w:ascii="Arial" w:hAnsi="Arial"/>
                <w:b w:val="0"/>
                <w:bCs/>
                <w:sz w:val="22"/>
              </w:rPr>
              <w:t xml:space="preserve"> </w:t>
            </w:r>
            <w:r>
              <w:rPr>
                <w:rFonts w:ascii="Arial" w:hAnsi="Arial"/>
                <w:b w:val="0"/>
                <w:bCs/>
                <w:sz w:val="22"/>
              </w:rPr>
              <w:t xml:space="preserve">folds</w:t>
            </w:r>
            <w:r>
              <w:rPr>
                <w:rFonts w:ascii="Arial" w:hAnsi="Arial"/>
                <w:b w:val="0"/>
                <w:bCs/>
                <w:sz w:val="22"/>
              </w:rPr>
              <w:t xml:space="preserve">)</w:t>
            </w:r>
          </w:p>
        </w:tc>
      </w:tr>
      <w:tr>
        <w:trPr>
          <w:cantSplit/>
        </w:trPr>
        <w:tc>
          <w:tcPr>
            <w:tcW w:type="dxa" w:w="2268"/>
          </w:tcPr>
          <w:p>
            <w:pPr>
              <w:pStyle w:val="Compact"/>
              <w:keepNext/>
              <w:spacing w:line="240" w:lineRule="auto" w:after="0"/>
              <w:ind w:firstLine="0"/>
              <w:jc w:val="left"/>
            </w:pPr>
            <w:r>
              <w:rPr>
                <w:rFonts w:ascii="Arial" w:hAnsi="Arial"/>
                <w:b w:val="0"/>
                <w:sz w:val="22"/>
              </w:rPr>
              <w:t xml:space="preserve">Configuração</w:t>
            </w:r>
          </w:p>
        </w:tc>
        <w:tc>
          <w:tcPr>
            <w:tcW w:type="dxa" w:w="2268"/>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2268"/>
          </w:tcPr>
          <w:p>
            <w:pPr>
              <w:pStyle w:val="Compact"/>
              <w:keepNext/>
              <w:spacing w:line="240" w:lineRule="auto" w:after="0"/>
              <w:ind w:firstLine="0"/>
              <w:jc w:val="left"/>
            </w:pPr>
            <w:r>
              <w:rPr>
                <w:rFonts w:ascii="Arial" w:hAnsi="Arial"/>
                <w:b w:val="0"/>
                <w:sz w:val="22"/>
              </w:rPr>
              <w:t xml:space="preserve">MAE</w:t>
            </w:r>
          </w:p>
        </w:tc>
        <w:tc>
          <w:tcPr>
            <w:tcW w:type="dxa" w:w="2268"/>
          </w:tcPr>
          <w:p>
            <w:pPr>
              <w:pStyle w:val="Compact"/>
              <w:keepNext/>
              <w:spacing w:line="240" w:lineRule="auto" w:after="0"/>
              <w:ind w:firstLine="0"/>
              <w:jc w:val="left"/>
            </w:pPr>
            <w:r>
              <w:rPr>
                <w:rFonts w:ascii="Arial" w:hAnsi="Arial"/>
                <w:b w:val="0"/>
                <w:sz w:val="22"/>
              </w:rPr>
              <w:t xml:space="preserve">RMSE</w:t>
            </w:r>
          </w:p>
        </w:tc>
      </w:tr>
      <w:tr>
        <w:trPr>
          <w:cantSplit/>
        </w:trPr>
        <w:tc>
          <w:tcPr>
            <w:tcW w:type="dxa" w:w="2268"/>
          </w:tcPr>
          <w:p>
            <w:pPr>
              <w:pStyle w:val="Compact"/>
              <w:keepNext/>
              <w:spacing w:line="240" w:lineRule="auto" w:after="0"/>
              <w:ind w:firstLine="0"/>
              <w:jc w:val="left"/>
            </w:pPr>
            <w:r>
              <w:rPr>
                <w:rFonts w:ascii="Arial" w:hAnsi="Arial"/>
                <w:b w:val="0"/>
                <w:sz w:val="22"/>
              </w:rPr>
              <w:t xml:space="preserve">Escolhida (profundidade 10)</w:t>
            </w:r>
          </w:p>
        </w:tc>
        <w:tc>
          <w:tcPr>
            <w:tcW w:type="dxa" w:w="2268"/>
          </w:tcPr>
          <w:p>
            <w:pPr>
              <w:pStyle w:val="Compact"/>
              <w:keepNext/>
              <w:spacing w:line="240" w:lineRule="auto" w:after="0"/>
              <w:ind w:firstLine="0"/>
              <w:jc w:val="left"/>
            </w:pPr>
            <w:r>
              <w:rPr>
                <w:rFonts w:ascii="Arial" w:hAnsi="Arial"/>
                <w:b w:val="0"/>
                <w:sz w:val="22"/>
              </w:rPr>
              <w:t xml:space="preserve">0,6435 ± 0,0006</w:t>
            </w:r>
          </w:p>
        </w:tc>
        <w:tc>
          <w:tcPr>
            <w:tcW w:type="dxa" w:w="2268"/>
          </w:tcPr>
          <w:p>
            <w:pPr>
              <w:pStyle w:val="Compact"/>
              <w:keepNext/>
              <w:spacing w:line="240" w:lineRule="auto" w:after="0"/>
              <w:ind w:firstLine="0"/>
              <w:jc w:val="left"/>
            </w:pPr>
            <w:r>
              <w:rPr>
                <w:rFonts w:ascii="Arial" w:hAnsi="Arial"/>
                <w:b w:val="0"/>
                <w:sz w:val="22"/>
              </w:rPr>
              <w:t xml:space="preserve">0,3978 ± 0,0002</w:t>
            </w:r>
          </w:p>
        </w:tc>
        <w:tc>
          <w:tcPr>
            <w:tcW w:type="dxa" w:w="2268"/>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configuração escolhida ganha 1,4 ponto percentual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w:t>
      </w:r>
      <w:r>
        <w:rPr>
          <w:rFonts w:ascii="Arial" w:hAnsi="Arial"/>
          <w:sz w:val="22"/>
        </w:rPr>
        <w:t xml:space="preserve"> </w:t>
      </w:r>
      <w:r>
        <w:rPr>
          <w:rFonts w:ascii="Arial" w:hAnsi="Arial"/>
          <w:sz w:val="22"/>
        </w:rPr>
        <w:t xml:space="preserve">sobreajuste maior, mas ainda pequeno (Painel A). No conjunto de teste (intocado durante a</w:t>
      </w:r>
      <w:r>
        <w:rPr>
          <w:rFonts w:ascii="Arial" w:hAnsi="Arial"/>
          <w:sz w:val="22"/>
        </w:rPr>
        <w:t xml:space="preserve"> </w:t>
      </w:r>
      <w:r>
        <w:rPr>
          <w:rFonts w:ascii="Arial" w:hAnsi="Arial"/>
          <w:sz w:val="22"/>
        </w:rPr>
        <w:t xml:space="preserve">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a estabilidade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e o erro em reais são</w:t>
      </w:r>
      <w:r>
        <w:rPr>
          <w:rFonts w:ascii="Arial" w:hAnsi="Arial"/>
          <w:sz w:val="22"/>
        </w:rPr>
        <w:t xml:space="preserve"> </w:t>
      </w:r>
      <w:r>
        <w:rPr>
          <w:rFonts w:ascii="Arial" w:hAnsi="Arial"/>
          <w:sz w:val="22"/>
        </w:rPr>
        <w:t xml:space="preserve">discutidos no texto.</w:t>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4"/>
      </w:r>
      <w:r>
        <w:rPr>
          <w:rFonts w:ascii="Arial" w:hAnsi="Arial"/>
          <w:sz w:val="22"/>
        </w:rPr>
        <w:t xml:space="preserve">. Três evidências</w:t>
      </w:r>
      <w:r>
        <w:rPr>
          <w:rFonts w:ascii="Arial" w:hAnsi="Arial"/>
          <w:sz w:val="22"/>
        </w:rPr>
        <w:t xml:space="preserve"> </w:t>
      </w:r>
      <w:r>
        <w:rPr>
          <w:rFonts w:ascii="Arial" w:hAnsi="Arial"/>
          <w:sz w:val="22"/>
        </w:rPr>
        <w:t xml:space="preserve">convergem: a diferença entre treino e teste é praticamente nula; o número de observações</w:t>
      </w:r>
      <w:r>
        <w:rPr>
          <w:rFonts w:ascii="Arial" w:hAnsi="Arial"/>
          <w:sz w:val="22"/>
        </w:rPr>
        <w:t xml:space="preserve"> </w:t>
      </w:r>
      <w:r>
        <w:rPr>
          <w:rFonts w:ascii="Arial" w:hAnsi="Arial"/>
          <w:sz w:val="22"/>
        </w:rPr>
        <w:t xml:space="preserve">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15 traz o ranking completo das variáveis nos dois modelos.</w:t>
      </w:r>
    </w:p>
    <w:bookmarkStart w:id="105" w:name="tab:shap_importance"/>
    <w:p>
      <w:pPr>
        <w:pStyle w:val="TableCaption"/>
        <w:keepNext/>
        <w:keepLines/>
        <w:spacing w:line="240" w:lineRule="auto" w:before="240" w:after="40"/>
        <w:ind w:firstLine="0"/>
        <w:jc w:val="both"/>
      </w:pPr>
      <w:r>
        <w:rPr>
          <w:rFonts w:ascii="Arial" w:hAnsi="Arial"/>
          <w:sz w:val="22"/>
        </w:rPr>
        <w:t xml:space="preserve">Tabela 15. Importância SHAP Comparada — Random Forest e XGBoost. 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 Destaque em negrito: variáveis raciais/contextuais.</w:t>
      </w:r>
    </w:p>
    <w:tbl>
      <w:tblPr>
        <w:tblStyle w:val="Table"/>
        <w:tblW w:type="auto" w:w="0"/>
        <w:tblLayout w:type="fixed"/>
        <w:tblLook w:firstRow="1" w:lastRow="0" w:firstColumn="0" w:lastColumn="0" w:noHBand="0" w:noVBand="0" w:val="0020"/>
        <w:tblCaption w:val="Tabela 15. Importância SHAP Comparada — Random Forest e XGBoost. Predição de log-rendimento, PNAD 2016–2025 (N_{\text{SHAP}}=50.000). Valores: |\text{SHAP}| médio. Destaque em negrito: variáveis raciais/contextuais."/>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tcPr>
          <w:p>
            <w:pPr>
              <w:pStyle w:val="Compact"/>
              <w:keepNext/>
              <w:spacing w:line="240" w:lineRule="auto" w:after="0"/>
              <w:ind w:firstLine="0"/>
              <w:jc w:val="left"/>
            </w:pPr>
            <w:r>
              <w:rPr>
                <w:rFonts w:ascii="Arial" w:hAnsi="Arial"/>
                <w:b w:val="0"/>
                <w:sz w:val="20"/>
              </w:rPr>
              <w:t xml:space="preserve">Renda média UPA (exceto o próprio)</w:t>
            </w:r>
          </w:p>
        </w:tc>
        <w:tc>
          <w:tcPr>
            <w:tcW w:type="dxa" w:w="1602"/>
          </w:tcPr>
          <w:p>
            <w:pPr>
              <w:pStyle w:val="Compact"/>
              <w:keepNext/>
              <w:spacing w:line="240" w:lineRule="auto" w:after="0"/>
              <w:ind w:firstLine="0"/>
              <w:jc w:val="right"/>
            </w:pPr>
            <w:r>
              <w:rPr>
                <w:rFonts w:ascii="Arial" w:hAnsi="Arial"/>
                <w:b w:val="0"/>
                <w:sz w:val="20"/>
              </w:rPr>
              <w:t xml:space="preserve">0,21008</w:t>
            </w:r>
          </w:p>
        </w:tc>
        <w:tc>
          <w:tcPr>
            <w:tcW w:type="dxa" w:w="915"/>
          </w:tcPr>
          <w:p>
            <w:pPr>
              <w:pStyle w:val="Compact"/>
              <w:keepNext/>
              <w:spacing w:line="240" w:lineRule="auto" w:after="0"/>
              <w:ind w:firstLine="0"/>
              <w:jc w:val="right"/>
            </w:pPr>
            <w:r>
              <w:rPr>
                <w:rFonts w:ascii="Arial" w:hAnsi="Arial"/>
                <w:b w:val="0"/>
                <w:sz w:val="20"/>
              </w:rPr>
              <w:t xml:space="preserve">2</w:t>
            </w:r>
          </w:p>
        </w:tc>
        <w:tc>
          <w:tcPr>
            <w:tcW w:type="dxa" w:w="1602"/>
          </w:tcPr>
          <w:p>
            <w:pPr>
              <w:pStyle w:val="Compact"/>
              <w:keepNext/>
              <w:spacing w:line="240" w:lineRule="auto" w:after="0"/>
              <w:ind w:firstLine="0"/>
              <w:jc w:val="right"/>
            </w:pPr>
            <w:r>
              <w:rPr>
                <w:rFonts w:ascii="Arial" w:hAnsi="Arial"/>
                <w:b w:val="0"/>
                <w:sz w:val="20"/>
              </w:rPr>
              <w:t xml:space="preserve">0,18775</w:t>
            </w:r>
          </w:p>
        </w:tc>
        <w:tc>
          <w:tcPr>
            <w:tcW w:type="dxa" w:w="915"/>
          </w:tcPr>
          <w:p>
            <w:pPr>
              <w:pStyle w:val="Compact"/>
              <w:keepNext/>
              <w:spacing w:line="240" w:lineRule="auto" w:after="0"/>
              <w:ind w:firstLine="0"/>
              <w:jc w:val="right"/>
            </w:pPr>
            <w:r>
              <w:rPr>
                <w:rFonts w:ascii="Arial" w:hAnsi="Arial"/>
                <w:b w:val="0"/>
                <w:sz w:val="20"/>
              </w:rPr>
              <w:t xml:space="preserve">1</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superior completo</w:t>
            </w:r>
          </w:p>
        </w:tc>
        <w:tc>
          <w:tcPr>
            <w:tcW w:type="dxa" w:w="1602"/>
          </w:tcPr>
          <w:p>
            <w:pPr>
              <w:pStyle w:val="Compact"/>
              <w:keepNext/>
              <w:spacing w:line="240" w:lineRule="auto" w:after="0"/>
              <w:ind w:firstLine="0"/>
              <w:jc w:val="right"/>
            </w:pPr>
            <w:r>
              <w:rPr>
                <w:rFonts w:ascii="Arial" w:hAnsi="Arial"/>
                <w:b w:val="0"/>
                <w:sz w:val="20"/>
              </w:rPr>
              <w:t xml:space="preserve">0,24464</w:t>
            </w:r>
          </w:p>
        </w:tc>
        <w:tc>
          <w:tcPr>
            <w:tcW w:type="dxa" w:w="915"/>
          </w:tcPr>
          <w:p>
            <w:pPr>
              <w:pStyle w:val="Compact"/>
              <w:keepNext/>
              <w:spacing w:line="240" w:lineRule="auto" w:after="0"/>
              <w:ind w:firstLine="0"/>
              <w:jc w:val="right"/>
            </w:pPr>
            <w:r>
              <w:rPr>
                <w:rFonts w:ascii="Arial" w:hAnsi="Arial"/>
                <w:b w:val="0"/>
                <w:sz w:val="20"/>
              </w:rPr>
              <w:t xml:space="preserve">1</w:t>
            </w:r>
          </w:p>
        </w:tc>
        <w:tc>
          <w:tcPr>
            <w:tcW w:type="dxa" w:w="1602"/>
          </w:tcPr>
          <w:p>
            <w:pPr>
              <w:pStyle w:val="Compact"/>
              <w:keepNext/>
              <w:spacing w:line="240" w:lineRule="auto" w:after="0"/>
              <w:ind w:firstLine="0"/>
              <w:jc w:val="right"/>
            </w:pPr>
            <w:r>
              <w:rPr>
                <w:rFonts w:ascii="Arial" w:hAnsi="Arial"/>
                <w:b w:val="0"/>
                <w:sz w:val="20"/>
              </w:rPr>
              <w:t xml:space="preserve">0,17823</w:t>
            </w:r>
          </w:p>
        </w:tc>
        <w:tc>
          <w:tcPr>
            <w:tcW w:type="dxa" w:w="915"/>
          </w:tcPr>
          <w:p>
            <w:pPr>
              <w:pStyle w:val="Compact"/>
              <w:keepNext/>
              <w:spacing w:line="240" w:lineRule="auto" w:after="0"/>
              <w:ind w:firstLine="0"/>
              <w:jc w:val="right"/>
            </w:pPr>
            <w:r>
              <w:rPr>
                <w:rFonts w:ascii="Arial" w:hAnsi="Arial"/>
                <w:b w:val="0"/>
                <w:sz w:val="20"/>
              </w:rPr>
              <w:t xml:space="preserve">2</w:t>
            </w:r>
          </w:p>
        </w:tc>
      </w:tr>
      <w:tr>
        <w:trPr>
          <w:cantSplit/>
        </w:trPr>
        <w:tc>
          <w:tcPr>
            <w:tcW w:type="dxa" w:w="4037"/>
          </w:tcPr>
          <w:p>
            <w:pPr>
              <w:pStyle w:val="Compact"/>
              <w:keepNext/>
              <w:spacing w:line="240" w:lineRule="auto" w:after="0"/>
              <w:ind w:firstLine="0"/>
              <w:jc w:val="left"/>
            </w:pPr>
            <w:r>
              <w:rPr>
                <w:rFonts w:ascii="Arial" w:hAnsi="Arial"/>
                <w:b w:val="0"/>
                <w:sz w:val="20"/>
              </w:rPr>
              <w:t xml:space="preserve">Horas trabalhadas</w:t>
            </w:r>
          </w:p>
        </w:tc>
        <w:tc>
          <w:tcPr>
            <w:tcW w:type="dxa" w:w="1602"/>
          </w:tcPr>
          <w:p>
            <w:pPr>
              <w:pStyle w:val="Compact"/>
              <w:keepNext/>
              <w:spacing w:line="240" w:lineRule="auto" w:after="0"/>
              <w:ind w:firstLine="0"/>
              <w:jc w:val="right"/>
            </w:pPr>
            <w:r>
              <w:rPr>
                <w:rFonts w:ascii="Arial" w:hAnsi="Arial"/>
                <w:b w:val="0"/>
                <w:sz w:val="20"/>
              </w:rPr>
              <w:t xml:space="preserve">0,19383</w:t>
            </w:r>
          </w:p>
        </w:tc>
        <w:tc>
          <w:tcPr>
            <w:tcW w:type="dxa" w:w="915"/>
          </w:tcPr>
          <w:p>
            <w:pPr>
              <w:pStyle w:val="Compact"/>
              <w:keepNext/>
              <w:spacing w:line="240" w:lineRule="auto" w:after="0"/>
              <w:ind w:firstLine="0"/>
              <w:jc w:val="right"/>
            </w:pPr>
            <w:r>
              <w:rPr>
                <w:rFonts w:ascii="Arial" w:hAnsi="Arial"/>
                <w:b w:val="0"/>
                <w:sz w:val="20"/>
              </w:rPr>
              <w:t xml:space="preserve">3</w:t>
            </w:r>
          </w:p>
        </w:tc>
        <w:tc>
          <w:tcPr>
            <w:tcW w:type="dxa" w:w="1602"/>
          </w:tcPr>
          <w:p>
            <w:pPr>
              <w:pStyle w:val="Compact"/>
              <w:keepNext/>
              <w:spacing w:line="240" w:lineRule="auto" w:after="0"/>
              <w:ind w:firstLine="0"/>
              <w:jc w:val="right"/>
            </w:pPr>
            <w:r>
              <w:rPr>
                <w:rFonts w:ascii="Arial" w:hAnsi="Arial"/>
                <w:b w:val="0"/>
                <w:sz w:val="20"/>
              </w:rPr>
              <w:t xml:space="preserve">0,17220</w:t>
            </w:r>
          </w:p>
        </w:tc>
        <w:tc>
          <w:tcPr>
            <w:tcW w:type="dxa" w:w="915"/>
          </w:tcPr>
          <w:p>
            <w:pPr>
              <w:pStyle w:val="Compact"/>
              <w:keepNext/>
              <w:spacing w:line="240" w:lineRule="auto" w:after="0"/>
              <w:ind w:firstLine="0"/>
              <w:jc w:val="right"/>
            </w:pPr>
            <w:r>
              <w:rPr>
                <w:rFonts w:ascii="Arial" w:hAnsi="Arial"/>
                <w:b w:val="0"/>
                <w:sz w:val="20"/>
              </w:rPr>
              <w:t xml:space="preserve">3</w:t>
            </w:r>
          </w:p>
        </w:tc>
      </w:tr>
      <w:tr>
        <w:trPr>
          <w:cantSplit/>
        </w:trPr>
        <w:tc>
          <w:tcPr>
            <w:tcW w:type="dxa" w:w="4037"/>
          </w:tcPr>
          <w:p>
            <w:pPr>
              <w:pStyle w:val="Compact"/>
              <w:keepNext/>
              <w:spacing w:line="240" w:lineRule="auto" w:after="0"/>
              <w:ind w:firstLine="0"/>
              <w:jc w:val="left"/>
            </w:pPr>
            <w:r>
              <w:rPr>
                <w:rFonts w:ascii="Arial" w:hAnsi="Arial"/>
                <w:b w:val="0"/>
                <w:sz w:val="20"/>
              </w:rPr>
              <w:t xml:space="preserve">Gênero (feminino)</w:t>
            </w:r>
          </w:p>
        </w:tc>
        <w:tc>
          <w:tcPr>
            <w:tcW w:type="dxa" w:w="1602"/>
          </w:tcPr>
          <w:p>
            <w:pPr>
              <w:pStyle w:val="Compact"/>
              <w:keepNext/>
              <w:spacing w:line="240" w:lineRule="auto" w:after="0"/>
              <w:ind w:firstLine="0"/>
              <w:jc w:val="right"/>
            </w:pPr>
            <w:r>
              <w:rPr>
                <w:rFonts w:ascii="Arial" w:hAnsi="Arial"/>
                <w:b w:val="0"/>
                <w:sz w:val="20"/>
              </w:rPr>
              <w:t xml:space="preserve">0,11166</w:t>
            </w:r>
          </w:p>
        </w:tc>
        <w:tc>
          <w:tcPr>
            <w:tcW w:type="dxa" w:w="915"/>
          </w:tcPr>
          <w:p>
            <w:pPr>
              <w:pStyle w:val="Compact"/>
              <w:keepNext/>
              <w:spacing w:line="240" w:lineRule="auto" w:after="0"/>
              <w:ind w:firstLine="0"/>
              <w:jc w:val="right"/>
            </w:pPr>
            <w:r>
              <w:rPr>
                <w:rFonts w:ascii="Arial" w:hAnsi="Arial"/>
                <w:b w:val="0"/>
                <w:sz w:val="20"/>
              </w:rPr>
              <w:t xml:space="preserve">4</w:t>
            </w:r>
          </w:p>
        </w:tc>
        <w:tc>
          <w:tcPr>
            <w:tcW w:type="dxa" w:w="1602"/>
          </w:tcPr>
          <w:p>
            <w:pPr>
              <w:pStyle w:val="Compact"/>
              <w:keepNext/>
              <w:spacing w:line="240" w:lineRule="auto" w:after="0"/>
              <w:ind w:firstLine="0"/>
              <w:jc w:val="right"/>
            </w:pPr>
            <w:r>
              <w:rPr>
                <w:rFonts w:ascii="Arial" w:hAnsi="Arial"/>
                <w:b w:val="0"/>
                <w:sz w:val="20"/>
              </w:rPr>
              <w:t xml:space="preserve">0,10557</w:t>
            </w:r>
          </w:p>
        </w:tc>
        <w:tc>
          <w:tcPr>
            <w:tcW w:type="dxa" w:w="915"/>
          </w:tcPr>
          <w:p>
            <w:pPr>
              <w:pStyle w:val="Compact"/>
              <w:keepNext/>
              <w:spacing w:line="240" w:lineRule="auto" w:after="0"/>
              <w:ind w:firstLine="0"/>
              <w:jc w:val="right"/>
            </w:pPr>
            <w:r>
              <w:rPr>
                <w:rFonts w:ascii="Arial" w:hAnsi="Arial"/>
                <w:b w:val="0"/>
                <w:sz w:val="20"/>
              </w:rPr>
              <w:t xml:space="preserve">4</w:t>
            </w:r>
          </w:p>
        </w:tc>
      </w:tr>
      <w:tr>
        <w:trPr>
          <w:cantSplit/>
        </w:trPr>
        <w:tc>
          <w:tcPr>
            <w:tcW w:type="dxa" w:w="4037"/>
          </w:tcPr>
          <w:p>
            <w:pPr>
              <w:pStyle w:val="Compact"/>
              <w:keepNext/>
              <w:spacing w:line="240" w:lineRule="auto" w:after="0"/>
              <w:ind w:firstLine="0"/>
              <w:jc w:val="left"/>
            </w:pPr>
            <w:r>
              <w:rPr>
                <w:rFonts w:ascii="Arial" w:hAnsi="Arial"/>
                <w:b w:val="0"/>
                <w:sz w:val="20"/>
              </w:rPr>
              <w:t xml:space="preserve">Emprego formal (carteira)</w:t>
            </w:r>
          </w:p>
        </w:tc>
        <w:tc>
          <w:tcPr>
            <w:tcW w:type="dxa" w:w="1602"/>
          </w:tcPr>
          <w:p>
            <w:pPr>
              <w:pStyle w:val="Compact"/>
              <w:keepNext/>
              <w:spacing w:line="240" w:lineRule="auto" w:after="0"/>
              <w:ind w:firstLine="0"/>
              <w:jc w:val="right"/>
            </w:pPr>
            <w:r>
              <w:rPr>
                <w:rFonts w:ascii="Arial" w:hAnsi="Arial"/>
                <w:b w:val="0"/>
                <w:sz w:val="20"/>
              </w:rPr>
              <w:t xml:space="preserve">0,11100</w:t>
            </w:r>
          </w:p>
        </w:tc>
        <w:tc>
          <w:tcPr>
            <w:tcW w:type="dxa" w:w="915"/>
          </w:tcPr>
          <w:p>
            <w:pPr>
              <w:pStyle w:val="Compact"/>
              <w:keepNext/>
              <w:spacing w:line="240" w:lineRule="auto" w:after="0"/>
              <w:ind w:firstLine="0"/>
              <w:jc w:val="right"/>
            </w:pPr>
            <w:r>
              <w:rPr>
                <w:rFonts w:ascii="Arial" w:hAnsi="Arial"/>
                <w:b w:val="0"/>
                <w:sz w:val="20"/>
              </w:rPr>
              <w:t xml:space="preserve">5</w:t>
            </w:r>
          </w:p>
        </w:tc>
        <w:tc>
          <w:tcPr>
            <w:tcW w:type="dxa" w:w="1602"/>
          </w:tcPr>
          <w:p>
            <w:pPr>
              <w:pStyle w:val="Compact"/>
              <w:keepNext/>
              <w:spacing w:line="240" w:lineRule="auto" w:after="0"/>
              <w:ind w:firstLine="0"/>
              <w:jc w:val="right"/>
            </w:pPr>
            <w:r>
              <w:rPr>
                <w:rFonts w:ascii="Arial" w:hAnsi="Arial"/>
                <w:b w:val="0"/>
                <w:sz w:val="20"/>
              </w:rPr>
              <w:t xml:space="preserve">0,10548</w:t>
            </w:r>
          </w:p>
        </w:tc>
        <w:tc>
          <w:tcPr>
            <w:tcW w:type="dxa" w:w="915"/>
          </w:tcPr>
          <w:p>
            <w:pPr>
              <w:pStyle w:val="Compact"/>
              <w:keepNext/>
              <w:spacing w:line="240" w:lineRule="auto" w:after="0"/>
              <w:ind w:firstLine="0"/>
              <w:jc w:val="right"/>
            </w:pPr>
            <w:r>
              <w:rPr>
                <w:rFonts w:ascii="Arial" w:hAnsi="Arial"/>
                <w:b w:val="0"/>
                <w:sz w:val="20"/>
              </w:rPr>
              <w:t xml:space="preserve">5</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 (centrada)</w:t>
            </w:r>
          </w:p>
        </w:tc>
        <w:tc>
          <w:tcPr>
            <w:tcW w:type="dxa" w:w="1602"/>
          </w:tcPr>
          <w:p>
            <w:pPr>
              <w:pStyle w:val="Compact"/>
              <w:keepNext/>
              <w:spacing w:line="240" w:lineRule="auto" w:after="0"/>
              <w:ind w:firstLine="0"/>
              <w:jc w:val="right"/>
            </w:pPr>
            <w:r>
              <w:rPr>
                <w:rFonts w:ascii="Arial" w:hAnsi="Arial"/>
                <w:b w:val="0"/>
                <w:sz w:val="20"/>
              </w:rPr>
              <w:t xml:space="preserve">0,05669</w:t>
            </w:r>
          </w:p>
        </w:tc>
        <w:tc>
          <w:tcPr>
            <w:tcW w:type="dxa" w:w="915"/>
          </w:tcPr>
          <w:p>
            <w:pPr>
              <w:pStyle w:val="Compact"/>
              <w:keepNext/>
              <w:spacing w:line="240" w:lineRule="auto" w:after="0"/>
              <w:ind w:firstLine="0"/>
              <w:jc w:val="right"/>
            </w:pPr>
            <w:r>
              <w:rPr>
                <w:rFonts w:ascii="Arial" w:hAnsi="Arial"/>
                <w:b w:val="0"/>
                <w:sz w:val="20"/>
              </w:rPr>
              <w:t xml:space="preserve">6</w:t>
            </w:r>
          </w:p>
        </w:tc>
        <w:tc>
          <w:tcPr>
            <w:tcW w:type="dxa" w:w="1602"/>
          </w:tcPr>
          <w:p>
            <w:pPr>
              <w:pStyle w:val="Compact"/>
              <w:keepNext/>
              <w:spacing w:line="240" w:lineRule="auto" w:after="0"/>
              <w:ind w:firstLine="0"/>
              <w:jc w:val="right"/>
            </w:pPr>
            <w:r>
              <w:rPr>
                <w:rFonts w:ascii="Arial" w:hAnsi="Arial"/>
                <w:b w:val="0"/>
                <w:sz w:val="20"/>
              </w:rPr>
              <w:t xml:space="preserve">0,09059</w:t>
            </w:r>
          </w:p>
        </w:tc>
        <w:tc>
          <w:tcPr>
            <w:tcW w:type="dxa" w:w="915"/>
          </w:tcPr>
          <w:p>
            <w:pPr>
              <w:pStyle w:val="Compact"/>
              <w:keepNext/>
              <w:spacing w:line="240" w:lineRule="auto" w:after="0"/>
              <w:ind w:firstLine="0"/>
              <w:jc w:val="right"/>
            </w:pPr>
            <w:r>
              <w:rPr>
                <w:rFonts w:ascii="Arial" w:hAnsi="Arial"/>
                <w:b w:val="0"/>
                <w:sz w:val="20"/>
              </w:rPr>
              <w:t xml:space="preserve">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Conta própria</w:t>
            </w:r>
          </w:p>
        </w:tc>
        <w:tc>
          <w:tcPr>
            <w:tcW w:type="dxa" w:w="1602"/>
          </w:tcPr>
          <w:p>
            <w:pPr>
              <w:pStyle w:val="Compact"/>
              <w:keepNext/>
              <w:spacing w:line="240" w:lineRule="auto" w:after="0"/>
              <w:ind w:firstLine="0"/>
              <w:jc w:val="right"/>
            </w:pPr>
            <w:r>
              <w:rPr>
                <w:rFonts w:ascii="Arial" w:hAnsi="Arial"/>
                <w:b w:val="0"/>
                <w:sz w:val="20"/>
              </w:rPr>
              <w:t xml:space="preserve">0,02228</w:t>
            </w:r>
          </w:p>
        </w:tc>
        <w:tc>
          <w:tcPr>
            <w:tcW w:type="dxa" w:w="915"/>
          </w:tcPr>
          <w:p>
            <w:pPr>
              <w:pStyle w:val="Compact"/>
              <w:keepNext/>
              <w:spacing w:line="240" w:lineRule="auto" w:after="0"/>
              <w:ind w:firstLine="0"/>
              <w:jc w:val="right"/>
            </w:pPr>
            <w:r>
              <w:rPr>
                <w:rFonts w:ascii="Arial" w:hAnsi="Arial"/>
                <w:b w:val="0"/>
                <w:sz w:val="20"/>
              </w:rPr>
              <w:t xml:space="preserve">10</w:t>
            </w:r>
          </w:p>
        </w:tc>
        <w:tc>
          <w:tcPr>
            <w:tcW w:type="dxa" w:w="1602"/>
          </w:tcPr>
          <w:p>
            <w:pPr>
              <w:pStyle w:val="Compact"/>
              <w:keepNext/>
              <w:spacing w:line="240" w:lineRule="auto" w:after="0"/>
              <w:ind w:firstLine="0"/>
              <w:jc w:val="right"/>
            </w:pPr>
            <w:r>
              <w:rPr>
                <w:rFonts w:ascii="Arial" w:hAnsi="Arial"/>
                <w:b w:val="0"/>
                <w:sz w:val="20"/>
              </w:rPr>
              <w:t xml:space="preserve">0,05621</w:t>
            </w:r>
          </w:p>
        </w:tc>
        <w:tc>
          <w:tcPr>
            <w:tcW w:type="dxa" w:w="915"/>
          </w:tcPr>
          <w:p>
            <w:pPr>
              <w:pStyle w:val="Compact"/>
              <w:keepNext/>
              <w:spacing w:line="240" w:lineRule="auto" w:after="0"/>
              <w:ind w:firstLine="0"/>
              <w:jc w:val="right"/>
            </w:pPr>
            <w:r>
              <w:rPr>
                <w:rFonts w:ascii="Arial" w:hAnsi="Arial"/>
                <w:b w:val="0"/>
                <w:sz w:val="20"/>
              </w:rPr>
              <w:t xml:space="preserve">7</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Profissionais</w:t>
            </w:r>
          </w:p>
        </w:tc>
        <w:tc>
          <w:tcPr>
            <w:tcW w:type="dxa" w:w="1602"/>
          </w:tcPr>
          <w:p>
            <w:pPr>
              <w:pStyle w:val="Compact"/>
              <w:keepNext/>
              <w:spacing w:line="240" w:lineRule="auto" w:after="0"/>
              <w:ind w:firstLine="0"/>
              <w:jc w:val="right"/>
            </w:pPr>
            <w:r>
              <w:rPr>
                <w:rFonts w:ascii="Arial" w:hAnsi="Arial"/>
                <w:b w:val="0"/>
                <w:sz w:val="20"/>
              </w:rPr>
              <w:t xml:space="preserve">0,02371</w:t>
            </w:r>
          </w:p>
        </w:tc>
        <w:tc>
          <w:tcPr>
            <w:tcW w:type="dxa" w:w="915"/>
          </w:tcPr>
          <w:p>
            <w:pPr>
              <w:pStyle w:val="Compact"/>
              <w:keepNext/>
              <w:spacing w:line="240" w:lineRule="auto" w:after="0"/>
              <w:ind w:firstLine="0"/>
              <w:jc w:val="right"/>
            </w:pPr>
            <w:r>
              <w:rPr>
                <w:rFonts w:ascii="Arial" w:hAnsi="Arial"/>
                <w:b w:val="0"/>
                <w:sz w:val="20"/>
              </w:rPr>
              <w:t xml:space="preserve">9</w:t>
            </w:r>
          </w:p>
        </w:tc>
        <w:tc>
          <w:tcPr>
            <w:tcW w:type="dxa" w:w="1602"/>
          </w:tcPr>
          <w:p>
            <w:pPr>
              <w:pStyle w:val="Compact"/>
              <w:keepNext/>
              <w:spacing w:line="240" w:lineRule="auto" w:after="0"/>
              <w:ind w:firstLine="0"/>
              <w:jc w:val="right"/>
            </w:pPr>
            <w:r>
              <w:rPr>
                <w:rFonts w:ascii="Arial" w:hAnsi="Arial"/>
                <w:b w:val="0"/>
                <w:sz w:val="20"/>
              </w:rPr>
              <w:t xml:space="preserve">0,05440</w:t>
            </w:r>
          </w:p>
        </w:tc>
        <w:tc>
          <w:tcPr>
            <w:tcW w:type="dxa" w:w="915"/>
          </w:tcPr>
          <w:p>
            <w:pPr>
              <w:pStyle w:val="Compact"/>
              <w:keepNext/>
              <w:spacing w:line="240" w:lineRule="auto" w:after="0"/>
              <w:ind w:firstLine="0"/>
              <w:jc w:val="right"/>
            </w:pPr>
            <w:r>
              <w:rPr>
                <w:rFonts w:ascii="Arial" w:hAnsi="Arial"/>
                <w:b w:val="0"/>
                <w:sz w:val="20"/>
              </w:rPr>
              <w:t xml:space="preserve">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médio completo</w:t>
            </w:r>
          </w:p>
        </w:tc>
        <w:tc>
          <w:tcPr>
            <w:tcW w:type="dxa" w:w="1602"/>
          </w:tcPr>
          <w:p>
            <w:pPr>
              <w:pStyle w:val="Compact"/>
              <w:keepNext/>
              <w:spacing w:line="240" w:lineRule="auto" w:after="0"/>
              <w:ind w:firstLine="0"/>
              <w:jc w:val="right"/>
            </w:pPr>
            <w:r>
              <w:rPr>
                <w:rFonts w:ascii="Arial" w:hAnsi="Arial"/>
                <w:b w:val="0"/>
                <w:sz w:val="20"/>
              </w:rPr>
              <w:t xml:space="preserve">0,04494</w:t>
            </w:r>
          </w:p>
        </w:tc>
        <w:tc>
          <w:tcPr>
            <w:tcW w:type="dxa" w:w="915"/>
          </w:tcPr>
          <w:p>
            <w:pPr>
              <w:pStyle w:val="Compact"/>
              <w:keepNext/>
              <w:spacing w:line="240" w:lineRule="auto" w:after="0"/>
              <w:ind w:firstLine="0"/>
              <w:jc w:val="right"/>
            </w:pPr>
            <w:r>
              <w:rPr>
                <w:rFonts w:ascii="Arial" w:hAnsi="Arial"/>
                <w:b w:val="0"/>
                <w:sz w:val="20"/>
              </w:rPr>
              <w:t xml:space="preserve">7</w:t>
            </w:r>
          </w:p>
        </w:tc>
        <w:tc>
          <w:tcPr>
            <w:tcW w:type="dxa" w:w="1602"/>
          </w:tcPr>
          <w:p>
            <w:pPr>
              <w:pStyle w:val="Compact"/>
              <w:keepNext/>
              <w:spacing w:line="240" w:lineRule="auto" w:after="0"/>
              <w:ind w:firstLine="0"/>
              <w:jc w:val="right"/>
            </w:pPr>
            <w:r>
              <w:rPr>
                <w:rFonts w:ascii="Arial" w:hAnsi="Arial"/>
                <w:b w:val="0"/>
                <w:sz w:val="20"/>
              </w:rPr>
              <w:t xml:space="preserve">0,04043</w:t>
            </w:r>
          </w:p>
        </w:tc>
        <w:tc>
          <w:tcPr>
            <w:tcW w:type="dxa" w:w="915"/>
          </w:tcPr>
          <w:p>
            <w:pPr>
              <w:pStyle w:val="Compact"/>
              <w:keepNext/>
              <w:spacing w:line="240" w:lineRule="auto" w:after="0"/>
              <w:ind w:firstLine="0"/>
              <w:jc w:val="right"/>
            </w:pPr>
            <w:r>
              <w:rPr>
                <w:rFonts w:ascii="Arial" w:hAnsi="Arial"/>
                <w:b w:val="0"/>
                <w:sz w:val="20"/>
              </w:rPr>
              <w:t xml:space="preserve">9</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Técnicos</w:t>
            </w:r>
          </w:p>
        </w:tc>
        <w:tc>
          <w:tcPr>
            <w:tcW w:type="dxa" w:w="1602"/>
          </w:tcPr>
          <w:p>
            <w:pPr>
              <w:pStyle w:val="Compact"/>
              <w:keepNext/>
              <w:spacing w:line="240" w:lineRule="auto" w:after="0"/>
              <w:ind w:firstLine="0"/>
              <w:jc w:val="right"/>
            </w:pPr>
            <w:r>
              <w:rPr>
                <w:rFonts w:ascii="Arial" w:hAnsi="Arial"/>
                <w:b w:val="0"/>
                <w:sz w:val="20"/>
              </w:rPr>
              <w:t xml:space="preserve">0,02033</w:t>
            </w:r>
          </w:p>
        </w:tc>
        <w:tc>
          <w:tcPr>
            <w:tcW w:type="dxa" w:w="915"/>
          </w:tcPr>
          <w:p>
            <w:pPr>
              <w:pStyle w:val="Compact"/>
              <w:keepNext/>
              <w:spacing w:line="240" w:lineRule="auto" w:after="0"/>
              <w:ind w:firstLine="0"/>
              <w:jc w:val="right"/>
            </w:pPr>
            <w:r>
              <w:rPr>
                <w:rFonts w:ascii="Arial" w:hAnsi="Arial"/>
                <w:b w:val="0"/>
                <w:sz w:val="20"/>
              </w:rPr>
              <w:t xml:space="preserve">11</w:t>
            </w:r>
          </w:p>
        </w:tc>
        <w:tc>
          <w:tcPr>
            <w:tcW w:type="dxa" w:w="1602"/>
          </w:tcPr>
          <w:p>
            <w:pPr>
              <w:pStyle w:val="Compact"/>
              <w:keepNext/>
              <w:spacing w:line="240" w:lineRule="auto" w:after="0"/>
              <w:ind w:firstLine="0"/>
              <w:jc w:val="right"/>
            </w:pPr>
            <w:r>
              <w:rPr>
                <w:rFonts w:ascii="Arial" w:hAnsi="Arial"/>
                <w:b w:val="0"/>
                <w:sz w:val="20"/>
              </w:rPr>
              <w:t xml:space="preserve">0,03875</w:t>
            </w:r>
          </w:p>
        </w:tc>
        <w:tc>
          <w:tcPr>
            <w:tcW w:type="dxa" w:w="915"/>
          </w:tcPr>
          <w:p>
            <w:pPr>
              <w:pStyle w:val="Compact"/>
              <w:keepNext/>
              <w:spacing w:line="240" w:lineRule="auto" w:after="0"/>
              <w:ind w:firstLine="0"/>
              <w:jc w:val="right"/>
            </w:pPr>
            <w:r>
              <w:rPr>
                <w:rFonts w:ascii="Arial" w:hAnsi="Arial"/>
                <w:b w:val="0"/>
                <w:sz w:val="20"/>
              </w:rPr>
              <w:t xml:space="preserve">10</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Estado</w:t>
            </w:r>
          </w:p>
        </w:tc>
        <w:tc>
          <w:tcPr>
            <w:tcW w:type="dxa" w:w="1602"/>
          </w:tcPr>
          <w:p>
            <w:pPr>
              <w:pStyle w:val="Compact"/>
              <w:keepNext/>
              <w:spacing w:line="240" w:lineRule="auto" w:after="0"/>
              <w:ind w:firstLine="0"/>
              <w:jc w:val="right"/>
            </w:pPr>
            <w:r>
              <w:rPr>
                <w:rFonts w:ascii="Arial" w:hAnsi="Arial"/>
                <w:b w:val="0"/>
                <w:sz w:val="20"/>
              </w:rPr>
              <w:t xml:space="preserve">0,00210</w:t>
            </w:r>
          </w:p>
        </w:tc>
        <w:tc>
          <w:tcPr>
            <w:tcW w:type="dxa" w:w="915"/>
          </w:tcPr>
          <w:p>
            <w:pPr>
              <w:pStyle w:val="Compact"/>
              <w:keepNext/>
              <w:spacing w:line="240" w:lineRule="auto" w:after="0"/>
              <w:ind w:firstLine="0"/>
              <w:jc w:val="right"/>
            </w:pPr>
            <w:r>
              <w:rPr>
                <w:rFonts w:ascii="Arial" w:hAnsi="Arial"/>
                <w:b w:val="0"/>
                <w:sz w:val="20"/>
              </w:rPr>
              <w:t xml:space="preserve">21</w:t>
            </w:r>
          </w:p>
        </w:tc>
        <w:tc>
          <w:tcPr>
            <w:tcW w:type="dxa" w:w="1602"/>
          </w:tcPr>
          <w:p>
            <w:pPr>
              <w:pStyle w:val="Compact"/>
              <w:keepNext/>
              <w:spacing w:line="240" w:lineRule="auto" w:after="0"/>
              <w:ind w:firstLine="0"/>
              <w:jc w:val="right"/>
            </w:pPr>
            <w:r>
              <w:rPr>
                <w:rFonts w:ascii="Arial" w:hAnsi="Arial"/>
                <w:b w:val="0"/>
                <w:sz w:val="20"/>
              </w:rPr>
              <w:t xml:space="preserve">0,03339</w:t>
            </w:r>
          </w:p>
        </w:tc>
        <w:tc>
          <w:tcPr>
            <w:tcW w:type="dxa" w:w="915"/>
          </w:tcPr>
          <w:p>
            <w:pPr>
              <w:pStyle w:val="Compact"/>
              <w:keepNext/>
              <w:spacing w:line="240" w:lineRule="auto" w:after="0"/>
              <w:ind w:firstLine="0"/>
              <w:jc w:val="right"/>
            </w:pPr>
            <w:r>
              <w:rPr>
                <w:rFonts w:ascii="Arial" w:hAnsi="Arial"/>
                <w:b w:val="0"/>
                <w:sz w:val="20"/>
              </w:rPr>
              <w:t xml:space="preserve">11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Dirigentes</w:t>
            </w:r>
          </w:p>
        </w:tc>
        <w:tc>
          <w:tcPr>
            <w:tcW w:type="dxa" w:w="1602"/>
          </w:tcPr>
          <w:p>
            <w:pPr>
              <w:pStyle w:val="Compact"/>
              <w:keepNext/>
              <w:spacing w:line="240" w:lineRule="auto" w:after="0"/>
              <w:ind w:firstLine="0"/>
              <w:jc w:val="right"/>
            </w:pPr>
            <w:r>
              <w:rPr>
                <w:rFonts w:ascii="Arial" w:hAnsi="Arial"/>
                <w:b w:val="0"/>
                <w:sz w:val="20"/>
              </w:rPr>
              <w:t xml:space="preserve">0,02388</w:t>
            </w:r>
          </w:p>
        </w:tc>
        <w:tc>
          <w:tcPr>
            <w:tcW w:type="dxa" w:w="915"/>
          </w:tcPr>
          <w:p>
            <w:pPr>
              <w:pStyle w:val="Compact"/>
              <w:keepNext/>
              <w:spacing w:line="240" w:lineRule="auto" w:after="0"/>
              <w:ind w:firstLine="0"/>
              <w:jc w:val="right"/>
            </w:pPr>
            <w:r>
              <w:rPr>
                <w:rFonts w:ascii="Arial" w:hAnsi="Arial"/>
                <w:b w:val="0"/>
                <w:sz w:val="20"/>
              </w:rPr>
              <w:t xml:space="preserve">8</w:t>
            </w:r>
          </w:p>
        </w:tc>
        <w:tc>
          <w:tcPr>
            <w:tcW w:type="dxa" w:w="1602"/>
          </w:tcPr>
          <w:p>
            <w:pPr>
              <w:pStyle w:val="Compact"/>
              <w:keepNext/>
              <w:spacing w:line="240" w:lineRule="auto" w:after="0"/>
              <w:ind w:firstLine="0"/>
              <w:jc w:val="right"/>
            </w:pPr>
            <w:r>
              <w:rPr>
                <w:rFonts w:ascii="Arial" w:hAnsi="Arial"/>
                <w:b w:val="0"/>
                <w:sz w:val="20"/>
              </w:rPr>
              <w:t xml:space="preserve">0,03276</w:t>
            </w:r>
          </w:p>
        </w:tc>
        <w:tc>
          <w:tcPr>
            <w:tcW w:type="dxa" w:w="915"/>
          </w:tcPr>
          <w:p>
            <w:pPr>
              <w:pStyle w:val="Compact"/>
              <w:keepNext/>
              <w:spacing w:line="240" w:lineRule="auto" w:after="0"/>
              <w:ind w:firstLine="0"/>
              <w:jc w:val="right"/>
            </w:pPr>
            <w:r>
              <w:rPr>
                <w:rFonts w:ascii="Arial" w:hAnsi="Arial"/>
                <w:b w:val="0"/>
                <w:sz w:val="20"/>
              </w:rPr>
              <w:t xml:space="preserve">12</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fundamental completo</w:t>
            </w:r>
          </w:p>
        </w:tc>
        <w:tc>
          <w:tcPr>
            <w:tcW w:type="dxa" w:w="1602"/>
          </w:tcPr>
          <w:p>
            <w:pPr>
              <w:pStyle w:val="Compact"/>
              <w:keepNext/>
              <w:spacing w:line="240" w:lineRule="auto" w:after="0"/>
              <w:ind w:firstLine="0"/>
              <w:jc w:val="right"/>
            </w:pPr>
            <w:r>
              <w:rPr>
                <w:rFonts w:ascii="Arial" w:hAnsi="Arial"/>
                <w:b w:val="0"/>
                <w:sz w:val="20"/>
              </w:rPr>
              <w:t xml:space="preserve">0,00738</w:t>
            </w:r>
          </w:p>
        </w:tc>
        <w:tc>
          <w:tcPr>
            <w:tcW w:type="dxa" w:w="915"/>
          </w:tcPr>
          <w:p>
            <w:pPr>
              <w:pStyle w:val="Compact"/>
              <w:keepNext/>
              <w:spacing w:line="240" w:lineRule="auto" w:after="0"/>
              <w:ind w:firstLine="0"/>
              <w:jc w:val="right"/>
            </w:pPr>
            <w:r>
              <w:rPr>
                <w:rFonts w:ascii="Arial" w:hAnsi="Arial"/>
                <w:b w:val="0"/>
                <w:sz w:val="20"/>
              </w:rPr>
              <w:t xml:space="preserve">14</w:t>
            </w:r>
          </w:p>
        </w:tc>
        <w:tc>
          <w:tcPr>
            <w:tcW w:type="dxa" w:w="1602"/>
          </w:tcPr>
          <w:p>
            <w:pPr>
              <w:pStyle w:val="Compact"/>
              <w:keepNext/>
              <w:spacing w:line="240" w:lineRule="auto" w:after="0"/>
              <w:ind w:firstLine="0"/>
              <w:jc w:val="right"/>
            </w:pPr>
            <w:r>
              <w:rPr>
                <w:rFonts w:ascii="Arial" w:hAnsi="Arial"/>
                <w:b w:val="0"/>
                <w:sz w:val="20"/>
              </w:rPr>
              <w:t xml:space="preserve">0,02993</w:t>
            </w:r>
          </w:p>
        </w:tc>
        <w:tc>
          <w:tcPr>
            <w:tcW w:type="dxa" w:w="915"/>
          </w:tcPr>
          <w:p>
            <w:pPr>
              <w:pStyle w:val="Compact"/>
              <w:keepNext/>
              <w:spacing w:line="240" w:lineRule="auto" w:after="0"/>
              <w:ind w:firstLine="0"/>
              <w:jc w:val="right"/>
            </w:pPr>
            <w:r>
              <w:rPr>
                <w:rFonts w:ascii="Arial" w:hAnsi="Arial"/>
                <w:b w:val="0"/>
                <w:sz w:val="20"/>
              </w:rPr>
              <w:t xml:space="preserve">13</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Raça (negro)</w:t>
            </w:r>
          </w:p>
        </w:tc>
        <w:tc>
          <w:tcPr>
            <w:tcW w:type="dxa" w:w="1602"/>
          </w:tcPr>
          <w:p>
            <w:pPr>
              <w:pStyle w:val="Compact"/>
              <w:keepNext/>
              <w:spacing w:line="240" w:lineRule="auto" w:after="0"/>
              <w:ind w:firstLine="0"/>
              <w:jc w:val="right"/>
            </w:pPr>
            <w:r>
              <w:rPr>
                <w:rFonts w:ascii="Arial" w:hAnsi="Arial"/>
                <w:b w:val="0"/>
                <w:sz w:val="20"/>
              </w:rPr>
              <w:t xml:space="preserve">0,00222</w:t>
            </w:r>
          </w:p>
        </w:tc>
        <w:tc>
          <w:tcPr>
            <w:tcW w:type="dxa" w:w="915"/>
          </w:tcPr>
          <w:p>
            <w:pPr>
              <w:pStyle w:val="Compact"/>
              <w:keepNext/>
              <w:spacing w:line="240" w:lineRule="auto" w:after="0"/>
              <w:ind w:firstLine="0"/>
              <w:jc w:val="right"/>
            </w:pPr>
            <w:r>
              <w:rPr>
                <w:rFonts w:ascii="Arial" w:hAnsi="Arial"/>
                <w:b w:val="0"/>
                <w:sz w:val="20"/>
              </w:rPr>
              <w:t xml:space="preserve">20</w:t>
            </w:r>
          </w:p>
        </w:tc>
        <w:tc>
          <w:tcPr>
            <w:tcW w:type="dxa" w:w="1602"/>
          </w:tcPr>
          <w:p>
            <w:pPr>
              <w:pStyle w:val="Compact"/>
              <w:keepNext/>
              <w:spacing w:line="240" w:lineRule="auto" w:after="0"/>
              <w:ind w:firstLine="0"/>
              <w:jc w:val="right"/>
            </w:pPr>
            <w:r>
              <w:rPr>
                <w:rFonts w:ascii="Arial" w:hAnsi="Arial"/>
                <w:b w:val="0"/>
                <w:sz w:val="20"/>
              </w:rPr>
              <w:t xml:space="preserve">0,02656</w:t>
            </w:r>
          </w:p>
        </w:tc>
        <w:tc>
          <w:tcPr>
            <w:tcW w:type="dxa" w:w="915"/>
          </w:tcPr>
          <w:p>
            <w:pPr>
              <w:pStyle w:val="Compact"/>
              <w:keepNext/>
              <w:spacing w:line="240" w:lineRule="auto" w:after="0"/>
              <w:ind w:firstLine="0"/>
              <w:jc w:val="right"/>
            </w:pPr>
            <w:r>
              <w:rPr>
                <w:rFonts w:ascii="Arial" w:hAnsi="Arial"/>
                <w:b w:val="0"/>
                <w:sz w:val="20"/>
              </w:rPr>
              <w:t xml:space="preserve">14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Serviços/Vendas</w:t>
            </w:r>
          </w:p>
        </w:tc>
        <w:tc>
          <w:tcPr>
            <w:tcW w:type="dxa" w:w="1602"/>
          </w:tcPr>
          <w:p>
            <w:pPr>
              <w:pStyle w:val="Compact"/>
              <w:keepNext/>
              <w:spacing w:line="240" w:lineRule="auto" w:after="0"/>
              <w:ind w:firstLine="0"/>
              <w:jc w:val="right"/>
            </w:pPr>
            <w:r>
              <w:rPr>
                <w:rFonts w:ascii="Arial" w:hAnsi="Arial"/>
                <w:b w:val="0"/>
                <w:sz w:val="20"/>
              </w:rPr>
              <w:t xml:space="preserve">0,00197</w:t>
            </w:r>
          </w:p>
        </w:tc>
        <w:tc>
          <w:tcPr>
            <w:tcW w:type="dxa" w:w="915"/>
          </w:tcPr>
          <w:p>
            <w:pPr>
              <w:pStyle w:val="Compact"/>
              <w:keepNext/>
              <w:spacing w:line="240" w:lineRule="auto" w:after="0"/>
              <w:ind w:firstLine="0"/>
              <w:jc w:val="right"/>
            </w:pPr>
            <w:r>
              <w:rPr>
                <w:rFonts w:ascii="Arial" w:hAnsi="Arial"/>
                <w:b w:val="0"/>
                <w:sz w:val="20"/>
              </w:rPr>
              <w:t xml:space="preserve">22</w:t>
            </w:r>
          </w:p>
        </w:tc>
        <w:tc>
          <w:tcPr>
            <w:tcW w:type="dxa" w:w="1602"/>
          </w:tcPr>
          <w:p>
            <w:pPr>
              <w:pStyle w:val="Compact"/>
              <w:keepNext/>
              <w:spacing w:line="240" w:lineRule="auto" w:after="0"/>
              <w:ind w:firstLine="0"/>
              <w:jc w:val="right"/>
            </w:pPr>
            <w:r>
              <w:rPr>
                <w:rFonts w:ascii="Arial" w:hAnsi="Arial"/>
                <w:b w:val="0"/>
                <w:sz w:val="20"/>
              </w:rPr>
              <w:t xml:space="preserve">0,02448</w:t>
            </w:r>
          </w:p>
        </w:tc>
        <w:tc>
          <w:tcPr>
            <w:tcW w:type="dxa" w:w="915"/>
          </w:tcPr>
          <w:p>
            <w:pPr>
              <w:pStyle w:val="Compact"/>
              <w:keepNext/>
              <w:spacing w:line="240" w:lineRule="auto" w:after="0"/>
              <w:ind w:firstLine="0"/>
              <w:jc w:val="right"/>
            </w:pPr>
            <w:r>
              <w:rPr>
                <w:rFonts w:ascii="Arial" w:hAnsi="Arial"/>
                <w:b w:val="0"/>
                <w:sz w:val="20"/>
              </w:rPr>
              <w:t xml:space="preserve">15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Operários</w:t>
            </w:r>
          </w:p>
        </w:tc>
        <w:tc>
          <w:tcPr>
            <w:tcW w:type="dxa" w:w="1602"/>
          </w:tcPr>
          <w:p>
            <w:pPr>
              <w:pStyle w:val="Compact"/>
              <w:keepNext/>
              <w:spacing w:line="240" w:lineRule="auto" w:after="0"/>
              <w:ind w:firstLine="0"/>
              <w:jc w:val="right"/>
            </w:pPr>
            <w:r>
              <w:rPr>
                <w:rFonts w:ascii="Arial" w:hAnsi="Arial"/>
                <w:b w:val="0"/>
                <w:sz w:val="20"/>
              </w:rPr>
              <w:t xml:space="preserve">0,00109</w:t>
            </w:r>
          </w:p>
        </w:tc>
        <w:tc>
          <w:tcPr>
            <w:tcW w:type="dxa" w:w="915"/>
          </w:tcPr>
          <w:p>
            <w:pPr>
              <w:pStyle w:val="Compact"/>
              <w:keepNext/>
              <w:spacing w:line="240" w:lineRule="auto" w:after="0"/>
              <w:ind w:firstLine="0"/>
              <w:jc w:val="right"/>
            </w:pPr>
            <w:r>
              <w:rPr>
                <w:rFonts w:ascii="Arial" w:hAnsi="Arial"/>
                <w:b w:val="0"/>
                <w:sz w:val="20"/>
              </w:rPr>
              <w:t xml:space="preserve">23</w:t>
            </w:r>
          </w:p>
        </w:tc>
        <w:tc>
          <w:tcPr>
            <w:tcW w:type="dxa" w:w="1602"/>
          </w:tcPr>
          <w:p>
            <w:pPr>
              <w:pStyle w:val="Compact"/>
              <w:keepNext/>
              <w:spacing w:line="240" w:lineRule="auto" w:after="0"/>
              <w:ind w:firstLine="0"/>
              <w:jc w:val="right"/>
            </w:pPr>
            <w:r>
              <w:rPr>
                <w:rFonts w:ascii="Arial" w:hAnsi="Arial"/>
                <w:b w:val="0"/>
                <w:sz w:val="20"/>
              </w:rPr>
              <w:t xml:space="preserve">0,02231</w:t>
            </w:r>
          </w:p>
        </w:tc>
        <w:tc>
          <w:tcPr>
            <w:tcW w:type="dxa" w:w="915"/>
          </w:tcPr>
          <w:p>
            <w:pPr>
              <w:pStyle w:val="Compact"/>
              <w:keepNext/>
              <w:spacing w:line="240" w:lineRule="auto" w:after="0"/>
              <w:ind w:firstLine="0"/>
              <w:jc w:val="right"/>
            </w:pPr>
            <w:r>
              <w:rPr>
                <w:rFonts w:ascii="Arial" w:hAnsi="Arial"/>
                <w:b w:val="0"/>
                <w:sz w:val="20"/>
              </w:rPr>
              <w:t xml:space="preserve">16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 Máquinas</w:t>
            </w:r>
          </w:p>
        </w:tc>
        <w:tc>
          <w:tcPr>
            <w:tcW w:type="dxa" w:w="1602"/>
          </w:tcPr>
          <w:p>
            <w:pPr>
              <w:pStyle w:val="Compact"/>
              <w:keepNext/>
              <w:spacing w:line="240" w:lineRule="auto" w:after="0"/>
              <w:ind w:firstLine="0"/>
              <w:jc w:val="right"/>
            </w:pPr>
            <w:r>
              <w:rPr>
                <w:rFonts w:ascii="Arial" w:hAnsi="Arial"/>
                <w:b w:val="0"/>
                <w:sz w:val="20"/>
              </w:rPr>
              <w:t xml:space="preserve">0,00258</w:t>
            </w:r>
          </w:p>
        </w:tc>
        <w:tc>
          <w:tcPr>
            <w:tcW w:type="dxa" w:w="915"/>
          </w:tcPr>
          <w:p>
            <w:pPr>
              <w:pStyle w:val="Compact"/>
              <w:keepNext/>
              <w:spacing w:line="240" w:lineRule="auto" w:after="0"/>
              <w:ind w:firstLine="0"/>
              <w:jc w:val="right"/>
            </w:pPr>
            <w:r>
              <w:rPr>
                <w:rFonts w:ascii="Arial" w:hAnsi="Arial"/>
                <w:b w:val="0"/>
                <w:sz w:val="20"/>
              </w:rPr>
              <w:t xml:space="preserve">19</w:t>
            </w:r>
          </w:p>
        </w:tc>
        <w:tc>
          <w:tcPr>
            <w:tcW w:type="dxa" w:w="1602"/>
          </w:tcPr>
          <w:p>
            <w:pPr>
              <w:pStyle w:val="Compact"/>
              <w:keepNext/>
              <w:spacing w:line="240" w:lineRule="auto" w:after="0"/>
              <w:ind w:firstLine="0"/>
              <w:jc w:val="right"/>
            </w:pPr>
            <w:r>
              <w:rPr>
                <w:rFonts w:ascii="Arial" w:hAnsi="Arial"/>
                <w:b w:val="0"/>
                <w:sz w:val="20"/>
              </w:rPr>
              <w:t xml:space="preserve">0,02144</w:t>
            </w:r>
          </w:p>
        </w:tc>
        <w:tc>
          <w:tcPr>
            <w:tcW w:type="dxa" w:w="915"/>
          </w:tcPr>
          <w:p>
            <w:pPr>
              <w:pStyle w:val="Compact"/>
              <w:keepNext/>
              <w:spacing w:line="240" w:lineRule="auto" w:after="0"/>
              <w:ind w:firstLine="0"/>
              <w:jc w:val="right"/>
            </w:pPr>
            <w:r>
              <w:rPr>
                <w:rFonts w:ascii="Arial" w:hAnsi="Arial"/>
                <w:b w:val="0"/>
                <w:sz w:val="20"/>
              </w:rPr>
              <w:t xml:space="preserve">17</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UPA</w:t>
            </w:r>
          </w:p>
        </w:tc>
        <w:tc>
          <w:tcPr>
            <w:tcW w:type="dxa" w:w="1602"/>
          </w:tcPr>
          <w:p>
            <w:pPr>
              <w:pStyle w:val="Compact"/>
              <w:keepNext/>
              <w:spacing w:line="240" w:lineRule="auto" w:after="0"/>
              <w:ind w:firstLine="0"/>
              <w:jc w:val="right"/>
            </w:pPr>
            <w:r>
              <w:rPr>
                <w:rFonts w:ascii="Arial" w:hAnsi="Arial"/>
                <w:b w:val="0"/>
                <w:sz w:val="20"/>
              </w:rPr>
              <w:t xml:space="preserve">0,00033</w:t>
            </w:r>
          </w:p>
        </w:tc>
        <w:tc>
          <w:tcPr>
            <w:tcW w:type="dxa" w:w="915"/>
          </w:tcPr>
          <w:p>
            <w:pPr>
              <w:pStyle w:val="Compact"/>
              <w:keepNext/>
              <w:spacing w:line="240" w:lineRule="auto" w:after="0"/>
              <w:ind w:firstLine="0"/>
              <w:jc w:val="right"/>
            </w:pPr>
            <w:r>
              <w:rPr>
                <w:rFonts w:ascii="Arial" w:hAnsi="Arial"/>
                <w:b w:val="0"/>
                <w:sz w:val="20"/>
              </w:rPr>
              <w:t xml:space="preserve">26</w:t>
            </w:r>
          </w:p>
        </w:tc>
        <w:tc>
          <w:tcPr>
            <w:tcW w:type="dxa" w:w="1602"/>
          </w:tcPr>
          <w:p>
            <w:pPr>
              <w:pStyle w:val="Compact"/>
              <w:keepNext/>
              <w:spacing w:line="240" w:lineRule="auto" w:after="0"/>
              <w:ind w:firstLine="0"/>
              <w:jc w:val="right"/>
            </w:pPr>
            <w:r>
              <w:rPr>
                <w:rFonts w:ascii="Arial" w:hAnsi="Arial"/>
                <w:b w:val="0"/>
                <w:sz w:val="20"/>
              </w:rPr>
              <w:t xml:space="preserve">0,01753</w:t>
            </w:r>
          </w:p>
        </w:tc>
        <w:tc>
          <w:tcPr>
            <w:tcW w:type="dxa" w:w="915"/>
          </w:tcPr>
          <w:p>
            <w:pPr>
              <w:pStyle w:val="Compact"/>
              <w:keepNext/>
              <w:spacing w:line="240" w:lineRule="auto" w:after="0"/>
              <w:ind w:firstLine="0"/>
              <w:jc w:val="right"/>
            </w:pPr>
            <w:r>
              <w:rPr>
                <w:rFonts w:ascii="Arial" w:hAnsi="Arial"/>
                <w:b w:val="0"/>
                <w:sz w:val="20"/>
              </w:rPr>
              <w:t xml:space="preserve">18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pós-graduação</w:t>
            </w:r>
          </w:p>
        </w:tc>
        <w:tc>
          <w:tcPr>
            <w:tcW w:type="dxa" w:w="1602"/>
          </w:tcPr>
          <w:p>
            <w:pPr>
              <w:pStyle w:val="Compact"/>
              <w:keepNext/>
              <w:spacing w:line="240" w:lineRule="auto" w:after="0"/>
              <w:ind w:firstLine="0"/>
              <w:jc w:val="right"/>
            </w:pPr>
            <w:r>
              <w:rPr>
                <w:rFonts w:ascii="Arial" w:hAnsi="Arial"/>
                <w:b w:val="0"/>
                <w:sz w:val="20"/>
              </w:rPr>
              <w:t xml:space="preserve">0,01489</w:t>
            </w:r>
          </w:p>
        </w:tc>
        <w:tc>
          <w:tcPr>
            <w:tcW w:type="dxa" w:w="915"/>
          </w:tcPr>
          <w:p>
            <w:pPr>
              <w:pStyle w:val="Compact"/>
              <w:keepNext/>
              <w:spacing w:line="240" w:lineRule="auto" w:after="0"/>
              <w:ind w:firstLine="0"/>
              <w:jc w:val="right"/>
            </w:pPr>
            <w:r>
              <w:rPr>
                <w:rFonts w:ascii="Arial" w:hAnsi="Arial"/>
                <w:b w:val="0"/>
                <w:sz w:val="20"/>
              </w:rPr>
              <w:t xml:space="preserve">12</w:t>
            </w:r>
          </w:p>
        </w:tc>
        <w:tc>
          <w:tcPr>
            <w:tcW w:type="dxa" w:w="1602"/>
          </w:tcPr>
          <w:p>
            <w:pPr>
              <w:pStyle w:val="Compact"/>
              <w:keepNext/>
              <w:spacing w:line="240" w:lineRule="auto" w:after="0"/>
              <w:ind w:firstLine="0"/>
              <w:jc w:val="right"/>
            </w:pPr>
            <w:r>
              <w:rPr>
                <w:rFonts w:ascii="Arial" w:hAnsi="Arial"/>
                <w:b w:val="0"/>
                <w:sz w:val="20"/>
              </w:rPr>
              <w:t xml:space="preserve">0,01690</w:t>
            </w:r>
          </w:p>
        </w:tc>
        <w:tc>
          <w:tcPr>
            <w:tcW w:type="dxa" w:w="915"/>
          </w:tcPr>
          <w:p>
            <w:pPr>
              <w:pStyle w:val="Compact"/>
              <w:keepNext/>
              <w:spacing w:line="240" w:lineRule="auto" w:after="0"/>
              <w:ind w:firstLine="0"/>
              <w:jc w:val="right"/>
            </w:pPr>
            <w:r>
              <w:rPr>
                <w:rFonts w:ascii="Arial" w:hAnsi="Arial"/>
                <w:b w:val="0"/>
                <w:sz w:val="20"/>
              </w:rPr>
              <w:t xml:space="preserve">19</w:t>
            </w:r>
          </w:p>
        </w:tc>
      </w:tr>
      <w:tr>
        <w:trPr>
          <w:cantSplit/>
        </w:trPr>
        <w:tc>
          <w:tcPr>
            <w:tcW w:type="dxa" w:w="4037"/>
          </w:tcPr>
          <w:p>
            <w:pPr>
              <w:pStyle w:val="Compact"/>
              <w:keepNext/>
              <w:spacing w:line="240" w:lineRule="auto" w:after="0"/>
              <w:ind w:firstLine="0"/>
              <w:jc w:val="left"/>
            </w:pPr>
            <w:r>
              <w:rPr>
                <w:rFonts w:ascii="Arial" w:hAnsi="Arial"/>
                <w:b w:val="0"/>
                <w:sz w:val="20"/>
              </w:rPr>
              <w:t xml:space="preserve">Trabalho doméstico</w:t>
            </w:r>
          </w:p>
        </w:tc>
        <w:tc>
          <w:tcPr>
            <w:tcW w:type="dxa" w:w="1602"/>
          </w:tcPr>
          <w:p>
            <w:pPr>
              <w:pStyle w:val="Compact"/>
              <w:keepNext/>
              <w:spacing w:line="240" w:lineRule="auto" w:after="0"/>
              <w:ind w:firstLine="0"/>
              <w:jc w:val="right"/>
            </w:pPr>
            <w:r>
              <w:rPr>
                <w:rFonts w:ascii="Arial" w:hAnsi="Arial"/>
                <w:b w:val="0"/>
                <w:sz w:val="20"/>
              </w:rPr>
              <w:t xml:space="preserve">0,00549</w:t>
            </w:r>
          </w:p>
        </w:tc>
        <w:tc>
          <w:tcPr>
            <w:tcW w:type="dxa" w:w="915"/>
          </w:tcPr>
          <w:p>
            <w:pPr>
              <w:pStyle w:val="Compact"/>
              <w:keepNext/>
              <w:spacing w:line="240" w:lineRule="auto" w:after="0"/>
              <w:ind w:firstLine="0"/>
              <w:jc w:val="right"/>
            </w:pPr>
            <w:r>
              <w:rPr>
                <w:rFonts w:ascii="Arial" w:hAnsi="Arial"/>
                <w:b w:val="0"/>
                <w:sz w:val="20"/>
              </w:rPr>
              <w:t xml:space="preserve">16</w:t>
            </w:r>
          </w:p>
        </w:tc>
        <w:tc>
          <w:tcPr>
            <w:tcW w:type="dxa" w:w="1602"/>
          </w:tcPr>
          <w:p>
            <w:pPr>
              <w:pStyle w:val="Compact"/>
              <w:keepNext/>
              <w:spacing w:line="240" w:lineRule="auto" w:after="0"/>
              <w:ind w:firstLine="0"/>
              <w:jc w:val="right"/>
            </w:pPr>
            <w:r>
              <w:rPr>
                <w:rFonts w:ascii="Arial" w:hAnsi="Arial"/>
                <w:b w:val="0"/>
                <w:sz w:val="20"/>
              </w:rPr>
              <w:t xml:space="preserve">0,01658</w:t>
            </w:r>
          </w:p>
        </w:tc>
        <w:tc>
          <w:tcPr>
            <w:tcW w:type="dxa" w:w="915"/>
          </w:tcPr>
          <w:p>
            <w:pPr>
              <w:pStyle w:val="Compact"/>
              <w:keepNext/>
              <w:spacing w:line="240" w:lineRule="auto" w:after="0"/>
              <w:ind w:firstLine="0"/>
              <w:jc w:val="right"/>
            </w:pPr>
            <w:r>
              <w:rPr>
                <w:rFonts w:ascii="Arial" w:hAnsi="Arial"/>
                <w:b w:val="0"/>
                <w:sz w:val="20"/>
              </w:rPr>
              <w:t xml:space="preserve">20</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no Estado</w:t>
            </w:r>
          </w:p>
        </w:tc>
        <w:tc>
          <w:tcPr>
            <w:tcW w:type="dxa" w:w="1602"/>
          </w:tcPr>
          <w:p>
            <w:pPr>
              <w:pStyle w:val="Compact"/>
              <w:keepNext/>
              <w:spacing w:line="240" w:lineRule="auto" w:after="0"/>
              <w:ind w:firstLine="0"/>
              <w:jc w:val="right"/>
            </w:pPr>
            <w:r>
              <w:rPr>
                <w:rFonts w:ascii="Arial" w:hAnsi="Arial"/>
                <w:b w:val="0"/>
                <w:sz w:val="20"/>
              </w:rPr>
              <w:t xml:space="preserve">0,00038</w:t>
            </w:r>
          </w:p>
        </w:tc>
        <w:tc>
          <w:tcPr>
            <w:tcW w:type="dxa" w:w="915"/>
          </w:tcPr>
          <w:p>
            <w:pPr>
              <w:pStyle w:val="Compact"/>
              <w:keepNext/>
              <w:spacing w:line="240" w:lineRule="auto" w:after="0"/>
              <w:ind w:firstLine="0"/>
              <w:jc w:val="right"/>
            </w:pPr>
            <w:r>
              <w:rPr>
                <w:rFonts w:ascii="Arial" w:hAnsi="Arial"/>
                <w:b w:val="0"/>
                <w:sz w:val="20"/>
              </w:rPr>
              <w:t xml:space="preserve">25</w:t>
            </w:r>
          </w:p>
        </w:tc>
        <w:tc>
          <w:tcPr>
            <w:tcW w:type="dxa" w:w="1602"/>
          </w:tcPr>
          <w:p>
            <w:pPr>
              <w:pStyle w:val="Compact"/>
              <w:keepNext/>
              <w:spacing w:line="240" w:lineRule="auto" w:after="0"/>
              <w:ind w:firstLine="0"/>
              <w:jc w:val="right"/>
            </w:pPr>
            <w:r>
              <w:rPr>
                <w:rFonts w:ascii="Arial" w:hAnsi="Arial"/>
                <w:b w:val="0"/>
                <w:sz w:val="20"/>
              </w:rPr>
              <w:t xml:space="preserve">0,01634</w:t>
            </w:r>
          </w:p>
        </w:tc>
        <w:tc>
          <w:tcPr>
            <w:tcW w:type="dxa" w:w="915"/>
          </w:tcPr>
          <w:p>
            <w:pPr>
              <w:pStyle w:val="Compact"/>
              <w:keepNext/>
              <w:spacing w:line="240" w:lineRule="auto" w:after="0"/>
              <w:ind w:firstLine="0"/>
              <w:jc w:val="right"/>
            </w:pPr>
            <w:r>
              <w:rPr>
                <w:rFonts w:ascii="Arial" w:hAnsi="Arial"/>
                <w:b w:val="0"/>
                <w:sz w:val="20"/>
              </w:rPr>
              <w:t xml:space="preserve">21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Agropecuária</w:t>
            </w:r>
          </w:p>
        </w:tc>
        <w:tc>
          <w:tcPr>
            <w:tcW w:type="dxa" w:w="1602"/>
          </w:tcPr>
          <w:p>
            <w:pPr>
              <w:pStyle w:val="Compact"/>
              <w:keepNext/>
              <w:spacing w:line="240" w:lineRule="auto" w:after="0"/>
              <w:ind w:firstLine="0"/>
              <w:jc w:val="right"/>
            </w:pPr>
            <w:r>
              <w:rPr>
                <w:rFonts w:ascii="Arial" w:hAnsi="Arial"/>
                <w:b w:val="0"/>
                <w:sz w:val="20"/>
              </w:rPr>
              <w:t xml:space="preserve">0,00070</w:t>
            </w:r>
          </w:p>
        </w:tc>
        <w:tc>
          <w:tcPr>
            <w:tcW w:type="dxa" w:w="915"/>
          </w:tcPr>
          <w:p>
            <w:pPr>
              <w:pStyle w:val="Compact"/>
              <w:keepNext/>
              <w:spacing w:line="240" w:lineRule="auto" w:after="0"/>
              <w:ind w:firstLine="0"/>
              <w:jc w:val="right"/>
            </w:pPr>
            <w:r>
              <w:rPr>
                <w:rFonts w:ascii="Arial" w:hAnsi="Arial"/>
                <w:b w:val="0"/>
                <w:sz w:val="20"/>
              </w:rPr>
              <w:t xml:space="preserve">24</w:t>
            </w:r>
          </w:p>
        </w:tc>
        <w:tc>
          <w:tcPr>
            <w:tcW w:type="dxa" w:w="1602"/>
          </w:tcPr>
          <w:p>
            <w:pPr>
              <w:pStyle w:val="Compact"/>
              <w:keepNext/>
              <w:spacing w:line="240" w:lineRule="auto" w:after="0"/>
              <w:ind w:firstLine="0"/>
              <w:jc w:val="right"/>
            </w:pPr>
            <w:r>
              <w:rPr>
                <w:rFonts w:ascii="Arial" w:hAnsi="Arial"/>
                <w:b w:val="0"/>
                <w:sz w:val="20"/>
              </w:rPr>
              <w:t xml:space="preserve">0,01471</w:t>
            </w:r>
          </w:p>
        </w:tc>
        <w:tc>
          <w:tcPr>
            <w:tcW w:type="dxa" w:w="915"/>
          </w:tcPr>
          <w:p>
            <w:pPr>
              <w:pStyle w:val="Compact"/>
              <w:keepNext/>
              <w:spacing w:line="240" w:lineRule="auto" w:after="0"/>
              <w:ind w:firstLine="0"/>
              <w:jc w:val="right"/>
            </w:pPr>
            <w:r>
              <w:rPr>
                <w:rFonts w:ascii="Arial" w:hAnsi="Arial"/>
                <w:b w:val="0"/>
                <w:sz w:val="20"/>
              </w:rPr>
              <w:t xml:space="preserve">22</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 Negro no Estado</w:t>
            </w:r>
          </w:p>
        </w:tc>
        <w:tc>
          <w:tcPr>
            <w:tcW w:type="dxa" w:w="1602"/>
          </w:tcPr>
          <w:p>
            <w:pPr>
              <w:pStyle w:val="Compact"/>
              <w:keepNext/>
              <w:spacing w:line="240" w:lineRule="auto" w:after="0"/>
              <w:ind w:firstLine="0"/>
              <w:jc w:val="right"/>
            </w:pPr>
            <w:r>
              <w:rPr>
                <w:rFonts w:ascii="Arial" w:hAnsi="Arial"/>
                <w:b w:val="0"/>
                <w:sz w:val="20"/>
              </w:rPr>
              <w:t xml:space="preserve">0,00449</w:t>
            </w:r>
          </w:p>
        </w:tc>
        <w:tc>
          <w:tcPr>
            <w:tcW w:type="dxa" w:w="915"/>
          </w:tcPr>
          <w:p>
            <w:pPr>
              <w:pStyle w:val="Compact"/>
              <w:keepNext/>
              <w:spacing w:line="240" w:lineRule="auto" w:after="0"/>
              <w:ind w:firstLine="0"/>
              <w:jc w:val="right"/>
            </w:pPr>
            <w:r>
              <w:rPr>
                <w:rFonts w:ascii="Arial" w:hAnsi="Arial"/>
                <w:b w:val="0"/>
                <w:sz w:val="20"/>
              </w:rPr>
              <w:t xml:space="preserve">17</w:t>
            </w:r>
          </w:p>
        </w:tc>
        <w:tc>
          <w:tcPr>
            <w:tcW w:type="dxa" w:w="1602"/>
          </w:tcPr>
          <w:p>
            <w:pPr>
              <w:pStyle w:val="Compact"/>
              <w:keepNext/>
              <w:spacing w:line="240" w:lineRule="auto" w:after="0"/>
              <w:ind w:firstLine="0"/>
              <w:jc w:val="right"/>
            </w:pPr>
            <w:r>
              <w:rPr>
                <w:rFonts w:ascii="Arial" w:hAnsi="Arial"/>
                <w:b w:val="0"/>
                <w:sz w:val="20"/>
              </w:rPr>
              <w:t xml:space="preserve">0,01316</w:t>
            </w:r>
          </w:p>
        </w:tc>
        <w:tc>
          <w:tcPr>
            <w:tcW w:type="dxa" w:w="915"/>
          </w:tcPr>
          <w:p>
            <w:pPr>
              <w:pStyle w:val="Compact"/>
              <w:keepNext/>
              <w:spacing w:line="240" w:lineRule="auto" w:after="0"/>
              <w:ind w:firstLine="0"/>
              <w:jc w:val="right"/>
            </w:pPr>
            <w:r>
              <w:rPr>
                <w:rFonts w:ascii="Arial" w:hAnsi="Arial"/>
                <w:b w:val="0"/>
                <w:sz w:val="20"/>
              </w:rPr>
              <w:t xml:space="preserve">23</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Idade² (experiência)</w:t>
            </w:r>
          </w:p>
        </w:tc>
        <w:tc>
          <w:tcPr>
            <w:tcW w:type="dxa" w:w="1602"/>
          </w:tcPr>
          <w:p>
            <w:pPr>
              <w:pStyle w:val="Compact"/>
              <w:keepNext/>
              <w:spacing w:line="240" w:lineRule="auto" w:after="0"/>
              <w:ind w:firstLine="0"/>
              <w:jc w:val="right"/>
            </w:pPr>
            <w:r>
              <w:rPr>
                <w:rFonts w:ascii="Arial" w:hAnsi="Arial"/>
                <w:b w:val="0"/>
                <w:sz w:val="20"/>
              </w:rPr>
              <w:t xml:space="preserve">0,00657</w:t>
            </w:r>
          </w:p>
        </w:tc>
        <w:tc>
          <w:tcPr>
            <w:tcW w:type="dxa" w:w="915"/>
          </w:tcPr>
          <w:p>
            <w:pPr>
              <w:pStyle w:val="Compact"/>
              <w:keepNext/>
              <w:spacing w:line="240" w:lineRule="auto" w:after="0"/>
              <w:ind w:firstLine="0"/>
              <w:jc w:val="right"/>
            </w:pPr>
            <w:r>
              <w:rPr>
                <w:rFonts w:ascii="Arial" w:hAnsi="Arial"/>
                <w:b w:val="0"/>
                <w:sz w:val="20"/>
              </w:rPr>
              <w:t xml:space="preserve">15</w:t>
            </w:r>
          </w:p>
        </w:tc>
        <w:tc>
          <w:tcPr>
            <w:tcW w:type="dxa" w:w="1602"/>
          </w:tcPr>
          <w:p>
            <w:pPr>
              <w:pStyle w:val="Compact"/>
              <w:keepNext/>
              <w:spacing w:line="240" w:lineRule="auto" w:after="0"/>
              <w:ind w:firstLine="0"/>
              <w:jc w:val="right"/>
            </w:pPr>
            <w:r>
              <w:rPr>
                <w:rFonts w:ascii="Arial" w:hAnsi="Arial"/>
                <w:b w:val="0"/>
                <w:sz w:val="20"/>
              </w:rPr>
              <w:t xml:space="preserve">0,01274</w:t>
            </w:r>
          </w:p>
        </w:tc>
        <w:tc>
          <w:tcPr>
            <w:tcW w:type="dxa" w:w="915"/>
          </w:tcPr>
          <w:p>
            <w:pPr>
              <w:pStyle w:val="Compact"/>
              <w:keepNext/>
              <w:spacing w:line="240" w:lineRule="auto" w:after="0"/>
              <w:ind w:firstLine="0"/>
              <w:jc w:val="right"/>
            </w:pPr>
            <w:r>
              <w:rPr>
                <w:rFonts w:ascii="Arial" w:hAnsi="Arial"/>
                <w:b w:val="0"/>
                <w:sz w:val="20"/>
              </w:rPr>
              <w:t xml:space="preserve">24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Administrativo</w:t>
            </w:r>
          </w:p>
        </w:tc>
        <w:tc>
          <w:tcPr>
            <w:tcW w:type="dxa" w:w="1602"/>
          </w:tcPr>
          <w:p>
            <w:pPr>
              <w:pStyle w:val="Compact"/>
              <w:keepNext/>
              <w:spacing w:line="240" w:lineRule="auto" w:after="0"/>
              <w:ind w:firstLine="0"/>
              <w:jc w:val="right"/>
            </w:pPr>
            <w:r>
              <w:rPr>
                <w:rFonts w:ascii="Arial" w:hAnsi="Arial"/>
                <w:b w:val="0"/>
                <w:sz w:val="20"/>
              </w:rPr>
              <w:t xml:space="preserve">0,00348</w:t>
            </w:r>
          </w:p>
        </w:tc>
        <w:tc>
          <w:tcPr>
            <w:tcW w:type="dxa" w:w="915"/>
          </w:tcPr>
          <w:p>
            <w:pPr>
              <w:pStyle w:val="Compact"/>
              <w:keepNext/>
              <w:spacing w:line="240" w:lineRule="auto" w:after="0"/>
              <w:ind w:firstLine="0"/>
              <w:jc w:val="right"/>
            </w:pPr>
            <w:r>
              <w:rPr>
                <w:rFonts w:ascii="Arial" w:hAnsi="Arial"/>
                <w:b w:val="0"/>
                <w:sz w:val="20"/>
              </w:rPr>
              <w:t xml:space="preserve">18</w:t>
            </w:r>
          </w:p>
        </w:tc>
        <w:tc>
          <w:tcPr>
            <w:tcW w:type="dxa" w:w="1602"/>
          </w:tcPr>
          <w:p>
            <w:pPr>
              <w:pStyle w:val="Compact"/>
              <w:keepNext/>
              <w:spacing w:line="240" w:lineRule="auto" w:after="0"/>
              <w:ind w:firstLine="0"/>
              <w:jc w:val="right"/>
            </w:pPr>
            <w:r>
              <w:rPr>
                <w:rFonts w:ascii="Arial" w:hAnsi="Arial"/>
                <w:b w:val="0"/>
                <w:sz w:val="20"/>
              </w:rPr>
              <w:t xml:space="preserve">0,01216</w:t>
            </w:r>
          </w:p>
        </w:tc>
        <w:tc>
          <w:tcPr>
            <w:tcW w:type="dxa" w:w="915"/>
          </w:tcPr>
          <w:p>
            <w:pPr>
              <w:pStyle w:val="Compact"/>
              <w:keepNext/>
              <w:spacing w:line="240" w:lineRule="auto" w:after="0"/>
              <w:ind w:firstLine="0"/>
              <w:jc w:val="right"/>
            </w:pPr>
            <w:r>
              <w:rPr>
                <w:rFonts w:ascii="Arial" w:hAnsi="Arial"/>
                <w:b w:val="0"/>
                <w:sz w:val="20"/>
              </w:rPr>
              <w:t xml:space="preserve">25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FFAA/Polícia</w:t>
            </w:r>
          </w:p>
        </w:tc>
        <w:tc>
          <w:tcPr>
            <w:tcW w:type="dxa" w:w="1602"/>
          </w:tcPr>
          <w:p>
            <w:pPr>
              <w:pStyle w:val="Compact"/>
              <w:keepNext/>
              <w:spacing w:line="240" w:lineRule="auto" w:after="0"/>
              <w:ind w:firstLine="0"/>
              <w:jc w:val="right"/>
            </w:pPr>
            <w:r>
              <w:rPr>
                <w:rFonts w:ascii="Arial" w:hAnsi="Arial"/>
                <w:b w:val="0"/>
                <w:sz w:val="20"/>
              </w:rPr>
              <w:t xml:space="preserve">0,00803</w:t>
            </w:r>
          </w:p>
        </w:tc>
        <w:tc>
          <w:tcPr>
            <w:tcW w:type="dxa" w:w="915"/>
          </w:tcPr>
          <w:p>
            <w:pPr>
              <w:pStyle w:val="Compact"/>
              <w:keepNext/>
              <w:spacing w:line="240" w:lineRule="auto" w:after="0"/>
              <w:ind w:firstLine="0"/>
              <w:jc w:val="right"/>
            </w:pPr>
            <w:r>
              <w:rPr>
                <w:rFonts w:ascii="Arial" w:hAnsi="Arial"/>
                <w:b w:val="0"/>
                <w:sz w:val="20"/>
              </w:rPr>
              <w:t xml:space="preserve">13</w:t>
            </w:r>
          </w:p>
        </w:tc>
        <w:tc>
          <w:tcPr>
            <w:tcW w:type="dxa" w:w="1602"/>
          </w:tcPr>
          <w:p>
            <w:pPr>
              <w:pStyle w:val="Compact"/>
              <w:keepNext/>
              <w:spacing w:line="240" w:lineRule="auto" w:after="0"/>
              <w:ind w:firstLine="0"/>
              <w:jc w:val="right"/>
            </w:pPr>
            <w:r>
              <w:rPr>
                <w:rFonts w:ascii="Arial" w:hAnsi="Arial"/>
                <w:b w:val="0"/>
                <w:sz w:val="20"/>
              </w:rPr>
              <w:t xml:space="preserve">0,01121</w:t>
            </w:r>
          </w:p>
        </w:tc>
        <w:tc>
          <w:tcPr>
            <w:tcW w:type="dxa" w:w="915"/>
          </w:tcPr>
          <w:p>
            <w:pPr>
              <w:pStyle w:val="Compact"/>
              <w:keepNext/>
              <w:spacing w:line="240" w:lineRule="auto" w:after="0"/>
              <w:ind w:firstLine="0"/>
              <w:jc w:val="right"/>
            </w:pPr>
            <w:r>
              <w:rPr>
                <w:rFonts w:ascii="Arial" w:hAnsi="Arial"/>
                <w:b w:val="0"/>
                <w:sz w:val="20"/>
              </w:rPr>
              <w:t xml:space="preserve">26</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na UPA</w:t>
            </w:r>
          </w:p>
        </w:tc>
        <w:tc>
          <w:tcPr>
            <w:tcW w:type="dxa" w:w="1602"/>
          </w:tcPr>
          <w:p>
            <w:pPr>
              <w:pStyle w:val="Compact"/>
              <w:keepNext/>
              <w:spacing w:line="240" w:lineRule="auto" w:after="0"/>
              <w:ind w:firstLine="0"/>
              <w:jc w:val="right"/>
            </w:pPr>
            <w:r>
              <w:rPr>
                <w:rFonts w:ascii="Arial" w:hAnsi="Arial"/>
                <w:b w:val="0"/>
                <w:sz w:val="20"/>
              </w:rPr>
              <w:t xml:space="preserve">0,00013</w:t>
            </w:r>
          </w:p>
        </w:tc>
        <w:tc>
          <w:tcPr>
            <w:tcW w:type="dxa" w:w="915"/>
          </w:tcPr>
          <w:p>
            <w:pPr>
              <w:pStyle w:val="Compact"/>
              <w:keepNext/>
              <w:spacing w:line="240" w:lineRule="auto" w:after="0"/>
              <w:ind w:firstLine="0"/>
              <w:jc w:val="right"/>
            </w:pPr>
            <w:r>
              <w:rPr>
                <w:rFonts w:ascii="Arial" w:hAnsi="Arial"/>
                <w:b w:val="0"/>
                <w:sz w:val="20"/>
              </w:rPr>
              <w:t xml:space="preserve">28</w:t>
            </w:r>
          </w:p>
        </w:tc>
        <w:tc>
          <w:tcPr>
            <w:tcW w:type="dxa" w:w="1602"/>
          </w:tcPr>
          <w:p>
            <w:pPr>
              <w:pStyle w:val="Compact"/>
              <w:keepNext/>
              <w:spacing w:line="240" w:lineRule="auto" w:after="0"/>
              <w:ind w:firstLine="0"/>
              <w:jc w:val="right"/>
            </w:pPr>
            <w:r>
              <w:rPr>
                <w:rFonts w:ascii="Arial" w:hAnsi="Arial"/>
                <w:b w:val="0"/>
                <w:sz w:val="20"/>
              </w:rPr>
              <w:t xml:space="preserve">0,00787</w:t>
            </w:r>
          </w:p>
        </w:tc>
        <w:tc>
          <w:tcPr>
            <w:tcW w:type="dxa" w:w="915"/>
          </w:tcPr>
          <w:p>
            <w:pPr>
              <w:pStyle w:val="Compact"/>
              <w:keepNext/>
              <w:spacing w:line="240" w:lineRule="auto" w:after="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0,00023</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0,00731</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28</w:t>
            </w:r>
          </w:p>
        </w:tc>
      </w:tr>
    </w:tbl>
    <w:bookmarkEnd w:id="10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15: variáveis ordenadas pela importância média (</w:t>
      </w:r>
      <m:oMath>
        <m:r>
          <m:rPr>
            <m:sty m:val="p"/>
          </m:rPr>
          <m:t>|</m:t>
        </m:r>
        <m:r>
          <m:rPr>
            <m:nor/>
            <m:sty m:val="p"/>
          </m:rPr>
          <m:t>SHAP</m:t>
        </m:r>
        <m:r>
          <m:rPr>
            <m:sty m:val="p"/>
          </m:rPr>
          <m:t>|</m:t>
        </m:r>
      </m:oMath>
      <w:r>
        <w:rPr>
          <w:rFonts w:ascii="Arial" w:hAnsi="Arial"/>
          <w:sz w:val="22"/>
        </w:rPr>
        <w:t xml:space="preserve">); valores maiores = maior peso na previsão da renda.</w:t>
      </w:r>
    </w:p>
    <w:bookmarkStart w:id="109" w:name="fig:shap"/>
    <w:p>
      <w:pPr>
        <w:pStyle w:val="CaptionedFigure"/>
        <w:keepNext/>
        <w:keepLines/>
      </w:pPr>
      <w:r>
        <w:rPr>
          <w:rFonts w:ascii="Arial" w:hAnsi="Arial"/>
          <w:sz w:val="22"/>
        </w:rPr>
        <w:drawing>
          <wp:inline>
            <wp:extent cx="5292852" cy="4123315"/>
            <wp:effectExtent b="0" l="0" r="0" t="0"/>
            <wp:docPr descr="" title="" id="107" name="Picture"/>
            <a:graphic>
              <a:graphicData uri="http://schemas.openxmlformats.org/drawingml/2006/picture">
                <pic:pic>
                  <pic:nvPicPr>
                    <pic:cNvPr descr="outputs/figures/shap_beeswarm_xgb.png" id="108" name="Picture"/>
                    <pic:cNvPicPr>
                      <a:picLocks noChangeArrowheads="1" noChangeAspect="1"/>
                    </pic:cNvPicPr>
                  </pic:nvPicPr>
                  <pic:blipFill>
                    <a:blip r:embed="rId106"/>
                    <a:stretch>
                      <a:fillRect/>
                    </a:stretch>
                  </pic:blipFill>
                  <pic:spPr bwMode="auto">
                    <a:xfrm>
                      <a:off x="0" y="0"/>
                      <a:ext cx="5292852" cy="41233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9"/>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15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xml:space="preserve">;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10"/>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11"/>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15</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 xml:space="preserve">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10 ilustra como a previsão de dois casos individuais é composta.</w:t>
      </w:r>
    </w:p>
    <w:bookmarkStart w:id="118" w:name="fig:shap_wf"/>
    <w:tbl>
      <w:tblPr>
        <w:tblStyle w:val="FigureTable"/>
        <w:tblW w:type="auto" w:w="0"/>
        <w:jc w:val="center"/>
        <w:tblLayout w:type="fixed"/>
        <w:tblLook w:firstRow="0" w:lastRow="0" w:firstColumn="0" w:lastColumn="0"/>
        <w:tblBorders>
          <w:top w:val="nil"/>
          <w:left w:val="nil"/>
          <w:bottom w:val="nil"/>
          <w:right w:val="nil"/>
          <w:insideH w:val="nil"/>
          <w:insideV w:val="nil"/>
        </w:tblBorders>
      </w:tblPr>
      <w:tblGrid>
        <w:gridCol w:w="9071"/>
      </w:tblGrid>
      <w:tr>
        <w:trPr>
          <w:tblHeader w:val="true"/>
          <w:cantSplit/>
        </w:trPr>
        <w:tc>
          <w:tcPr>
            <w:tcW w:type="dxa" w:w="9071"/>
            <w:tcBorders>
              <w:top w:val="nil"/>
              <w:left w:val="nil"/>
              <w:bottom w:val="single" w:sz="8" w:color="000000"/>
              <w:right w:val="nil"/>
            </w:tcBorders>
          </w:tcPr>
          <w:p>
            <w:pPr>
              <w:keepNext/>
              <w:spacing w:line="240" w:lineRule="auto" w:after="0"/>
              <w:ind w:firstLine="0"/>
              <w:jc w:val="center"/>
            </w:pPr>
            <w:r>
              <w:rPr>
                <w:rFonts w:ascii="Arial" w:hAnsi="Arial"/>
                <w:b w:val="0"/>
                <w:sz w:val="22"/>
              </w:rPr>
              <w:drawing>
                <wp:inline>
                  <wp:extent cx="2819019" cy="2563340"/>
                  <wp:effectExtent b="0" l="0" r="0" t="0"/>
                  <wp:docPr descr="image" title="" id="113" name="Picture"/>
                  <a:graphic>
                    <a:graphicData uri="http://schemas.openxmlformats.org/drawingml/2006/picture">
                      <pic:pic>
                        <pic:nvPicPr>
                          <pic:cNvPr descr="outputs/figures/shap_waterfall_A_branco_alta_renda_xgb.png" id="114" name="Picture"/>
                          <pic:cNvPicPr>
                            <a:picLocks noChangeArrowheads="1" noChangeAspect="1"/>
                          </pic:cNvPicPr>
                        </pic:nvPicPr>
                        <pic:blipFill>
                          <a:blip r:embed="rId112"/>
                          <a:stretch>
                            <a:fillRect/>
                          </a:stretch>
                        </pic:blipFill>
                        <pic:spPr bwMode="auto">
                          <a:xfrm>
                            <a:off x="0" y="0"/>
                            <a:ext cx="2819019" cy="2563340"/>
                          </a:xfrm>
                          <a:prstGeom prst="rect">
                            <a:avLst/>
                          </a:prstGeom>
                          <a:noFill/>
                          <a:ln w="9525">
                            <a:noFill/>
                            <a:headEnd/>
                            <a:tailEnd/>
                          </a:ln>
                        </pic:spPr>
                      </pic:pic>
                    </a:graphicData>
                  </a:graphic>
                </wp:inline>
              </w:drawing>
            </w:r>
            <w:r>
              <w:rPr>
                <w:rFonts w:ascii="Arial" w:hAnsi="Arial"/>
                <w:b w:val="0"/>
                <w:sz w:val="22"/>
              </w:rPr>
              <w:t xml:space="preserve"> </w:t>
            </w:r>
            <w:r>
              <w:rPr>
                <w:rFonts w:ascii="Arial" w:hAnsi="Arial"/>
                <w:b w:val="0"/>
                <w:sz w:val="22"/>
              </w:rPr>
              <w:drawing>
                <wp:inline>
                  <wp:extent cx="2819019" cy="2541667"/>
                  <wp:effectExtent b="0" l="0" r="0" t="0"/>
                  <wp:docPr descr="image" title="" id="116" name="Picture"/>
                  <a:graphic>
                    <a:graphicData uri="http://schemas.openxmlformats.org/drawingml/2006/picture">
                      <pic:pic>
                        <pic:nvPicPr>
                          <pic:cNvPr descr="outputs/figures/shap_waterfall_B_negro_alta_renda_xgb.png" id="117" name="Picture"/>
                          <pic:cNvPicPr>
                            <a:picLocks noChangeArrowheads="1" noChangeAspect="1"/>
                          </pic:cNvPicPr>
                        </pic:nvPicPr>
                        <pic:blipFill>
                          <a:blip r:embed="rId115"/>
                          <a:stretch>
                            <a:fillRect/>
                          </a:stretch>
                        </pic:blipFill>
                        <pic:spPr bwMode="auto">
                          <a:xfrm>
                            <a:off x="0" y="0"/>
                            <a:ext cx="2819019" cy="2541667"/>
                          </a:xfrm>
                          <a:prstGeom prst="rect">
                            <a:avLst/>
                          </a:prstGeom>
                          <a:noFill/>
                          <a:ln w="9525">
                            <a:noFill/>
                            <a:headEnd/>
                            <a:tailEnd/>
                          </a:ln>
                        </pic:spPr>
                      </pic:pic>
                    </a:graphicData>
                  </a:graphic>
                </wp:inline>
              </w:drawing>
            </w:r>
          </w:p>
        </w:tc>
      </w:tr>
    </w:tbl>
    <w:bookmarkEnd w:id="118"/>
    <w:p>
      <w:pPr>
        <w:pStyle w:val="BodyText"/>
        <w:keepNext/>
        <w:spacing w:line="240" w:lineRule="auto" w:before="40" w:after="0"/>
        <w:ind w:firstLine="0"/>
        <w:jc w:val="both"/>
      </w:pPr>
      <w:r>
        <w:rPr>
          <w:rFonts w:ascii="Arial" w:hAnsi="Arial"/>
          <w:sz w:val="22"/>
        </w:rPr>
        <w:t xml:space="preserve">Fonte: Resultados originais da pesquisa</w:t>
      </w:r>
    </w:p>
    <w:p>
      <w:pPr>
        <w:pStyle w:val="ImageCaption"/>
        <w:spacing w:line="240" w:lineRule="auto" w:before="0" w:after="240"/>
        <w:ind w:firstLine="0"/>
        <w:jc w:val="both"/>
      </w:pPr>
      <w:r>
        <w:rPr>
          <w:rFonts w:ascii="Arial" w:hAnsi="Arial"/>
          <w:sz w:val="22"/>
        </w:rPr>
        <w:t>Nota: Figura 10.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 xml:space="preserve">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p>
      <w:pPr>
        <w:pStyle w:val="BodyText"/>
        <w:spacing w:line="240" w:lineRule="auto" w:before="0" w:after="240"/>
        <w:ind w:firstLine="0"/>
        <w:jc w:val="both"/>
      </w:pPr>
      <w:r>
        <w:rPr>
          <w:rFonts w:ascii="Arial" w:hAnsi="Arial"/>
          <w:sz w:val="22"/>
        </w:rPr>
        <w:t xml:space="preserve">Nota: como ler a Figura 10: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9, sobre os 50 mil casos.</w:t>
      </w:r>
    </w:p>
    <w:bookmarkEnd w:id="119"/>
    <w:bookmarkStart w:id="122"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20" w:name="subsec:vif"/>
      <w:bookmarkEnd w:id="120"/>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21"/>
      </w:r>
      <w:r>
        <w:rPr>
          <w:rFonts w:ascii="Arial" w:hAnsi="Arial"/>
          <w:sz w:val="22"/>
        </w:rPr>
        <w:t xml:space="preserve"> </w:t>
      </w:r>
      <w:r>
        <w:rPr>
          <w:rFonts w:ascii="Arial" w:hAnsi="Arial"/>
          <w:sz w:val="22"/>
        </w:rPr>
        <w:t xml:space="preserve">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 xml:space="preserve">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22"/>
    <w:bookmarkStart w:id="126"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xml:space="preserve">; a decomposição de dotações,</w:t>
      </w:r>
      <w:r>
        <w:rPr>
          <w:rFonts w:ascii="Arial" w:hAnsi="Arial"/>
          <w:sz w:val="22"/>
        </w:rPr>
        <w:t xml:space="preserve"> </w:t>
      </w:r>
      <w:r>
        <w:rPr>
          <w:rFonts w:ascii="Arial" w:hAnsi="Arial"/>
          <w:sz w:val="22"/>
        </w:rPr>
        <w:t xml:space="preserve">“de que ele é feito”</w:t>
      </w:r>
      <w:r>
        <w:rPr>
          <w:rFonts w:ascii="Arial" w:hAnsi="Arial"/>
          <w:sz w:val="22"/>
        </w:rPr>
        <w:t xml:space="preserve">;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 xml:space="preserve">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 xml:space="preserve">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23"/>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24"/>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 xml:space="preserve">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 xml:space="preserve">1% na pós-graduação (Figura 3); a desvantagem de acesso, não: com superior completo, as chances de um trabalhador negro chegar a um cargo qualificado seguem 18% menores que as de um branco de mesmo perfil e bairro, e com pós-graduação, 23% menores (GLMM, degrau A4, Tabela 7).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 xml:space="preserve">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existe, mas é lenta.</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5"/>
      </w:r>
      <w:r>
        <w:rPr>
          <w:rFonts w:ascii="Arial" w:hAnsi="Arial"/>
          <w:sz w:val="22"/>
        </w:rPr>
        <w:t xml:space="preserve">. Mantido o ritmo, eliminar o diferencial observado em 2016 levaria cerca de 76 anos.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2023a)</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2023b)</w:t>
      </w:r>
      <w:r>
        <w:rPr>
          <w:rFonts w:ascii="Arial" w:hAnsi="Arial"/>
          <w:sz w:val="22"/>
        </w:rPr>
        <w:t xml:space="preserve">, vale apenas para a administração pública federal, e o setor privado, que concentra a maior parte do emprego, não tem obrigação equivalente. O recorte por setor precisa o diagnóstico: entre pessoas comparáveis,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mas tem teto bem mais baixo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xml:space="preserve">— e penalidade salarial menor (4,6% contra 7,2%). É no setor privado, sem obrigação, que a subida mais se fecha.</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 xml:space="preserve">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2023c)</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xml:space="preserve">, já que o bairro carrega parte do diferencial: transporte e intermediação de emprego que liguem os bairros segregados aos polos de emprego qualificado; aprendizagem, estágio e mentoria que levem redes de contato a quem não as tem — a entrada na carreira é o momento de maior retorno, pois a penalidade é mínima entre os mais jovens —; currículo sem endereço nas primeiras etapas de seleção, para que o CEP não funcione como sinal de raça; escola de tempo integral e ensino técnico nos bairros de maior proporção de população negra; habitação de interesse social em áreas centrais, e não em novos conjuntos periféricos; e, como a penalidade é maior nos bairros de renda mais alta, fiscalização também ali, e não só na periferia. As estimativas por bairro do modelo hierárquico servem para escolher onde começar e para medir se a penalidade mudou.</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6"/>
    <w:bookmarkStart w:id="127"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 xml:space="preserve">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 xml:space="preserve">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 xml:space="preserve">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 xml:space="preserve">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xml:space="preserve">;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 xml:space="preserve">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w:t>
      </w:r>
    </w:p>
    <w:bookmarkEnd w:id="127"/>
    <w:bookmarkStart w:id="128"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8"/>
    <w:bookmarkEnd w:id="129"/>
    <w:bookmarkStart w:id="130"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 xml:space="preserve">Esses resultados indicam limites da política de diversidade vigente. As cotas atuam no ingresso, mas a desvantagem cresce onde se decide a ascensão.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30"/>
    <w:bookmarkStart w:id="175" w:name="referências"/>
    <w:p>
      <w:pPr>
        <w:pStyle w:val="Heading1"/>
        <w:spacing w:line="360" w:lineRule="auto" w:before="280" w:after="280"/>
        <w:ind w:firstLine="0" w:left="0"/>
        <w:jc w:val="left"/>
      </w:pPr>
      <w:r>
        <w:rPr>
          <w:rFonts w:ascii="Arial" w:hAnsi="Arial"/>
          <w:b/>
          <w:sz w:val="22"/>
        </w:rPr>
        <w:t xml:space="preserve">Referências</w:t>
      </w:r>
    </w:p>
    <w:bookmarkStart w:id="174" w:name="refs"/>
    <w:bookmarkStart w:id="131" w:name="ref-almeida2019"/>
    <w:p>
      <w:pPr>
        <w:pStyle w:val="Bibliography"/>
        <w:spacing w:line="240" w:lineRule="auto" w:before="0" w:after="120"/>
        <w:ind w:firstLine="0" w:left="0"/>
        <w:jc w:val="left"/>
      </w:pPr>
      <w:r>
        <w:rPr>
          <w:rFonts w:ascii="Arial" w:hAnsi="Arial"/>
          <w:sz w:val="22"/>
        </w:rPr>
        <w:t xml:space="preserve">ALMEIDA, Silvio Luiz de.</w:t>
      </w:r>
      <w:r>
        <w:rPr>
          <w:rFonts w:ascii="Arial" w:hAnsi="Arial"/>
          <w:sz w:val="22"/>
        </w:rPr>
        <w:t xml:space="preserve"> </w:t>
      </w:r>
      <w:r>
        <w:rPr>
          <w:rFonts w:ascii="Arial" w:hAnsi="Arial"/>
          <w:b/>
          <w:bCs/>
          <w:sz w:val="22"/>
        </w:rPr>
        <w:t xml:space="preserve">Racismo Estrutural</w:t>
      </w:r>
      <w:r>
        <w:rPr>
          <w:rFonts w:ascii="Arial" w:hAnsi="Arial"/>
          <w:sz w:val="22"/>
        </w:rPr>
        <w:t xml:space="preserve">. S</w:t>
      </w:r>
      <w:r>
        <w:rPr>
          <w:rFonts w:ascii="Arial" w:hAnsi="Arial"/>
          <w:sz w:val="22"/>
        </w:rPr>
        <w:t xml:space="preserve">ã</w:t>
      </w:r>
      <w:r>
        <w:rPr>
          <w:rFonts w:ascii="Arial" w:hAnsi="Arial"/>
          <w:sz w:val="22"/>
        </w:rPr>
        <w:t xml:space="preserve">o Paulo: Janda</w:t>
      </w:r>
      <w:r>
        <w:rPr>
          <w:rFonts w:ascii="Arial" w:hAnsi="Arial"/>
          <w:sz w:val="22"/>
        </w:rPr>
        <w:t xml:space="preserve">í</w:t>
      </w:r>
      <w:r>
        <w:rPr>
          <w:rFonts w:ascii="Arial" w:hAnsi="Arial"/>
          <w:sz w:val="22"/>
        </w:rPr>
        <w:t xml:space="preserve">ra, 2019.</w:t>
      </w:r>
    </w:p>
    <w:bookmarkEnd w:id="131"/>
    <w:bookmarkStart w:id="132" w:name="ref-angrist2009"/>
    <w:p>
      <w:pPr>
        <w:pStyle w:val="Bibliography"/>
        <w:spacing w:line="240" w:lineRule="auto" w:before="0" w:after="120"/>
        <w:ind w:firstLine="0" w:left="0"/>
        <w:jc w:val="left"/>
      </w:pPr>
      <w:r>
        <w:rPr>
          <w:rFonts w:ascii="Arial" w:hAnsi="Arial"/>
          <w:sz w:val="22"/>
        </w:rPr>
        <w:t xml:space="preserve">ANGRIST, Joshua D.; PISCHKE, Jörn-Steffen.</w:t>
      </w:r>
      <w:r>
        <w:rPr>
          <w:rFonts w:ascii="Arial" w:hAnsi="Arial"/>
          <w:sz w:val="22"/>
        </w:rPr>
        <w:t xml:space="preserve"> </w:t>
      </w:r>
      <w:r>
        <w:rPr>
          <w:rFonts w:ascii="Arial" w:hAnsi="Arial"/>
          <w:b/>
          <w:bCs/>
          <w:sz w:val="22"/>
        </w:rPr>
        <w:t xml:space="preserve">Mostly Harmless Econometrics: An Empiricist’s Companion</w:t>
      </w:r>
      <w:r>
        <w:rPr>
          <w:rFonts w:ascii="Arial" w:hAnsi="Arial"/>
          <w:sz w:val="22"/>
        </w:rPr>
        <w:t xml:space="preserve">. Princeton: Princeton University Press, 2009.</w:t>
      </w:r>
    </w:p>
    <w:bookmarkEnd w:id="132"/>
    <w:bookmarkStart w:id="133" w:name="ref-arrow1973"/>
    <w:p>
      <w:pPr>
        <w:pStyle w:val="Bibliography"/>
        <w:spacing w:line="240" w:lineRule="auto" w:before="0" w:after="120"/>
        <w:ind w:firstLine="0" w:left="0"/>
        <w:jc w:val="left"/>
      </w:pPr>
      <w:r>
        <w:rPr>
          <w:rFonts w:ascii="Arial" w:hAnsi="Arial"/>
          <w:sz w:val="22"/>
        </w:rPr>
        <w:t xml:space="preserve">ARROW, Kenneth J. The Theory of Discrimination.</w:t>
      </w:r>
      <w:r>
        <w:rPr>
          <w:rFonts w:ascii="Arial" w:hAnsi="Arial"/>
          <w:sz w:val="22"/>
        </w:rPr>
        <w:t xml:space="preserve"> </w:t>
      </w:r>
      <w:r>
        <w:rPr>
          <w:rFonts w:ascii="Arial" w:hAnsi="Arial"/>
          <w:i/>
          <w:iCs/>
          <w:sz w:val="22"/>
        </w:rPr>
        <w:t xml:space="preserve">In</w:t>
      </w:r>
      <w:r>
        <w:rPr>
          <w:rFonts w:ascii="Arial" w:hAnsi="Arial"/>
          <w:sz w:val="22"/>
        </w:rPr>
        <w:t xml:space="preserve">: ASHENFELTER, Orley; REES, Albert (Orgs.).</w:t>
      </w:r>
      <w:r>
        <w:rPr>
          <w:rFonts w:ascii="Arial" w:hAnsi="Arial"/>
          <w:sz w:val="22"/>
        </w:rPr>
        <w:t xml:space="preserve"> </w:t>
      </w:r>
      <w:r>
        <w:rPr>
          <w:rFonts w:ascii="Arial" w:hAnsi="Arial"/>
          <w:b/>
          <w:bCs/>
          <w:sz w:val="22"/>
        </w:rPr>
        <w:t xml:space="preserve">Discrimination in Labor Markets</w:t>
      </w:r>
      <w:r>
        <w:rPr>
          <w:rFonts w:ascii="Arial" w:hAnsi="Arial"/>
          <w:sz w:val="22"/>
        </w:rPr>
        <w:t xml:space="preserve">. Princeton, NJ: Princeton University Press, 1973. p. 3–33.</w:t>
      </w:r>
    </w:p>
    <w:bookmarkEnd w:id="133"/>
    <w:bookmarkStart w:id="134" w:name="ref-becker1957"/>
    <w:p>
      <w:pPr>
        <w:pStyle w:val="Bibliography"/>
        <w:spacing w:line="240" w:lineRule="auto" w:before="0" w:after="120"/>
        <w:ind w:firstLine="0" w:left="0"/>
        <w:jc w:val="left"/>
      </w:pPr>
      <w:r>
        <w:rPr>
          <w:rFonts w:ascii="Arial" w:hAnsi="Arial"/>
          <w:sz w:val="22"/>
        </w:rPr>
        <w:t xml:space="preserve">BECKER, Gary S.</w:t>
      </w:r>
      <w:r>
        <w:rPr>
          <w:rFonts w:ascii="Arial" w:hAnsi="Arial"/>
          <w:sz w:val="22"/>
        </w:rPr>
        <w:t xml:space="preserve"> </w:t>
      </w:r>
      <w:r>
        <w:rPr>
          <w:rFonts w:ascii="Arial" w:hAnsi="Arial"/>
          <w:b/>
          <w:bCs/>
          <w:sz w:val="22"/>
        </w:rPr>
        <w:t xml:space="preserve">The Economics of Discrimination</w:t>
      </w:r>
      <w:r>
        <w:rPr>
          <w:rFonts w:ascii="Arial" w:hAnsi="Arial"/>
          <w:sz w:val="22"/>
        </w:rPr>
        <w:t xml:space="preserve">. Chicago: University of Chicago Press, 1957.</w:t>
      </w:r>
    </w:p>
    <w:bookmarkEnd w:id="134"/>
    <w:bookmarkStart w:id="135" w:name="ref-bickel2008"/>
    <w:p>
      <w:pPr>
        <w:pStyle w:val="Bibliography"/>
        <w:spacing w:line="240" w:lineRule="auto" w:before="0" w:after="120"/>
        <w:ind w:firstLine="0" w:left="0"/>
        <w:jc w:val="left"/>
      </w:pPr>
      <w:r>
        <w:rPr>
          <w:rFonts w:ascii="Arial" w:hAnsi="Arial"/>
          <w:sz w:val="22"/>
        </w:rPr>
        <w:t xml:space="preserve">BICKEL, Peter J.; SAKOV, Anat. On the Choice of</w:t>
      </w:r>
      <w:r>
        <w:rPr>
          <w:rFonts w:ascii="Arial" w:hAnsi="Arial"/>
          <w:sz w:val="22"/>
        </w:rPr>
        <w:t xml:space="preserve"> </w:t>
      </w:r>
      <m:oMath>
        <m:r>
          <m:t>m</m:t>
        </m:r>
      </m:oMath>
      <w:r>
        <w:rPr>
          <w:rFonts w:ascii="Arial" w:hAnsi="Arial"/>
          <w:sz w:val="22"/>
        </w:rPr>
        <w:t xml:space="preserve"> </w:t>
      </w:r>
      <w:r>
        <w:rPr>
          <w:rFonts w:ascii="Arial" w:hAnsi="Arial"/>
          <w:sz w:val="22"/>
        </w:rPr>
        <w:t xml:space="preserve">in the</w:t>
      </w:r>
      <w:r>
        <w:rPr>
          <w:rFonts w:ascii="Arial" w:hAnsi="Arial"/>
          <w:sz w:val="22"/>
        </w:rPr>
        <w:t xml:space="preserve"> </w:t>
      </w:r>
      <m:oMath>
        <m:r>
          <m:t>m</m:t>
        </m:r>
      </m:oMath>
      <w:r>
        <w:rPr>
          <w:rFonts w:ascii="Arial" w:hAnsi="Arial"/>
          <w:sz w:val="22"/>
        </w:rPr>
        <w:t xml:space="preserve"> </w:t>
      </w:r>
      <w:r>
        <w:rPr>
          <w:rFonts w:ascii="Arial" w:hAnsi="Arial"/>
          <w:sz w:val="22"/>
        </w:rPr>
        <w:t xml:space="preserve">out of</w:t>
      </w:r>
      <w:r>
        <w:rPr>
          <w:rFonts w:ascii="Arial" w:hAnsi="Arial"/>
          <w:sz w:val="22"/>
        </w:rPr>
        <w:t xml:space="preserve"> </w:t>
      </w:r>
      <m:oMath>
        <m:r>
          <m:t>n</m:t>
        </m:r>
      </m:oMath>
      <w:r>
        <w:rPr>
          <w:rFonts w:ascii="Arial" w:hAnsi="Arial"/>
          <w:sz w:val="22"/>
        </w:rPr>
        <w:t xml:space="preserve"> </w:t>
      </w:r>
      <w:r>
        <w:rPr>
          <w:rFonts w:ascii="Arial" w:hAnsi="Arial"/>
          <w:sz w:val="22"/>
        </w:rPr>
        <w:t xml:space="preserve">Bootstrap and Confidence Bounds for Extrema.</w:t>
      </w:r>
      <w:r>
        <w:rPr>
          <w:rFonts w:ascii="Arial" w:hAnsi="Arial"/>
          <w:sz w:val="22"/>
        </w:rPr>
        <w:t xml:space="preserve"> </w:t>
      </w:r>
      <w:r>
        <w:rPr>
          <w:rFonts w:ascii="Arial" w:hAnsi="Arial"/>
          <w:b/>
          <w:bCs/>
          <w:sz w:val="22"/>
        </w:rPr>
        <w:t xml:space="preserve">Statistica Sinica</w:t>
      </w:r>
      <w:r>
        <w:rPr>
          <w:rFonts w:ascii="Arial" w:hAnsi="Arial"/>
          <w:sz w:val="22"/>
        </w:rPr>
        <w:t xml:space="preserve">, v. 18, n. 3, p. 967–985, 2008.</w:t>
      </w:r>
    </w:p>
    <w:bookmarkEnd w:id="135"/>
    <w:bookmarkStart w:id="136" w:name="ref-blinder1973"/>
    <w:p>
      <w:pPr>
        <w:pStyle w:val="Bibliography"/>
        <w:spacing w:line="240" w:lineRule="auto" w:before="0" w:after="120"/>
        <w:ind w:firstLine="0" w:left="0"/>
        <w:jc w:val="left"/>
      </w:pPr>
      <w:r>
        <w:rPr>
          <w:rFonts w:ascii="Arial" w:hAnsi="Arial"/>
          <w:sz w:val="22"/>
        </w:rPr>
        <w:t xml:space="preserve">BLINDER, Alan S. Wage Discrimination: Reduced Form and Structural Estimates.</w:t>
      </w:r>
      <w:r>
        <w:rPr>
          <w:rFonts w:ascii="Arial" w:hAnsi="Arial"/>
          <w:sz w:val="22"/>
        </w:rPr>
        <w:t xml:space="preserve"> </w:t>
      </w:r>
      <w:r>
        <w:rPr>
          <w:rFonts w:ascii="Arial" w:hAnsi="Arial"/>
          <w:b/>
          <w:bCs/>
          <w:sz w:val="22"/>
        </w:rPr>
        <w:t xml:space="preserve">Journal of Human Resources</w:t>
      </w:r>
      <w:r>
        <w:rPr>
          <w:rFonts w:ascii="Arial" w:hAnsi="Arial"/>
          <w:sz w:val="22"/>
        </w:rPr>
        <w:t xml:space="preserve">, v. 8, n. 4, p. 436–455, 1973.</w:t>
      </w:r>
    </w:p>
    <w:bookmarkEnd w:id="136"/>
    <w:bookmarkStart w:id="137" w:name="ref-brasil1995lei9029"/>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9.029, de 13 de abril de 1995. Proíbe a exigência de atestados de gravidez e esterilização, e outras práticas discriminatórias, para efeitos admissionais ou de permanência da relação jurídica de trabalho</w:t>
      </w:r>
      <w:r>
        <w:rPr>
          <w:rFonts w:ascii="Arial" w:hAnsi="Arial"/>
          <w:sz w:val="22"/>
        </w:rPr>
        <w:t xml:space="preserve">. Diário Oficial da União, Brasília, DF, 1995.</w:t>
      </w:r>
    </w:p>
    <w:bookmarkEnd w:id="137"/>
    <w:bookmarkStart w:id="138" w:name="ref-brasil2010lei12288"/>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12.288, de 20 de julho de 2010. Institui o Estatuto da Igualdade Racial</w:t>
      </w:r>
      <w:r>
        <w:rPr>
          <w:rFonts w:ascii="Arial" w:hAnsi="Arial"/>
          <w:sz w:val="22"/>
        </w:rPr>
        <w:t xml:space="preserve">. Diário Oficial da União, Brasília, DF, 2010.</w:t>
      </w:r>
    </w:p>
    <w:bookmarkEnd w:id="138"/>
    <w:bookmarkStart w:id="139" w:name="ref-brasil2012lei127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12.711, de 29 de agosto de 2012. Dispõe sobre o ingresso nas universidades federais e nas instituições federais de ensino técnico de nível médio</w:t>
      </w:r>
      <w:r>
        <w:rPr>
          <w:rFonts w:ascii="Arial" w:hAnsi="Arial"/>
          <w:sz w:val="22"/>
        </w:rPr>
        <w:t xml:space="preserve">. Diário Oficial da União, Brasília, DF, 2012.</w:t>
      </w:r>
    </w:p>
    <w:bookmarkEnd w:id="139"/>
    <w:bookmarkStart w:id="140" w:name="ref-brasil2023decreto1144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Decreto n. 11.443, de 21 de março de 2023. Dispõe sobre o preenchimento por pessoas negras de percentual mínimo de cargos em comissão e funções de confiança no âmbito da administração pública federal</w:t>
      </w:r>
      <w:r>
        <w:rPr>
          <w:rFonts w:ascii="Arial" w:hAnsi="Arial"/>
          <w:sz w:val="22"/>
        </w:rPr>
        <w:t xml:space="preserve">. Diário Oficial da União, Brasília, DF, b2023.</w:t>
      </w:r>
    </w:p>
    <w:bookmarkEnd w:id="140"/>
    <w:bookmarkStart w:id="141" w:name="ref-brasil2023lei146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14.611, de 3 de julho de 2023. Dispõe sobre a igualdade salarial e de critérios remuneratórios entre mulheres e homens</w:t>
      </w:r>
      <w:r>
        <w:rPr>
          <w:rFonts w:ascii="Arial" w:hAnsi="Arial"/>
          <w:sz w:val="22"/>
        </w:rPr>
        <w:t xml:space="preserve">. Diário Oficial da União, Brasília, DF, c2023.</w:t>
      </w:r>
    </w:p>
    <w:bookmarkEnd w:id="141"/>
    <w:bookmarkStart w:id="142" w:name="ref-brasil2023lei1472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14.723, de 13 de novembro de 2023. Altera a Lei n. 12.711, de 29 de agosto de 2012, para dispor sobre o programa especial para o acesso às instituições federais de educação superior e de ensino técnico de nível médio</w:t>
      </w:r>
      <w:r>
        <w:rPr>
          <w:rFonts w:ascii="Arial" w:hAnsi="Arial"/>
          <w:sz w:val="22"/>
        </w:rPr>
        <w:t xml:space="preserve">. Diário Oficial da União, Brasília, DF, a2023.</w:t>
      </w:r>
    </w:p>
    <w:bookmarkEnd w:id="142"/>
    <w:bookmarkStart w:id="143" w:name="ref-brasil2025lei15142"/>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15.142, de 3 de junho de 2025. Dispõe sobre a reserva às pessoas pretas e pardas, indígenas e quilombolas de vagas oferecidas em concursos públicos e em processos seletivos simplificados no âmbito da administração pública federal</w:t>
      </w:r>
      <w:r>
        <w:rPr>
          <w:rFonts w:ascii="Arial" w:hAnsi="Arial"/>
          <w:sz w:val="22"/>
        </w:rPr>
        <w:t xml:space="preserve">. Diário Oficial da União, Brasília, DF, 2025.</w:t>
      </w:r>
    </w:p>
    <w:bookmarkEnd w:id="143"/>
    <w:bookmarkStart w:id="144" w:name="ref-breiman2001"/>
    <w:p>
      <w:pPr>
        <w:pStyle w:val="Bibliography"/>
        <w:spacing w:line="240" w:lineRule="auto" w:before="0" w:after="120"/>
        <w:ind w:firstLine="0" w:left="0"/>
        <w:jc w:val="left"/>
      </w:pPr>
      <w:r>
        <w:rPr>
          <w:rFonts w:ascii="Arial" w:hAnsi="Arial"/>
          <w:sz w:val="22"/>
        </w:rPr>
        <w:t xml:space="preserve">BREIMAN, Leo. Random Forests.</w:t>
      </w:r>
      <w:r>
        <w:rPr>
          <w:rFonts w:ascii="Arial" w:hAnsi="Arial"/>
          <w:sz w:val="22"/>
        </w:rPr>
        <w:t xml:space="preserve"> </w:t>
      </w:r>
      <w:r>
        <w:rPr>
          <w:rFonts w:ascii="Arial" w:hAnsi="Arial"/>
          <w:b/>
          <w:bCs/>
          <w:sz w:val="22"/>
        </w:rPr>
        <w:t xml:space="preserve">Machine Learning</w:t>
      </w:r>
      <w:r>
        <w:rPr>
          <w:rFonts w:ascii="Arial" w:hAnsi="Arial"/>
          <w:sz w:val="22"/>
        </w:rPr>
        <w:t xml:space="preserve">, v. 45, n. 1, p. 5–32, 2001.</w:t>
      </w:r>
    </w:p>
    <w:bookmarkEnd w:id="144"/>
    <w:bookmarkStart w:id="145" w:name="ref-cameron2008"/>
    <w:p>
      <w:pPr>
        <w:pStyle w:val="Bibliography"/>
        <w:spacing w:line="240" w:lineRule="auto" w:before="0" w:after="120"/>
        <w:ind w:firstLine="0" w:left="0"/>
        <w:jc w:val="left"/>
      </w:pPr>
      <w:r>
        <w:rPr>
          <w:rFonts w:ascii="Arial" w:hAnsi="Arial"/>
          <w:sz w:val="22"/>
        </w:rPr>
        <w:t xml:space="preserve">CAMERON, A. Colin; GELBACH, Jonah B.; MILLER, Douglas L. Bootstrap-Based Improvements for Inference with Clustered Errors.</w:t>
      </w:r>
      <w:r>
        <w:rPr>
          <w:rFonts w:ascii="Arial" w:hAnsi="Arial"/>
          <w:sz w:val="22"/>
        </w:rPr>
        <w:t xml:space="preserve"> </w:t>
      </w:r>
      <w:r>
        <w:rPr>
          <w:rFonts w:ascii="Arial" w:hAnsi="Arial"/>
          <w:b/>
          <w:bCs/>
          <w:sz w:val="22"/>
        </w:rPr>
        <w:t xml:space="preserve">The Review of Economics and Statistics</w:t>
      </w:r>
      <w:r>
        <w:rPr>
          <w:rFonts w:ascii="Arial" w:hAnsi="Arial"/>
          <w:sz w:val="22"/>
        </w:rPr>
        <w:t xml:space="preserve">, v. 90, n. 3, p. 414–427, 2008.</w:t>
      </w:r>
    </w:p>
    <w:bookmarkEnd w:id="145"/>
    <w:bookmarkStart w:id="147" w:name="ref-chen2016"/>
    <w:p>
      <w:pPr>
        <w:pStyle w:val="Bibliography"/>
        <w:spacing w:line="240" w:lineRule="auto" w:before="0" w:after="120"/>
        <w:ind w:firstLine="0" w:left="0"/>
        <w:jc w:val="left"/>
      </w:pPr>
      <w:r>
        <w:rPr>
          <w:rFonts w:ascii="Arial" w:hAnsi="Arial"/>
          <w:sz w:val="22"/>
        </w:rPr>
        <w:t xml:space="preserve">CHEN, Tianqi; GUESTRIN, Carlos.</w:t>
      </w:r>
      <w:r>
        <w:rPr>
          <w:rFonts w:ascii="Arial" w:hAnsi="Arial"/>
          <w:sz w:val="22"/>
        </w:rPr>
        <w:t xml:space="preserve"> </w:t>
      </w:r>
      <w:hyperlink r:id="rId146">
        <w:r>
          <w:rPr>
            <w:rStyle w:val="Hyperlink"/>
          </w:rPr>
          <w:t xml:space="preserve">XGBoost</w:t>
        </w:r>
        <w:r>
          <w:rPr>
            <w:rStyle w:val="Hyperlink"/>
          </w:rPr>
          <w:t xml:space="preserve">: A Scalable Tree Boosting System</w:t>
        </w:r>
      </w:hyperlink>
      <w:r>
        <w:rPr>
          <w:rFonts w:ascii="Arial" w:hAnsi="Arial"/>
          <w:sz w:val="22"/>
        </w:rPr>
        <w:t xml:space="preserve">.</w:t>
      </w:r>
      <w:r>
        <w:rPr>
          <w:rFonts w:ascii="Arial" w:hAnsi="Arial"/>
          <w:sz w:val="22"/>
        </w:rPr>
        <w:t xml:space="preserve"> </w:t>
      </w:r>
      <w:r>
        <w:rPr>
          <w:rFonts w:ascii="Arial" w:hAnsi="Arial"/>
          <w:i/>
          <w:iCs/>
          <w:sz w:val="22"/>
        </w:rPr>
        <w:t xml:space="preserve">In</w:t>
      </w:r>
      <w:r>
        <w:rPr>
          <w:rFonts w:ascii="Arial" w:hAnsi="Arial"/>
          <w:sz w:val="22"/>
        </w:rPr>
        <w:t xml:space="preserve">:</w:t>
      </w:r>
      <w:r>
        <w:rPr>
          <w:rFonts w:ascii="Arial" w:hAnsi="Arial"/>
          <w:sz w:val="22"/>
        </w:rPr>
        <w:t xml:space="preserve"> </w:t>
      </w:r>
      <w:r>
        <w:rPr>
          <w:rFonts w:ascii="Arial" w:hAnsi="Arial"/>
          <w:b/>
          <w:bCs/>
          <w:sz w:val="22"/>
        </w:rPr>
        <w:t xml:space="preserve">Proceedings of the 22nd ACM SIGKDD International Conference on Knowledge Discovery and Data Mining</w:t>
      </w:r>
      <w:r>
        <w:rPr>
          <w:rFonts w:ascii="Arial" w:hAnsi="Arial"/>
          <w:sz w:val="22"/>
        </w:rPr>
        <w:t xml:space="preserve">. San Francisco: ACM, 2016. p. 785–794.</w:t>
      </w:r>
    </w:p>
    <w:bookmarkEnd w:id="147"/>
    <w:bookmarkStart w:id="148" w:name="ref-crenshaw1989"/>
    <w:p>
      <w:pPr>
        <w:pStyle w:val="Bibliography"/>
        <w:spacing w:line="240" w:lineRule="auto" w:before="0" w:after="120"/>
        <w:ind w:firstLine="0" w:left="0"/>
        <w:jc w:val="left"/>
      </w:pPr>
      <w:r>
        <w:rPr>
          <w:rFonts w:ascii="Arial" w:hAnsi="Arial"/>
          <w:sz w:val="22"/>
        </w:rPr>
        <w:t xml:space="preserve">CRENSHAW, Kimberlé. Demarginalizing the Intersection of Race and Sex: A Black Feminist Critique of Antidiscrimination Doctrine.</w:t>
      </w:r>
      <w:r>
        <w:rPr>
          <w:rFonts w:ascii="Arial" w:hAnsi="Arial"/>
          <w:sz w:val="22"/>
        </w:rPr>
        <w:t xml:space="preserve"> </w:t>
      </w:r>
      <w:r>
        <w:rPr>
          <w:rFonts w:ascii="Arial" w:hAnsi="Arial"/>
          <w:b/>
          <w:bCs/>
          <w:sz w:val="22"/>
        </w:rPr>
        <w:t xml:space="preserve">University of Chicago Legal Forum</w:t>
      </w:r>
      <w:r>
        <w:rPr>
          <w:rFonts w:ascii="Arial" w:hAnsi="Arial"/>
          <w:sz w:val="22"/>
        </w:rPr>
        <w:t xml:space="preserve">, v. 1989, n. 1, p. 139–167, 1989.</w:t>
      </w:r>
    </w:p>
    <w:bookmarkEnd w:id="148"/>
    <w:bookmarkStart w:id="149" w:name="ref-duan1983"/>
    <w:p>
      <w:pPr>
        <w:pStyle w:val="Bibliography"/>
        <w:spacing w:line="240" w:lineRule="auto" w:before="0" w:after="120"/>
        <w:ind w:firstLine="0" w:left="0"/>
        <w:jc w:val="left"/>
      </w:pPr>
      <w:r>
        <w:rPr>
          <w:rFonts w:ascii="Arial" w:hAnsi="Arial"/>
          <w:sz w:val="22"/>
        </w:rPr>
        <w:t xml:space="preserve">DUAN, Naihua. Smearing Estimate: A Nonparametric Retransformation Method.</w:t>
      </w:r>
      <w:r>
        <w:rPr>
          <w:rFonts w:ascii="Arial" w:hAnsi="Arial"/>
          <w:sz w:val="22"/>
        </w:rPr>
        <w:t xml:space="preserve"> </w:t>
      </w:r>
      <w:r>
        <w:rPr>
          <w:rFonts w:ascii="Arial" w:hAnsi="Arial"/>
          <w:b/>
          <w:bCs/>
          <w:sz w:val="22"/>
        </w:rPr>
        <w:t xml:space="preserve">Journal of the American Statistical Association</w:t>
      </w:r>
      <w:r>
        <w:rPr>
          <w:rFonts w:ascii="Arial" w:hAnsi="Arial"/>
          <w:sz w:val="22"/>
        </w:rPr>
        <w:t xml:space="preserve">, v. 78, n. 383, p. 605–610, 1983.</w:t>
      </w:r>
    </w:p>
    <w:bookmarkEnd w:id="149"/>
    <w:bookmarkStart w:id="150" w:name="ref-favero2024"/>
    <w:p>
      <w:pPr>
        <w:pStyle w:val="Bibliography"/>
        <w:spacing w:line="240" w:lineRule="auto" w:before="0" w:after="120"/>
        <w:ind w:firstLine="0" w:left="0"/>
        <w:jc w:val="left"/>
      </w:pPr>
      <w:r>
        <w:rPr>
          <w:rFonts w:ascii="Arial" w:hAnsi="Arial"/>
          <w:sz w:val="22"/>
        </w:rPr>
        <w:t xml:space="preserve">FÁVERO, Luiz Paulo; BELFIORE, Patrícia.</w:t>
      </w:r>
      <w:r>
        <w:rPr>
          <w:rFonts w:ascii="Arial" w:hAnsi="Arial"/>
          <w:sz w:val="22"/>
        </w:rPr>
        <w:t xml:space="preserve"> </w:t>
      </w:r>
      <w:r>
        <w:rPr>
          <w:rFonts w:ascii="Arial" w:hAnsi="Arial"/>
          <w:b/>
          <w:bCs/>
          <w:sz w:val="22"/>
        </w:rPr>
        <w:t xml:space="preserve">Manual de Análise de Dados: estatística e machine learning com Excel, SPSS, Stata, R e Python</w:t>
      </w:r>
      <w:r>
        <w:rPr>
          <w:rFonts w:ascii="Arial" w:hAnsi="Arial"/>
          <w:sz w:val="22"/>
        </w:rPr>
        <w:t xml:space="preserve">. 2. ed. Rio de Janeiro: GEN LTC, 2024.</w:t>
      </w:r>
    </w:p>
    <w:bookmarkEnd w:id="150"/>
    <w:bookmarkStart w:id="151" w:name="ref-firpo2018"/>
    <w:p>
      <w:pPr>
        <w:pStyle w:val="Bibliography"/>
        <w:spacing w:line="240" w:lineRule="auto" w:before="0" w:after="120"/>
        <w:ind w:firstLine="0" w:left="0"/>
        <w:jc w:val="left"/>
      </w:pPr>
      <w:r>
        <w:rPr>
          <w:rFonts w:ascii="Arial" w:hAnsi="Arial"/>
          <w:sz w:val="22"/>
        </w:rPr>
        <w:t xml:space="preserve">FIRPO, Sergio P.; FORTIN, Nicole M.; LEMIEUX, Thomas. Decomposing Wage Distributions Using Recentered Influence Function Regressions.</w:t>
      </w:r>
      <w:r>
        <w:rPr>
          <w:rFonts w:ascii="Arial" w:hAnsi="Arial"/>
          <w:sz w:val="22"/>
        </w:rPr>
        <w:t xml:space="preserve"> </w:t>
      </w:r>
      <w:r>
        <w:rPr>
          <w:rFonts w:ascii="Arial" w:hAnsi="Arial"/>
          <w:b/>
          <w:bCs/>
          <w:sz w:val="22"/>
        </w:rPr>
        <w:t xml:space="preserve">Econometrics</w:t>
      </w:r>
      <w:r>
        <w:rPr>
          <w:rFonts w:ascii="Arial" w:hAnsi="Arial"/>
          <w:sz w:val="22"/>
        </w:rPr>
        <w:t xml:space="preserve">, v. 6, n. 2, p. 28, 2018.</w:t>
      </w:r>
    </w:p>
    <w:bookmarkEnd w:id="151"/>
    <w:bookmarkStart w:id="152" w:name="ref-frank2013"/>
    <w:p>
      <w:pPr>
        <w:pStyle w:val="Bibliography"/>
        <w:spacing w:line="240" w:lineRule="auto" w:before="0" w:after="120"/>
        <w:ind w:firstLine="0" w:left="0"/>
        <w:jc w:val="left"/>
      </w:pPr>
      <w:r>
        <w:rPr>
          <w:rFonts w:ascii="Arial" w:hAnsi="Arial"/>
          <w:sz w:val="22"/>
        </w:rPr>
        <w:t xml:space="preserve">FRANK, Kenneth A.</w:t>
      </w:r>
      <w:r>
        <w:rPr>
          <w:rFonts w:ascii="Arial" w:hAnsi="Arial"/>
          <w:sz w:val="22"/>
        </w:rPr>
        <w:t xml:space="preserve"> </w:t>
      </w:r>
      <w:r>
        <w:rPr>
          <w:rFonts w:ascii="Arial" w:hAnsi="Arial"/>
          <w:i/>
          <w:iCs/>
          <w:sz w:val="22"/>
        </w:rPr>
        <w:t xml:space="preserve">et al.</w:t>
      </w:r>
      <w:r>
        <w:rPr>
          <w:rFonts w:ascii="Arial" w:hAnsi="Arial"/>
          <w:sz w:val="22"/>
        </w:rPr>
        <w:t xml:space="preserve"> What Would It Take to Change an Inference? Using Rubin’s Causal Model to Interpret the Robustness of Causal Inferences.</w:t>
      </w:r>
      <w:r>
        <w:rPr>
          <w:rFonts w:ascii="Arial" w:hAnsi="Arial"/>
          <w:sz w:val="22"/>
        </w:rPr>
        <w:t xml:space="preserve"> </w:t>
      </w:r>
      <w:r>
        <w:rPr>
          <w:rFonts w:ascii="Arial" w:hAnsi="Arial"/>
          <w:b/>
          <w:bCs/>
          <w:sz w:val="22"/>
        </w:rPr>
        <w:t xml:space="preserve">Educational Evaluation and Policy Analysis</w:t>
      </w:r>
      <w:r>
        <w:rPr>
          <w:rFonts w:ascii="Arial" w:hAnsi="Arial"/>
          <w:sz w:val="22"/>
        </w:rPr>
        <w:t xml:space="preserve">, v. 35, n. 4, p. 437–460, 2013.</w:t>
      </w:r>
    </w:p>
    <w:bookmarkEnd w:id="152"/>
    <w:bookmarkStart w:id="153" w:name="ref-geron2021"/>
    <w:p>
      <w:pPr>
        <w:pStyle w:val="Bibliography"/>
        <w:spacing w:line="240" w:lineRule="auto" w:before="0" w:after="120"/>
        <w:ind w:firstLine="0" w:left="0"/>
        <w:jc w:val="left"/>
      </w:pPr>
      <w:r>
        <w:rPr>
          <w:rFonts w:ascii="Arial" w:hAnsi="Arial"/>
          <w:sz w:val="22"/>
        </w:rPr>
        <w:t xml:space="preserve">GÉRON, Aurélien.</w:t>
      </w:r>
      <w:r>
        <w:rPr>
          <w:rFonts w:ascii="Arial" w:hAnsi="Arial"/>
          <w:sz w:val="22"/>
        </w:rPr>
        <w:t xml:space="preserve"> </w:t>
      </w:r>
      <w:r>
        <w:rPr>
          <w:rFonts w:ascii="Arial" w:hAnsi="Arial"/>
          <w:b/>
          <w:bCs/>
          <w:sz w:val="22"/>
        </w:rPr>
        <w:t xml:space="preserve">Mãos à obra: aprendizado de máquina com Scikit-Learn, Keras &amp; TensorFlow: conceitos, ferramentas e técnicas para a construção de sistemas inteligentes</w:t>
      </w:r>
      <w:r>
        <w:rPr>
          <w:rFonts w:ascii="Arial" w:hAnsi="Arial"/>
          <w:sz w:val="22"/>
        </w:rPr>
        <w:t xml:space="preserve">. Tradução: Cibelle Ravaglia. 2. ed. Rio de Janeiro: Alta Books, 2021.</w:t>
      </w:r>
    </w:p>
    <w:bookmarkEnd w:id="153"/>
    <w:bookmarkStart w:id="154" w:name="ref-granovetter1973"/>
    <w:p>
      <w:pPr>
        <w:pStyle w:val="Bibliography"/>
        <w:spacing w:line="240" w:lineRule="auto" w:before="0" w:after="120"/>
        <w:ind w:firstLine="0" w:left="0"/>
        <w:jc w:val="left"/>
      </w:pPr>
      <w:r>
        <w:rPr>
          <w:rFonts w:ascii="Arial" w:hAnsi="Arial"/>
          <w:sz w:val="22"/>
        </w:rPr>
        <w:t xml:space="preserve">GRANOVETTER, Mark S. The Strength of Weak Ties.</w:t>
      </w:r>
      <w:r>
        <w:rPr>
          <w:rFonts w:ascii="Arial" w:hAnsi="Arial"/>
          <w:sz w:val="22"/>
        </w:rPr>
        <w:t xml:space="preserve"> </w:t>
      </w:r>
      <w:r>
        <w:rPr>
          <w:rFonts w:ascii="Arial" w:hAnsi="Arial"/>
          <w:b/>
          <w:bCs/>
          <w:sz w:val="22"/>
        </w:rPr>
        <w:t xml:space="preserve">American Journal of Sociology</w:t>
      </w:r>
      <w:r>
        <w:rPr>
          <w:rFonts w:ascii="Arial" w:hAnsi="Arial"/>
          <w:sz w:val="22"/>
        </w:rPr>
        <w:t xml:space="preserve">, v. 78, n. 6, p. 1360–1380, 1973.</w:t>
      </w:r>
    </w:p>
    <w:bookmarkEnd w:id="154"/>
    <w:bookmarkStart w:id="155" w:name="ref-hasenbalg1979"/>
    <w:p>
      <w:pPr>
        <w:pStyle w:val="Bibliography"/>
        <w:spacing w:line="240" w:lineRule="auto" w:before="0" w:after="120"/>
        <w:ind w:firstLine="0" w:left="0"/>
        <w:jc w:val="left"/>
      </w:pPr>
      <w:r>
        <w:rPr>
          <w:rFonts w:ascii="Arial" w:hAnsi="Arial"/>
          <w:sz w:val="22"/>
        </w:rPr>
        <w:t xml:space="preserve">HASENBALG, Carlos.</w:t>
      </w:r>
      <w:r>
        <w:rPr>
          <w:rFonts w:ascii="Arial" w:hAnsi="Arial"/>
          <w:sz w:val="22"/>
        </w:rPr>
        <w:t xml:space="preserve"> </w:t>
      </w:r>
      <w:r>
        <w:rPr>
          <w:rFonts w:ascii="Arial" w:hAnsi="Arial"/>
          <w:b/>
          <w:bCs/>
          <w:sz w:val="22"/>
        </w:rPr>
        <w:t xml:space="preserve">Discriminação e Desigualdades Raciais no Brasil</w:t>
      </w:r>
      <w:r>
        <w:rPr>
          <w:rFonts w:ascii="Arial" w:hAnsi="Arial"/>
          <w:sz w:val="22"/>
        </w:rPr>
        <w:t xml:space="preserve">. Rio de Janeiro: Graal, 1979.</w:t>
      </w:r>
    </w:p>
    <w:bookmarkEnd w:id="155"/>
    <w:bookmarkStart w:id="156" w:name="ref-henriques2001"/>
    <w:p>
      <w:pPr>
        <w:pStyle w:val="Bibliography"/>
        <w:spacing w:line="240" w:lineRule="auto" w:before="0" w:after="120"/>
        <w:ind w:firstLine="0" w:left="0"/>
        <w:jc w:val="left"/>
      </w:pPr>
      <w:r>
        <w:rPr>
          <w:rFonts w:ascii="Arial" w:hAnsi="Arial"/>
          <w:sz w:val="22"/>
        </w:rPr>
        <w:t xml:space="preserve">HENRIQUES, Ricardo. Desigualdade Racial no Brasil: Evolução das Condições de Vida na Década de 90.</w:t>
      </w:r>
      <w:r>
        <w:rPr>
          <w:rFonts w:ascii="Arial" w:hAnsi="Arial"/>
          <w:sz w:val="22"/>
        </w:rPr>
        <w:t xml:space="preserve"> </w:t>
      </w:r>
      <w:r>
        <w:rPr>
          <w:rFonts w:ascii="Arial" w:hAnsi="Arial"/>
          <w:b/>
          <w:bCs/>
          <w:sz w:val="22"/>
        </w:rPr>
        <w:t xml:space="preserve">Texto para Discussão IPEA</w:t>
      </w:r>
      <w:r>
        <w:rPr>
          <w:rFonts w:ascii="Arial" w:hAnsi="Arial"/>
          <w:sz w:val="22"/>
        </w:rPr>
        <w:t xml:space="preserve">, n. 807, 2001.</w:t>
      </w:r>
    </w:p>
    <w:bookmarkEnd w:id="156"/>
    <w:bookmarkStart w:id="157" w:name="ref-ibge_pof_2019"/>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de Orçamentos Familiares 2017–2018: análise da qualidade de vida (Índice de Perda de Qualidade de Vida)</w:t>
      </w:r>
      <w:r>
        <w:rPr>
          <w:rFonts w:ascii="Arial" w:hAnsi="Arial"/>
          <w:sz w:val="22"/>
        </w:rPr>
        <w:t xml:space="preserve">. Rio de Janeiro: Instituto Brasileiro de Geografia e Estatística, 2019.</w:t>
      </w:r>
    </w:p>
    <w:bookmarkEnd w:id="157"/>
    <w:bookmarkStart w:id="158" w:name="ref-ibge_pnad_2023"/>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Notas Metodológicas</w:t>
      </w:r>
      <w:r>
        <w:rPr>
          <w:rFonts w:ascii="Arial" w:hAnsi="Arial"/>
          <w:sz w:val="22"/>
        </w:rPr>
        <w:t xml:space="preserve">. Rio de Janeiro: Instituto Brasileiro de Geografia e Estatística, 2023.</w:t>
      </w:r>
    </w:p>
    <w:bookmarkEnd w:id="158"/>
    <w:bookmarkStart w:id="159" w:name="ref-ibge_rendimentos_2025"/>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Rendimento de Todas as Fontes 2025</w:t>
      </w:r>
      <w:r>
        <w:rPr>
          <w:rFonts w:ascii="Arial" w:hAnsi="Arial"/>
          <w:sz w:val="22"/>
        </w:rPr>
        <w:t xml:space="preserve">. Rio de Janeiro: Instituto Brasileiro de Geografia e Estatística, 2025.</w:t>
      </w:r>
    </w:p>
    <w:bookmarkEnd w:id="159"/>
    <w:bookmarkStart w:id="160" w:name="ref-koenker1978"/>
    <w:p>
      <w:pPr>
        <w:pStyle w:val="Bibliography"/>
        <w:spacing w:line="240" w:lineRule="auto" w:before="0" w:after="120"/>
        <w:ind w:firstLine="0" w:left="0"/>
        <w:jc w:val="left"/>
      </w:pPr>
      <w:r>
        <w:rPr>
          <w:rFonts w:ascii="Arial" w:hAnsi="Arial"/>
          <w:sz w:val="22"/>
        </w:rPr>
        <w:t xml:space="preserve">KOENKER, Roger; BASSETT, Gilbert. Regression Quantiles.</w:t>
      </w:r>
      <w:r>
        <w:rPr>
          <w:rFonts w:ascii="Arial" w:hAnsi="Arial"/>
          <w:sz w:val="22"/>
        </w:rPr>
        <w:t xml:space="preserve"> </w:t>
      </w:r>
      <w:r>
        <w:rPr>
          <w:rFonts w:ascii="Arial" w:hAnsi="Arial"/>
          <w:b/>
          <w:bCs/>
          <w:sz w:val="22"/>
        </w:rPr>
        <w:t xml:space="preserve">Econometrica</w:t>
      </w:r>
      <w:r>
        <w:rPr>
          <w:rFonts w:ascii="Arial" w:hAnsi="Arial"/>
          <w:sz w:val="22"/>
        </w:rPr>
        <w:t xml:space="preserve">, v. 46, n. 1, p. 33–50, 1978.</w:t>
      </w:r>
    </w:p>
    <w:bookmarkEnd w:id="160"/>
    <w:bookmarkStart w:id="161" w:name="ref-lundberg2017"/>
    <w:p>
      <w:pPr>
        <w:pStyle w:val="Bibliography"/>
        <w:spacing w:line="240" w:lineRule="auto" w:before="0" w:after="120"/>
        <w:ind w:firstLine="0" w:left="0"/>
        <w:jc w:val="left"/>
      </w:pPr>
      <w:r>
        <w:rPr>
          <w:rFonts w:ascii="Arial" w:hAnsi="Arial"/>
          <w:sz w:val="22"/>
        </w:rPr>
        <w:t xml:space="preserve">LUNDBERG, Scott M.; LEE, Su-In. A Unified Approach to Interpreting Model Predictions.</w:t>
      </w:r>
      <w:r>
        <w:rPr>
          <w:rFonts w:ascii="Arial" w:hAnsi="Arial"/>
          <w:sz w:val="22"/>
        </w:rPr>
        <w:t xml:space="preserve"> </w:t>
      </w:r>
      <w:r>
        <w:rPr>
          <w:rFonts w:ascii="Arial" w:hAnsi="Arial"/>
          <w:b/>
          <w:bCs/>
          <w:sz w:val="22"/>
        </w:rPr>
        <w:t xml:space="preserve">Advances in Neural Information Processing Systems</w:t>
      </w:r>
      <w:r>
        <w:rPr>
          <w:rFonts w:ascii="Arial" w:hAnsi="Arial"/>
          <w:sz w:val="22"/>
        </w:rPr>
        <w:t xml:space="preserve">, v. 30, 2017.</w:t>
      </w:r>
    </w:p>
    <w:bookmarkEnd w:id="161"/>
    <w:bookmarkStart w:id="162" w:name="ref-manski1993"/>
    <w:p>
      <w:pPr>
        <w:pStyle w:val="Bibliography"/>
        <w:spacing w:line="240" w:lineRule="auto" w:before="0" w:after="120"/>
        <w:ind w:firstLine="0" w:left="0"/>
        <w:jc w:val="left"/>
      </w:pPr>
      <w:r>
        <w:rPr>
          <w:rFonts w:ascii="Arial" w:hAnsi="Arial"/>
          <w:sz w:val="22"/>
        </w:rPr>
        <w:t xml:space="preserve">MANSKI, Charles F. Identification of Endogenous Social Effects: The Reflection Problem.</w:t>
      </w:r>
      <w:r>
        <w:rPr>
          <w:rFonts w:ascii="Arial" w:hAnsi="Arial"/>
          <w:sz w:val="22"/>
        </w:rPr>
        <w:t xml:space="preserve"> </w:t>
      </w:r>
      <w:r>
        <w:rPr>
          <w:rFonts w:ascii="Arial" w:hAnsi="Arial"/>
          <w:b/>
          <w:bCs/>
          <w:sz w:val="22"/>
        </w:rPr>
        <w:t xml:space="preserve">Review of Economic Studies</w:t>
      </w:r>
      <w:r>
        <w:rPr>
          <w:rFonts w:ascii="Arial" w:hAnsi="Arial"/>
          <w:sz w:val="22"/>
        </w:rPr>
        <w:t xml:space="preserve">, v. 60, n. 3, p. 531–542, 1993.</w:t>
      </w:r>
    </w:p>
    <w:bookmarkEnd w:id="162"/>
    <w:bookmarkStart w:id="163" w:name="ref-marques2010"/>
    <w:p>
      <w:pPr>
        <w:pStyle w:val="Bibliography"/>
        <w:spacing w:line="240" w:lineRule="auto" w:before="0" w:after="120"/>
        <w:ind w:firstLine="0" w:left="0"/>
        <w:jc w:val="left"/>
      </w:pPr>
      <w:r>
        <w:rPr>
          <w:rFonts w:ascii="Arial" w:hAnsi="Arial"/>
          <w:sz w:val="22"/>
        </w:rPr>
        <w:t xml:space="preserve">MARQUES, Eduardo. Redes Sociais, Segregação e Pobreza em São Paulo.</w:t>
      </w:r>
      <w:r>
        <w:rPr>
          <w:rFonts w:ascii="Arial" w:hAnsi="Arial"/>
          <w:sz w:val="22"/>
        </w:rPr>
        <w:t xml:space="preserve"> </w:t>
      </w:r>
      <w:r>
        <w:rPr>
          <w:rFonts w:ascii="Arial" w:hAnsi="Arial"/>
          <w:b/>
          <w:bCs/>
          <w:sz w:val="22"/>
        </w:rPr>
        <w:t xml:space="preserve">Dados: Revista de Ciências Sociais</w:t>
      </w:r>
      <w:r>
        <w:rPr>
          <w:rFonts w:ascii="Arial" w:hAnsi="Arial"/>
          <w:sz w:val="22"/>
        </w:rPr>
        <w:t xml:space="preserve">, v. 53, n. 1, p. 5–50, 2010.</w:t>
      </w:r>
    </w:p>
    <w:bookmarkEnd w:id="163"/>
    <w:bookmarkStart w:id="164" w:name="ref-oaxaca1973"/>
    <w:p>
      <w:pPr>
        <w:pStyle w:val="Bibliography"/>
        <w:spacing w:line="240" w:lineRule="auto" w:before="0" w:after="120"/>
        <w:ind w:firstLine="0" w:left="0"/>
        <w:jc w:val="left"/>
      </w:pPr>
      <w:r>
        <w:rPr>
          <w:rFonts w:ascii="Arial" w:hAnsi="Arial"/>
          <w:sz w:val="22"/>
        </w:rPr>
        <w:t xml:space="preserve">OAXACA, Ronald. Male-Female Wage Differentials in Urban Labor Markets.</w:t>
      </w:r>
      <w:r>
        <w:rPr>
          <w:rFonts w:ascii="Arial" w:hAnsi="Arial"/>
          <w:sz w:val="22"/>
        </w:rPr>
        <w:t xml:space="preserve"> </w:t>
      </w:r>
      <w:r>
        <w:rPr>
          <w:rFonts w:ascii="Arial" w:hAnsi="Arial"/>
          <w:b/>
          <w:bCs/>
          <w:sz w:val="22"/>
        </w:rPr>
        <w:t xml:space="preserve">International Economic Review</w:t>
      </w:r>
      <w:r>
        <w:rPr>
          <w:rFonts w:ascii="Arial" w:hAnsi="Arial"/>
          <w:sz w:val="22"/>
        </w:rPr>
        <w:t xml:space="preserve">, v. 14, n. 3, p. 693–709, 1973.</w:t>
      </w:r>
    </w:p>
    <w:bookmarkEnd w:id="164"/>
    <w:bookmarkStart w:id="165" w:name="ref-oaxaca_ransom1999"/>
    <w:p>
      <w:pPr>
        <w:pStyle w:val="Bibliography"/>
        <w:spacing w:line="240" w:lineRule="auto" w:before="0" w:after="120"/>
        <w:ind w:firstLine="0" w:left="0"/>
        <w:jc w:val="left"/>
      </w:pPr>
      <w:r>
        <w:rPr>
          <w:rFonts w:ascii="Arial" w:hAnsi="Arial"/>
          <w:sz w:val="22"/>
        </w:rPr>
        <w:t xml:space="preserve">OAXACA, Ronald L.; RANSOM, Michael R. Identification in Detailed Wage Decompositions.</w:t>
      </w:r>
      <w:r>
        <w:rPr>
          <w:rFonts w:ascii="Arial" w:hAnsi="Arial"/>
          <w:sz w:val="22"/>
        </w:rPr>
        <w:t xml:space="preserve"> </w:t>
      </w:r>
      <w:r>
        <w:rPr>
          <w:rFonts w:ascii="Arial" w:hAnsi="Arial"/>
          <w:b/>
          <w:bCs/>
          <w:sz w:val="22"/>
        </w:rPr>
        <w:t xml:space="preserve">Review of Economics and Statistics</w:t>
      </w:r>
      <w:r>
        <w:rPr>
          <w:rFonts w:ascii="Arial" w:hAnsi="Arial"/>
          <w:sz w:val="22"/>
        </w:rPr>
        <w:t xml:space="preserve">, v. 81, n. 1, p. 154–157, 1999.</w:t>
      </w:r>
    </w:p>
    <w:bookmarkEnd w:id="165"/>
    <w:bookmarkStart w:id="166" w:name="ref-pager2007"/>
    <w:p>
      <w:pPr>
        <w:pStyle w:val="Bibliography"/>
        <w:spacing w:line="240" w:lineRule="auto" w:before="0" w:after="120"/>
        <w:ind w:firstLine="0" w:left="0"/>
        <w:jc w:val="left"/>
      </w:pPr>
      <w:r>
        <w:rPr>
          <w:rFonts w:ascii="Arial" w:hAnsi="Arial"/>
          <w:sz w:val="22"/>
        </w:rPr>
        <w:t xml:space="preserve">PAGER, Devah.</w:t>
      </w:r>
      <w:r>
        <w:rPr>
          <w:rFonts w:ascii="Arial" w:hAnsi="Arial"/>
          <w:sz w:val="22"/>
        </w:rPr>
        <w:t xml:space="preserve"> </w:t>
      </w:r>
      <w:r>
        <w:rPr>
          <w:rFonts w:ascii="Arial" w:hAnsi="Arial"/>
          <w:b/>
          <w:bCs/>
          <w:sz w:val="22"/>
        </w:rPr>
        <w:t xml:space="preserve">Marked: Race, Crime, and Finding Work in an Era of Mass Incarceration</w:t>
      </w:r>
      <w:r>
        <w:rPr>
          <w:rFonts w:ascii="Arial" w:hAnsi="Arial"/>
          <w:sz w:val="22"/>
        </w:rPr>
        <w:t xml:space="preserve">. Chicago: University of Chicago Press, 2007.</w:t>
      </w:r>
    </w:p>
    <w:bookmarkEnd w:id="166"/>
    <w:bookmarkStart w:id="167" w:name="ref-raudenbush2002"/>
    <w:p>
      <w:pPr>
        <w:pStyle w:val="Bibliography"/>
        <w:spacing w:line="240" w:lineRule="auto" w:before="0" w:after="120"/>
        <w:ind w:firstLine="0" w:left="0"/>
        <w:jc w:val="left"/>
      </w:pPr>
      <w:r>
        <w:rPr>
          <w:rFonts w:ascii="Arial" w:hAnsi="Arial"/>
          <w:sz w:val="22"/>
        </w:rPr>
        <w:t xml:space="preserve">RAUDENBUSH, Stephen W.; BRYK, Anthony S.</w:t>
      </w:r>
      <w:r>
        <w:rPr>
          <w:rFonts w:ascii="Arial" w:hAnsi="Arial"/>
          <w:sz w:val="22"/>
        </w:rPr>
        <w:t xml:space="preserve"> </w:t>
      </w:r>
      <w:r>
        <w:rPr>
          <w:rFonts w:ascii="Arial" w:hAnsi="Arial"/>
          <w:b/>
          <w:bCs/>
          <w:sz w:val="22"/>
        </w:rPr>
        <w:t xml:space="preserve">Hierarchical Linear Models: Applications and Data Analysis Methods</w:t>
      </w:r>
      <w:r>
        <w:rPr>
          <w:rFonts w:ascii="Arial" w:hAnsi="Arial"/>
          <w:sz w:val="22"/>
        </w:rPr>
        <w:t xml:space="preserve">. 2. ed. Thousand Oaks, CA: Sage, 2002.</w:t>
      </w:r>
    </w:p>
    <w:bookmarkEnd w:id="167"/>
    <w:bookmarkStart w:id="168" w:name="ref-sampson1997"/>
    <w:p>
      <w:pPr>
        <w:pStyle w:val="Bibliography"/>
        <w:spacing w:line="240" w:lineRule="auto" w:before="0" w:after="120"/>
        <w:ind w:firstLine="0" w:left="0"/>
        <w:jc w:val="left"/>
      </w:pPr>
      <w:r>
        <w:rPr>
          <w:rFonts w:ascii="Arial" w:hAnsi="Arial"/>
          <w:sz w:val="22"/>
        </w:rPr>
        <w:t xml:space="preserve">SAMPSON, Robert J.; RAUDENBUSH, Stephen W.; EARLS, Felton. Neighborhoods and Violent Crime: A Multilevel Study of Collective Efficacy.</w:t>
      </w:r>
      <w:r>
        <w:rPr>
          <w:rFonts w:ascii="Arial" w:hAnsi="Arial"/>
          <w:sz w:val="22"/>
        </w:rPr>
        <w:t xml:space="preserve"> </w:t>
      </w:r>
      <w:r>
        <w:rPr>
          <w:rFonts w:ascii="Arial" w:hAnsi="Arial"/>
          <w:b/>
          <w:bCs/>
          <w:sz w:val="22"/>
        </w:rPr>
        <w:t xml:space="preserve">Science</w:t>
      </w:r>
      <w:r>
        <w:rPr>
          <w:rFonts w:ascii="Arial" w:hAnsi="Arial"/>
          <w:sz w:val="22"/>
        </w:rPr>
        <w:t xml:space="preserve">, v. 277, p. 918–924, 1997.</w:t>
      </w:r>
    </w:p>
    <w:bookmarkEnd w:id="168"/>
    <w:bookmarkStart w:id="169" w:name="ref-soares2009"/>
    <w:p>
      <w:pPr>
        <w:pStyle w:val="Bibliography"/>
        <w:spacing w:line="240" w:lineRule="auto" w:before="0" w:after="120"/>
        <w:ind w:firstLine="0" w:left="0"/>
        <w:jc w:val="left"/>
      </w:pPr>
      <w:r>
        <w:rPr>
          <w:rFonts w:ascii="Arial" w:hAnsi="Arial"/>
          <w:sz w:val="22"/>
        </w:rPr>
        <w:t xml:space="preserve">SOARES, Sergei. Desigualdade Racial de Renda no Brasil: 1976–2006.</w:t>
      </w:r>
      <w:r>
        <w:rPr>
          <w:rFonts w:ascii="Arial" w:hAnsi="Arial"/>
          <w:sz w:val="22"/>
        </w:rPr>
        <w:t xml:space="preserve"> </w:t>
      </w:r>
      <w:r>
        <w:rPr>
          <w:rFonts w:ascii="Arial" w:hAnsi="Arial"/>
          <w:b/>
          <w:bCs/>
          <w:sz w:val="22"/>
        </w:rPr>
        <w:t xml:space="preserve">Estudos Econômicos</w:t>
      </w:r>
      <w:r>
        <w:rPr>
          <w:rFonts w:ascii="Arial" w:hAnsi="Arial"/>
          <w:sz w:val="22"/>
        </w:rPr>
        <w:t xml:space="preserve">, v. 39, n. 4, p. 803–825, 2009.</w:t>
      </w:r>
    </w:p>
    <w:bookmarkEnd w:id="169"/>
    <w:bookmarkStart w:id="170" w:name="ref-vanderweele2017"/>
    <w:p>
      <w:pPr>
        <w:pStyle w:val="Bibliography"/>
        <w:spacing w:line="240" w:lineRule="auto" w:before="0" w:after="120"/>
        <w:ind w:firstLine="0" w:left="0"/>
        <w:jc w:val="left"/>
      </w:pPr>
      <w:r>
        <w:rPr>
          <w:rFonts w:ascii="Arial" w:hAnsi="Arial"/>
          <w:sz w:val="22"/>
        </w:rPr>
        <w:t xml:space="preserve">VANDERWEELE, Tyler J.; DING, Peng. Sensitivity Analysis in Observational Research: Introducing the E-Value.</w:t>
      </w:r>
      <w:r>
        <w:rPr>
          <w:rFonts w:ascii="Arial" w:hAnsi="Arial"/>
          <w:sz w:val="22"/>
        </w:rPr>
        <w:t xml:space="preserve"> </w:t>
      </w:r>
      <w:r>
        <w:rPr>
          <w:rFonts w:ascii="Arial" w:hAnsi="Arial"/>
          <w:b/>
          <w:bCs/>
          <w:sz w:val="22"/>
        </w:rPr>
        <w:t xml:space="preserve">Annals of Internal Medicine</w:t>
      </w:r>
      <w:r>
        <w:rPr>
          <w:rFonts w:ascii="Arial" w:hAnsi="Arial"/>
          <w:sz w:val="22"/>
        </w:rPr>
        <w:t xml:space="preserve">, v. 167, n. 4, p. 268–274, 2017.</w:t>
      </w:r>
    </w:p>
    <w:bookmarkEnd w:id="170"/>
    <w:bookmarkStart w:id="172" w:name="ref-wilm2026"/>
    <w:p>
      <w:pPr>
        <w:pStyle w:val="Bibliography"/>
        <w:spacing w:line="240" w:lineRule="auto" w:before="0" w:after="120"/>
        <w:ind w:firstLine="0" w:left="0"/>
        <w:jc w:val="left"/>
      </w:pPr>
      <w:r>
        <w:rPr>
          <w:rFonts w:ascii="Arial" w:hAnsi="Arial"/>
          <w:sz w:val="22"/>
        </w:rPr>
        <w:t xml:space="preserve">WILM, Melissa</w:t>
      </w:r>
      <w:r>
        <w:rPr>
          <w:rFonts w:ascii="Arial" w:hAnsi="Arial"/>
          <w:sz w:val="22"/>
        </w:rPr>
        <w:t xml:space="preserve"> </w:t>
      </w:r>
      <w:r>
        <w:rPr>
          <w:rFonts w:ascii="Arial" w:hAnsi="Arial"/>
          <w:i/>
          <w:iCs/>
          <w:sz w:val="22"/>
        </w:rPr>
        <w:t xml:space="preserve">et al.</w:t>
      </w:r>
      <w:r>
        <w:rPr>
          <w:rFonts w:ascii="Arial" w:hAnsi="Arial"/>
          <w:sz w:val="22"/>
        </w:rPr>
        <w:t xml:space="preserve"> </w:t>
      </w:r>
      <w:r>
        <w:rPr>
          <w:rFonts w:ascii="Arial" w:hAnsi="Arial"/>
          <w:b/>
          <w:bCs/>
          <w:sz w:val="22"/>
        </w:rPr>
        <w:t xml:space="preserve">Índice de Progresso Social Brasil 2026: resumo executivo</w:t>
      </w:r>
      <w:r>
        <w:rPr>
          <w:rFonts w:ascii="Arial" w:hAnsi="Arial"/>
          <w:sz w:val="22"/>
        </w:rPr>
        <w:t xml:space="preserve">. Belém: Imazon, 2026. Disponível em: &lt;</w:t>
      </w:r>
      <w:hyperlink r:id="rId171">
        <w:r>
          <w:rPr>
            <w:rStyle w:val="Hyperlink"/>
          </w:rPr>
          <w:t xml:space="preserve">https://imazon.org.br/relatorios/indice-de-progresso-social-brasil-2026</w:t>
        </w:r>
      </w:hyperlink>
      <w:r>
        <w:rPr>
          <w:rFonts w:ascii="Arial" w:hAnsi="Arial"/>
          <w:sz w:val="22"/>
        </w:rPr>
        <w:t xml:space="preserve">&gt;.</w:t>
      </w:r>
    </w:p>
    <w:bookmarkEnd w:id="172"/>
    <w:bookmarkStart w:id="173" w:name="ref-wilson1987"/>
    <w:p>
      <w:pPr>
        <w:pStyle w:val="Bibliography"/>
        <w:spacing w:line="240" w:lineRule="auto" w:before="0" w:after="120"/>
        <w:ind w:firstLine="0" w:left="0"/>
        <w:jc w:val="left"/>
      </w:pPr>
      <w:r>
        <w:rPr>
          <w:rFonts w:ascii="Arial" w:hAnsi="Arial"/>
          <w:sz w:val="22"/>
        </w:rPr>
        <w:t xml:space="preserve">WILSON, William J.</w:t>
      </w:r>
      <w:r>
        <w:rPr>
          <w:rFonts w:ascii="Arial" w:hAnsi="Arial"/>
          <w:sz w:val="22"/>
        </w:rPr>
        <w:t xml:space="preserve"> </w:t>
      </w:r>
      <w:r>
        <w:rPr>
          <w:rFonts w:ascii="Arial" w:hAnsi="Arial"/>
          <w:b/>
          <w:bCs/>
          <w:sz w:val="22"/>
        </w:rPr>
        <w:t xml:space="preserve">The Truly Disadvantaged: The Inner City, the Underclass, and Public Policy</w:t>
      </w:r>
      <w:r>
        <w:rPr>
          <w:rFonts w:ascii="Arial" w:hAnsi="Arial"/>
          <w:sz w:val="22"/>
        </w:rPr>
        <w:t xml:space="preserve">. Chicago: University of Chicago Press, 1987.</w:t>
      </w:r>
    </w:p>
    <w:bookmarkEnd w:id="173"/>
    <w:bookmarkEnd w:id="174"/>
    <w:bookmarkEnd w:id="175"/>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vertAlign w:val="superscript"/>
        </w:rPr>
        <w:footnoteRef/>
      </w:r>
      <w: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t xml:space="preserve"> </w:t>
      </w:r>
      <w:r>
        <w:t xml:space="preserve">(variância entre</w:t>
      </w:r>
      <w:r>
        <w:t xml:space="preserve"> </w:t>
      </w:r>
      <w:r>
        <w:t xml:space="preserve">bairros) e</w:t>
      </w:r>
      <w:r>
        <w:t xml:space="preserve"> </w:t>
      </w:r>
      <m:oMath>
        <m:sSup>
          <m:e>
            <m:acc>
              <m:accPr>
                <m:chr m:val="̂"/>
              </m:accPr>
              <m:e>
                <m:r>
                  <m:t>σ</m:t>
                </m:r>
              </m:e>
            </m:acc>
          </m:e>
          <m:sup>
            <m:r>
              <m:t>2</m:t>
            </m:r>
          </m:sup>
        </m:sSup>
        <m:r>
          <m:rPr>
            <m:sty m:val="p"/>
          </m:rPr>
          <m:t>=</m:t>
        </m:r>
        <m:r>
          <m:t>0</m:t>
        </m:r>
        <m:r>
          <m:rPr>
            <m:sty m:val="p"/>
          </m:rPr>
          <m:t>,</m:t>
        </m:r>
        <m:r>
          <m:t>5524</m:t>
        </m:r>
      </m:oMath>
      <w:r>
        <w:t xml:space="preserve"> </w:t>
      </w:r>
      <w:r>
        <w:t xml:space="preserve">(variância entre pessoas do mesmo bairro), com</w:t>
      </w:r>
      <w:r>
        <w:t xml:space="preserve"> </w:t>
      </w:r>
      <w:r>
        <w:t xml:space="preserve">ICC</w:t>
      </w:r>
      <w: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t xml:space="preserve">.</w:t>
      </w:r>
    </w:p>
  </w:footnote>
  <w:footnote w:id="36">
    <w:p>
      <w:pPr>
        <w:pStyle w:val="FootnoteText"/>
      </w:pPr>
      <w:r>
        <w:rPr>
          <w:rStyle w:val="FootnoteReference"/>
          <w:vertAlign w:val="superscript"/>
        </w:rPr>
        <w:footnoteRef/>
      </w:r>
      <w:r>
        <w:t xml:space="preserve"> </w:t>
      </w:r>
      <w:r>
        <w:t xml:space="preserve">Os modelos têm o logaritmo do rendimento como variável dependente, de modo que o coeficiente está em log-pontos. A variação percentual correspondente é</w:t>
      </w:r>
      <w: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t xml:space="preserve">, e não</w:t>
      </w:r>
      <w:r>
        <w:t xml:space="preserve"> </w:t>
      </w:r>
      <m:oMath>
        <m:acc>
          <m:accPr>
            <m:chr m:val="̂"/>
          </m:accPr>
          <m:e>
            <m:r>
              <m:t>β</m:t>
            </m:r>
          </m:e>
        </m:acc>
        <m:r>
          <m:rPr>
            <m:sty m:val="p"/>
          </m:rPr>
          <m:t>×</m:t>
        </m:r>
        <m:r>
          <m:t>100</m:t>
        </m:r>
      </m:oMath>
      <w:r>
        <w:t xml:space="preserve">: para</w:t>
      </w:r>
      <w:r>
        <w:t xml:space="preserve"> </w:t>
      </w:r>
      <m:oMath>
        <m:acc>
          <m:accPr>
            <m:chr m:val="̂"/>
          </m:accPr>
          <m:e>
            <m:r>
              <m:t>β</m:t>
            </m:r>
          </m:e>
        </m:acc>
        <m:r>
          <m:rPr>
            <m:sty m:val="p"/>
          </m:rPr>
          <m:t>=</m:t>
        </m:r>
        <m:r>
          <m:rPr>
            <m:sty m:val="p"/>
          </m:rPr>
          <m:t>−</m:t>
        </m:r>
        <m:r>
          <m:t>0</m:t>
        </m:r>
        <m:r>
          <m:rPr>
            <m:sty m:val="p"/>
          </m:rPr>
          <m:t>,</m:t>
        </m:r>
        <m:r>
          <m:t>1104</m:t>
        </m:r>
      </m:oMath>
      <w:r>
        <w:t xml:space="preserve">, por exemplo, tem-se</w:t>
      </w:r>
      <w:r>
        <w:t xml:space="preserve"> </w:t>
      </w:r>
      <m:oMath>
        <m:r>
          <m:rPr>
            <m:sty m:val="p"/>
          </m:rPr>
          <m:t>−</m:t>
        </m:r>
        <m:r>
          <m:t>10</m:t>
        </m:r>
        <m:r>
          <m:rPr>
            <m:sty m:val="p"/>
          </m:rPr>
          <m:t>,</m:t>
        </m:r>
        <m:r>
          <m:t>5</m:t>
        </m:r>
        <m:r>
          <m:rPr>
            <m:sty m:val="p"/>
          </m:rPr>
          <m:t>%</m:t>
        </m:r>
      </m:oMath>
      <w:r>
        <w:t xml:space="preserve">, e não</w:t>
      </w:r>
      <w:r>
        <w:t xml:space="preserve"> </w:t>
      </w:r>
      <m:oMath>
        <m:r>
          <m:rPr>
            <m:sty m:val="p"/>
          </m:rPr>
          <m:t>−</m:t>
        </m:r>
        <m:r>
          <m:t>11</m:t>
        </m:r>
        <m:r>
          <m:rPr>
            <m:sty m:val="p"/>
          </m:rPr>
          <m:t>,</m:t>
        </m:r>
        <m:r>
          <m:t>0</m:t>
        </m:r>
        <m:r>
          <m:rPr>
            <m:sty m:val="p"/>
          </m:rPr>
          <m:t>%</m:t>
        </m:r>
      </m:oMath>
      <w:r>
        <w:t xml:space="preserve">. As duas leituras se aproximam quando o coeficiente é pequeno e divergem à medida que ele cresce em módulo; todos os percentuais de gap deste trabalho usam a primeira forma.</w:t>
      </w:r>
    </w:p>
  </w:footnote>
  <w:footnote w:id="37">
    <w:p>
      <w:pPr>
        <w:pStyle w:val="FootnoteText"/>
      </w:pPr>
      <w:r>
        <w:rPr>
          <w:rStyle w:val="FootnoteReference"/>
          <w:vertAlign w:val="superscript"/>
        </w:rPr>
        <w:footnoteRef/>
      </w:r>
      <w: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t xml:space="preserve">, IC 95%: [−0,0679; −0,0658].</w:t>
      </w:r>
    </w:p>
  </w:footnote>
  <w:footnote w:id="38">
    <w:p>
      <w:pPr>
        <w:pStyle w:val="FootnoteText"/>
      </w:pPr>
      <w:r>
        <w:rPr>
          <w:rStyle w:val="FootnoteReference"/>
          <w:vertAlign w:val="superscript"/>
        </w:rPr>
        <w:footnoteRef/>
      </w:r>
      <w:r>
        <w:t xml:space="preserve"> </w:t>
      </w:r>
      <m:oMath>
        <m:sSup>
          <m:e>
            <m:acc>
              <m:accPr>
                <m:chr m:val="̂"/>
              </m:accPr>
              <m:e>
                <m:r>
                  <m:t>τ</m:t>
                </m:r>
              </m:e>
            </m:acc>
          </m:e>
          <m:sup>
            <m:r>
              <m:t>2</m:t>
            </m:r>
          </m:sup>
        </m:sSup>
      </m:oMath>
      <w:r>
        <w:t xml:space="preserve"> </w:t>
      </w:r>
      <w:r>
        <w:t xml:space="preserve">cai de 0,1012 para</w:t>
      </w:r>
      <w:r>
        <w:t xml:space="preserve"> </w:t>
      </w:r>
      <w:r>
        <w:t xml:space="preserve">0,0454; LR</w:t>
      </w:r>
      <w:r>
        <w:t xml:space="preserve"> </w:t>
      </w:r>
      <m:oMath>
        <m:r>
          <m:rPr>
            <m:sty m:val="p"/>
          </m:rPr>
          <m:t>=</m:t>
        </m:r>
      </m:oMath>
      <w:r>
        <w:t xml:space="preserve"> </w:t>
      </w:r>
      <w:r>
        <w:t xml:space="preserve">29.811, 3 g.l.,</w:t>
      </w:r>
      <w:r>
        <w:t xml:space="preserve"> </w:t>
      </w:r>
      <m:oMath>
        <m:r>
          <m:t>p</m:t>
        </m:r>
        <m:r>
          <m:rPr>
            <m:sty m:val="p"/>
          </m:rPr>
          <m:t>&lt;</m:t>
        </m:r>
        <m:r>
          <m:t>0</m:t>
        </m:r>
        <m:r>
          <m:rPr>
            <m:sty m:val="p"/>
          </m:rPr>
          <m:t>,</m:t>
        </m:r>
        <m:r>
          <m:t>001</m:t>
        </m:r>
      </m:oMath>
      <w:r>
        <w:t xml:space="preserve">.</w:t>
      </w:r>
    </w:p>
  </w:footnote>
  <w:footnote w:id="39">
    <w:p>
      <w:pPr>
        <w:pStyle w:val="FootnoteText"/>
      </w:pPr>
      <w:r>
        <w:rPr>
          <w:rStyle w:val="FootnoteReference"/>
          <w:vertAlign w:val="superscript"/>
        </w:rPr>
        <w:footnoteRef/>
      </w:r>
      <w:r>
        <w:t xml:space="preserve"> </w:t>
      </w:r>
      <w:r>
        <w:t xml:space="preserve">IC 95% de</w:t>
      </w:r>
      <w:r>
        <w:t xml:space="preserve"> </w:t>
      </w:r>
      <m:oMath>
        <m:sSubSup>
          <m:e>
            <m:acc>
              <m:accPr>
                <m:chr m:val="̂"/>
              </m:accPr>
              <m:e>
                <m:r>
                  <m:t>β</m:t>
                </m:r>
              </m:e>
            </m:acc>
          </m:e>
          <m:sub>
            <m:r>
              <m:rPr>
                <m:nor/>
                <m:sty m:val="p"/>
              </m:rPr>
              <m:t>negro</m:t>
            </m:r>
          </m:sub>
          <m:sup>
            <m:r>
              <m:t>M</m:t>
            </m:r>
            <m:r>
              <m:t>3</m:t>
            </m:r>
          </m:sup>
        </m:sSubSup>
      </m:oMath>
      <w:r>
        <w:t xml:space="preserve">: [−0,0639; −0,0619]. O ICC cai para 0,076 e os controles acumulados explicam</w:t>
      </w:r>
      <w:r>
        <w:t xml:space="preserve"> </w:t>
      </w:r>
      <w:r>
        <w:t xml:space="preserve">90,1% da variância entre bairros do M0; a escada completa está nas linhas</w:t>
      </w:r>
      <w:r>
        <w:t xml:space="preserve"> </w:t>
      </w:r>
      <w:r>
        <w:t xml:space="preserve">inferiores da Tabela 4.</w:t>
      </w:r>
    </w:p>
  </w:footnote>
  <w:footnote w:id="40">
    <w:p>
      <w:pPr>
        <w:pStyle w:val="FootnoteText"/>
      </w:pPr>
      <w:r>
        <w:rPr>
          <w:rStyle w:val="FootnoteReference"/>
          <w:vertAlign w:val="superscript"/>
        </w:rPr>
        <w:footnoteRef/>
      </w:r>
      <w:r>
        <w:t xml:space="preserve"> </w:t>
      </w:r>
      <w:r>
        <w:t xml:space="preserve">Estimado com</w:t>
      </w:r>
      <w:r>
        <w:t xml:space="preserve"> </w:t>
      </w:r>
      <w:r>
        <w:rPr>
          <w:rStyle w:val="VerbatimChar"/>
        </w:rPr>
        <w:t xml:space="preserve">lme4</w:t>
      </w:r>
      <w:r>
        <w:t xml:space="preserve"> </w:t>
      </w:r>
      <w: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2">
    <w:p>
      <w:pPr>
        <w:pStyle w:val="FootnoteText"/>
      </w:pPr>
      <w:r>
        <w:rPr>
          <w:rStyle w:val="FootnoteReference"/>
          <w:vertAlign w:val="superscript"/>
        </w:rPr>
        <w:footnoteRef/>
      </w:r>
      <w:r>
        <w:t xml:space="preserve"> </w:t>
      </w:r>
      <m:oMath>
        <m:sSubSup>
          <m:e>
            <m:acc>
              <m:accPr>
                <m:chr m:val="̂"/>
              </m:accPr>
              <m:e>
                <m:r>
                  <m:t>τ</m:t>
                </m:r>
              </m:e>
            </m:acc>
          </m:e>
          <m:sub>
            <m:r>
              <m:t>1</m:t>
            </m:r>
          </m:sub>
          <m:sup>
            <m:r>
              <m:t>2</m:t>
            </m:r>
          </m:sup>
        </m:sSubSup>
        <m:r>
          <m:rPr>
            <m:sty m:val="p"/>
          </m:rPr>
          <m:t>=</m:t>
        </m:r>
        <m:r>
          <m:t>0</m:t>
        </m:r>
        <m:r>
          <m:rPr>
            <m:sty m:val="p"/>
          </m:rPr>
          <m:t>,</m:t>
        </m:r>
        <m:r>
          <m:t>0210</m:t>
        </m:r>
      </m:oMath>
      <w:r>
        <w:t xml:space="preserve">, componente de variância da inclinação</w:t>
      </w:r>
      <w:r>
        <w:t xml:space="preserve"> </w:t>
      </w:r>
      <w:r>
        <w:t xml:space="preserve">aleatória de</w:t>
      </w:r>
      <w:r>
        <w:t xml:space="preserve"> </w:t>
      </w:r>
      <w:r>
        <w:rPr>
          <w:rStyle w:val="VerbatimChar"/>
        </w:rPr>
        <w:t xml:space="preserve">negro</w:t>
      </w:r>
      <w:r>
        <w:t xml:space="preserve"> </w:t>
      </w:r>
      <w:r>
        <w:t xml:space="preserve">por UPA.</w:t>
      </w:r>
    </w:p>
  </w:footnote>
  <w:footnote w:id="70">
    <w:p>
      <w:pPr>
        <w:pStyle w:val="FootnoteText"/>
      </w:pPr>
      <w:r>
        <w:rPr>
          <w:rStyle w:val="FootnoteReference"/>
          <w:vertAlign w:val="superscript"/>
        </w:rPr>
        <w:footnoteRef/>
      </w:r>
      <w:r>
        <w:t xml:space="preserve"> </w:t>
      </w:r>
      <w:r>
        <w:rPr>
          <w:rStyle w:val="VerbatimChar"/>
        </w:rPr>
        <w:t xml:space="preserve">lme4::glmer</w:t>
      </w:r>
      <w:r>
        <w:t xml:space="preserve"> </w:t>
      </w:r>
      <w:r>
        <w:t xml:space="preserve">com</w:t>
      </w:r>
      <w:r>
        <w:t xml:space="preserve"> </w:t>
      </w:r>
      <w:r>
        <w:rPr>
          <w:rStyle w:val="VerbatimChar"/>
        </w:rPr>
        <w:t xml:space="preserve">nAGQ = 0</w:t>
      </w:r>
      <w:r>
        <w:t xml:space="preserve"> </w:t>
      </w:r>
      <w:r>
        <w:t xml:space="preserve">— os efeitos fixos são estimados</w:t>
      </w:r>
      <w:r>
        <w:t xml:space="preserve"> </w:t>
      </w:r>
      <w:r>
        <w:t xml:space="preserve">junto com os modos condicionais, aproximação mais rápida que a de Laplace e adequada a</w:t>
      </w:r>
      <w:r>
        <w:t xml:space="preserve"> </w:t>
      </w:r>
      <m:oMath>
        <m:r>
          <m:t>N</m:t>
        </m:r>
      </m:oMath>
      <w:r>
        <w:t xml:space="preserve"> </w:t>
      </w:r>
      <w:r>
        <w:t xml:space="preserve">de milhões —, sobre a população completa.</w:t>
      </w:r>
      <w:r>
        <w:t xml:space="preserve"> </w:t>
      </w:r>
      <w:r>
        <w:t xml:space="preserve">Os degraus são: A1 individual; A2</w:t>
      </w:r>
      <w:r>
        <w:t xml:space="preserve"> </w:t>
      </w:r>
      <m:oMath>
        <m:r>
          <m:rPr>
            <m:sty m:val="p"/>
          </m:rPr>
          <m:t>+</m:t>
        </m:r>
      </m:oMath>
      <w:r>
        <w:t xml:space="preserve"> </w:t>
      </w:r>
      <w:r>
        <w:t xml:space="preserve">contexto do bairro; A3</w:t>
      </w:r>
      <w:r>
        <w:t xml:space="preserve"> </w:t>
      </w:r>
      <m:oMath>
        <m:r>
          <m:rPr>
            <m:sty m:val="p"/>
          </m:rPr>
          <m:t>+</m:t>
        </m:r>
      </m:oMath>
      <w:r>
        <w:t xml:space="preserve"> </w:t>
      </w:r>
      <w:r>
        <w:t xml:space="preserve">vínculo (formalidade,</w:t>
      </w:r>
      <w:r>
        <w:t xml:space="preserve"> </w:t>
      </w:r>
      <w:r>
        <w:t xml:space="preserve">setor público, conta própria, doméstico), que é desfecho da própria discriminação e por</w:t>
      </w:r>
      <w:r>
        <w:t xml:space="preserve"> </w:t>
      </w:r>
      <w:r>
        <w:t xml:space="preserve">isso faz do A3 um limite inferior; A4</w:t>
      </w:r>
      <w:r>
        <w:t xml:space="preserve"> </w:t>
      </w:r>
      <m:oMath>
        <m:r>
          <m:rPr>
            <m:sty m:val="p"/>
          </m:rPr>
          <m:t>+</m:t>
        </m:r>
      </m:oMath>
      <w:r>
        <w:t xml:space="preserve"> </w:t>
      </w:r>
      <w:r>
        <w:t xml:space="preserve">interação</w:t>
      </w:r>
      <w:r>
        <w:t xml:space="preserve"> </w:t>
      </w:r>
      <w:r>
        <w:rPr>
          <w:rStyle w:val="VerbatimChar"/>
        </w:rPr>
        <w:t xml:space="preserve">negro</w:t>
      </w:r>
      <m:oMath>
        <m:r>
          <m:rPr>
            <m:sty m:val="p"/>
          </m:rPr>
          <m:t>×</m:t>
        </m:r>
      </m:oMath>
      <w:r>
        <w:t xml:space="preserve">credencial. A</w:t>
      </w:r>
      <w:r>
        <w:t xml:space="preserve"> </w:t>
      </w:r>
      <w:r>
        <w:t xml:space="preserve">Tabela 7 traz</w:t>
      </w:r>
      <w:r>
        <w:t xml:space="preserve"> </w:t>
      </w:r>
      <w:r>
        <w:t xml:space="preserve">odds ratios</w:t>
      </w:r>
      <w:r>
        <w:t xml:space="preserve">, efeitos marginais, ICC e</w:t>
      </w:r>
      <w:r>
        <w:t xml:space="preserve"> </w:t>
      </w:r>
      <w:r>
        <w:t xml:space="preserve">E-values; a Tabela 8, o ajuste e a classificação.</w:t>
      </w:r>
    </w:p>
  </w:footnote>
  <w:footnote w:id="71">
    <w:p>
      <w:pPr>
        <w:pStyle w:val="FootnoteText"/>
      </w:pPr>
      <w:r>
        <w:rPr>
          <w:rStyle w:val="FootnoteReference"/>
          <w:vertAlign w:val="superscript"/>
        </w:rPr>
        <w:footnoteRef/>
      </w:r>
      <w:r>
        <w:t xml:space="preserve"> </w:t>
      </w:r>
      <w:r>
        <w:t xml:space="preserve">Correlação intraclasse latente do M1:</w:t>
      </w:r>
      <w:r>
        <w:t xml:space="preserve"> </w:t>
      </w:r>
      <w:r>
        <w:t xml:space="preserve">0,087 para o cargo qualificado e 0,221 para o top 10%, com</w:t>
      </w:r>
      <w:r>
        <w:t xml:space="preserve"> </w:t>
      </w:r>
      <w:r>
        <w:t xml:space="preserve">ICC</w:t>
      </w:r>
      <w: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t xml:space="preserve">. O teste de razão de verossimilhança contra o logit sem</w:t>
      </w:r>
      <w:r>
        <w:t xml:space="preserve"> </w:t>
      </w:r>
      <w:r>
        <w:t xml:space="preserve">efeito aleatório dá LR</w:t>
      </w:r>
      <w:r>
        <w:t xml:space="preserve"> </w:t>
      </w:r>
      <m:oMath>
        <m:r>
          <m:rPr>
            <m:sty m:val="p"/>
          </m:rPr>
          <m:t>=</m:t>
        </m:r>
      </m:oMath>
      <w:r>
        <w:t xml:space="preserve"> </w:t>
      </w:r>
      <w:r>
        <w:t xml:space="preserve">77.940 para o cargo e 80.791 para o top 10%</w:t>
      </w:r>
      <w:r>
        <w:t xml:space="preserve"> </w:t>
      </w:r>
      <w:r>
        <w:t xml:space="preserve">(1 g.l.,</w:t>
      </w:r>
      <w:r>
        <w:t xml:space="preserve"> </w:t>
      </w:r>
      <m:oMath>
        <m:r>
          <m:t>p</m:t>
        </m:r>
        <m:r>
          <m:rPr>
            <m:sty m:val="p"/>
          </m:rPr>
          <m:t>&lt;</m:t>
        </m:r>
        <m:r>
          <m:t>0</m:t>
        </m:r>
        <m:r>
          <m:rPr>
            <m:sty m:val="p"/>
          </m:rPr>
          <m:t>,</m:t>
        </m:r>
        <m:r>
          <m:t>001</m:t>
        </m:r>
      </m:oMath>
      <w:r>
        <w:t xml:space="preserve">).</w:t>
      </w:r>
    </w:p>
  </w:footnote>
  <w:footnote w:id="72">
    <w:p>
      <w:pPr>
        <w:pStyle w:val="FootnoteText"/>
      </w:pPr>
      <w:r>
        <w:rPr>
          <w:rStyle w:val="FootnoteReference"/>
          <w:vertAlign w:val="superscript"/>
        </w:rPr>
        <w:footnoteRef/>
      </w:r>
      <w:r>
        <w:t xml:space="preserve"> </w:t>
      </w:r>
      <w:r>
        <w:t xml:space="preserve">IC 95% 0,810–0,818.</w:t>
      </w:r>
      <w:r>
        <w:t xml:space="preserve"> </w:t>
      </w:r>
      <w:r>
        <w:t xml:space="preserve">Odds ratio</w:t>
      </w:r>
      <w:r>
        <w:t xml:space="preserve"> </w:t>
      </w:r>
      <w:r>
        <w:t xml:space="preserve">abaixo de 1 é</w:t>
      </w:r>
      <w:r>
        <w:t xml:space="preserve"> </w:t>
      </w:r>
      <w:r>
        <w:t xml:space="preserve">desvantagem; acima de 1, vantagem.</w:t>
      </w:r>
    </w:p>
  </w:footnote>
  <w:footnote w:id="73">
    <w:p>
      <w:pPr>
        <w:pStyle w:val="FootnoteText"/>
      </w:pPr>
      <w:r>
        <w:rPr>
          <w:rStyle w:val="FootnoteReference"/>
          <w:vertAlign w:val="superscript"/>
        </w:rPr>
        <w:footnoteRef/>
      </w:r>
      <w:r>
        <w:t xml:space="preserve"> </w:t>
      </w:r>
      <w:r>
        <w:t xml:space="preserve">AUC de 0,878 com</w:t>
      </w:r>
      <w:r>
        <w:t xml:space="preserve"> </w:t>
      </w:r>
      <w:r>
        <w:t xml:space="preserve">efeitos aleatórios e 0,870 só com efeitos fixos, para o cargo qualificado;</w:t>
      </w:r>
      <w:r>
        <w:t xml:space="preserve"> </w:t>
      </w:r>
      <w:r>
        <w:t xml:space="preserve">no</w:t>
      </w:r>
      <w:r>
        <w:t xml:space="preserve"> </w:t>
      </w:r>
      <w:r>
        <w:t xml:space="preserve">cutoff</w:t>
      </w:r>
      <w:r>
        <w:t xml:space="preserve"> </w:t>
      </w:r>
      <w:r>
        <w:t xml:space="preserve">de Youden (0,30), sensibilidade 0,79 e</w:t>
      </w:r>
      <w:r>
        <w:t xml:space="preserve"> </w:t>
      </w:r>
      <w:r>
        <w:t xml:space="preserve">especificidade 0,79. O teste de Hosmer–Lemeshow rejeita a calibração</w:t>
      </w:r>
      <w:r>
        <w:t xml:space="preserve"> </w:t>
      </w:r>
      <w:r>
        <w:t xml:space="preserve">perfeita em todos os degraus — inevitável com</w:t>
      </w:r>
      <w:r>
        <w:t xml:space="preserve"> </w:t>
      </w:r>
      <m:oMath>
        <m:r>
          <m:t>N</m:t>
        </m:r>
      </m:oMath>
      <w:r>
        <w:t xml:space="preserve"> </w:t>
      </w:r>
      <w:r>
        <w:t xml:space="preserve">de milhões</w:t>
      </w:r>
      <w:r>
        <w:t xml:space="preserve"> </w:t>
      </w:r>
      <w:r>
        <w:t xml:space="preserve">(Angrist; Pischke, 2009)</w:t>
      </w:r>
      <w:r>
        <w:t xml:space="preserve"> </w:t>
      </w:r>
      <w:r>
        <w:t xml:space="preserve">—,</w:t>
      </w:r>
      <w:r>
        <w:t xml:space="preserve"> </w:t>
      </w:r>
      <w:r>
        <w:t xml:space="preserve">mas a estatística cai 69% no top 20% e 54% no top 10%, embora suba no cargo qualificado ao se acrescentar o vínculo (A3).</w:t>
      </w:r>
    </w:p>
  </w:footnote>
  <w:footnote w:id="90">
    <w:p>
      <w:pPr>
        <w:pStyle w:val="FootnoteText"/>
      </w:pPr>
      <w:r>
        <w:rPr>
          <w:rStyle w:val="FootnoteReference"/>
          <w:vertAlign w:val="superscript"/>
        </w:rPr>
        <w:footnoteRef/>
      </w:r>
      <w:r>
        <w:t xml:space="preserve"> </w:t>
      </w:r>
      <w:r>
        <w:t xml:space="preserve">GLMM de acesso reespecificado com</w:t>
      </w:r>
      <w:r>
        <w:t xml:space="preserve"> </w:t>
      </w:r>
      <w:r>
        <w:rPr>
          <w:rStyle w:val="VerbatimChar"/>
        </w:rPr>
        <w:t xml:space="preserve">grupo_rg</w:t>
      </w:r>
      <w:r>
        <w:t xml:space="preserve"> </w:t>
      </w:r>
      <w:r>
        <w:t xml:space="preserve">(homem branco como</w:t>
      </w:r>
      <w:r>
        <w:t xml:space="preserve"> </w:t>
      </w:r>
      <w:r>
        <w:t xml:space="preserve">referência, mulher branca, homem negro, mulher negra) e a interação</w:t>
      </w:r>
      <w:r>
        <w:t xml:space="preserve"> </w:t>
      </w:r>
      <w:r>
        <w:rPr>
          <w:rStyle w:val="VerbatimChar"/>
        </w:rPr>
        <w:t xml:space="preserve">negro</w:t>
      </w:r>
      <m:oMath>
        <m:r>
          <m:rPr>
            <m:sty m:val="p"/>
          </m:rPr>
          <m:t>×</m:t>
        </m:r>
      </m:oMath>
      <w:r>
        <w:rPr>
          <w:rStyle w:val="VerbatimChar"/>
        </w:rPr>
        <w:t xml:space="preserve">sexo_fem</w:t>
      </w:r>
      <w:r>
        <w:t xml:space="preserve">, em três desfechos: ocupação qualificada (CBO 1–4),</w:t>
      </w:r>
      <w:r>
        <w:t xml:space="preserve"> </w:t>
      </w:r>
      <w:r>
        <w:t xml:space="preserve">renda no top 20% e no top 10%.</w:t>
      </w:r>
    </w:p>
  </w:footnote>
  <w:footnote w:id="96">
    <w:p>
      <w:pPr>
        <w:pStyle w:val="FootnoteText"/>
      </w:pPr>
      <w:r>
        <w:rPr>
          <w:rStyle w:val="FootnoteReference"/>
          <w:vertAlign w:val="superscript"/>
        </w:rPr>
        <w:footnoteRef/>
      </w:r>
      <w:r>
        <w:t xml:space="preserve"> </w:t>
      </w:r>
      <w:r>
        <w:t xml:space="preserve">A interação</w:t>
      </w:r>
      <w:r>
        <w:t xml:space="preserve"> </w:t>
      </w:r>
      <w:r>
        <w:rPr>
          <w:rStyle w:val="VerbatimChar"/>
        </w:rPr>
        <w:t xml:space="preserve">negro</w:t>
      </w:r>
      <m:oMath>
        <m:r>
          <m:rPr>
            <m:sty m:val="p"/>
          </m:rPr>
          <m:t>×</m:t>
        </m:r>
      </m:oMath>
      <w:r>
        <w:rPr>
          <w:rStyle w:val="VerbatimChar"/>
        </w:rPr>
        <w:t xml:space="preserve">sexo_fem</w:t>
      </w:r>
      <w:r>
        <w:t xml:space="preserve"> </w:t>
      </w:r>
      <w:r>
        <w:t xml:space="preserve">é</w:t>
      </w:r>
      <w:r>
        <w:t xml:space="preserve"> </w:t>
      </w:r>
      <w:r>
        <w:t xml:space="preserve">sub-aditiva</w:t>
      </w:r>
      <w:r>
        <w:t xml:space="preserve"> </w:t>
      </w:r>
      <w:r>
        <w:t xml:space="preserve">em todos os desfechos (OR </w:t>
      </w:r>
      <m:oMath>
        <m:r>
          <m:rPr>
            <m:sty m:val="p"/>
          </m:rPr>
          <m:t>=</m:t>
        </m:r>
        <m:r>
          <m:t>1</m:t>
        </m:r>
        <m:r>
          <m:rPr>
            <m:sty m:val="p"/>
          </m:rPr>
          <m:t>,</m:t>
        </m:r>
        <m:r>
          <m:t>10</m:t>
        </m:r>
      </m:oMath>
      <w:r>
        <w:t xml:space="preserve"> </w:t>
      </w:r>
      <w:r>
        <w:t xml:space="preserve">no acesso;</w:t>
      </w:r>
      <w:r>
        <w:t xml:space="preserve"> </w:t>
      </w:r>
      <m:oMath>
        <m:r>
          <m:rPr>
            <m:sty m:val="p"/>
          </m:rPr>
          <m:t>=</m:t>
        </m:r>
        <m:r>
          <m:t>1</m:t>
        </m:r>
        <m:r>
          <m:rPr>
            <m:sty m:val="p"/>
          </m:rPr>
          <m:t>,</m:t>
        </m:r>
        <m:r>
          <m:t>04</m:t>
        </m:r>
      </m:oMath>
      <w:r>
        <w:t xml:space="preserve"> </w:t>
      </w:r>
      <w:r>
        <w:t xml:space="preserve">no top 10%): a penalidade racial é um pouco menor entre</w:t>
      </w:r>
      <w:r>
        <w:t xml:space="preserve"> </w:t>
      </w:r>
      <w:r>
        <w:t xml:space="preserve">mulheres do que entre homens, o que atenua a soma sem desfazê-la.</w:t>
      </w:r>
    </w:p>
  </w:footnote>
  <w:footnote w:id="102">
    <w:p>
      <w:pPr>
        <w:pStyle w:val="FootnoteText"/>
      </w:pPr>
      <w:r>
        <w:rPr>
          <w:rStyle w:val="FootnoteReference"/>
          <w:vertAlign w:val="superscript"/>
        </w:rPr>
        <w:footnoteRef/>
      </w:r>
      <w:r>
        <w:t xml:space="preserve"> </w:t>
      </w:r>
      <w:r>
        <w:t xml:space="preserve">Profundidade 10, com</w:t>
      </w:r>
      <w: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t xml:space="preserve"> </w:t>
      </w:r>
      <w:r>
        <w:t xml:space="preserve">entre os</w:t>
      </w:r>
      <w:r>
        <w:t xml:space="preserve"> </w:t>
      </w:r>
      <w:r>
        <w:t xml:space="preserve">folds</w:t>
      </w:r>
      <w:r>
        <w:t xml:space="preserve">, contra</w:t>
      </w:r>
      <w:r>
        <w:t xml:space="preserve"> </w:t>
      </w:r>
      <w:r>
        <w:t xml:space="preserve">0,6294</w:t>
      </w:r>
      <w:r>
        <w:t xml:space="preserve"> </w:t>
      </w:r>
      <m:oMath>
        <m:r>
          <m:rPr>
            <m:sty m:val="p"/>
          </m:rPr>
          <m:t>±</m:t>
        </m:r>
      </m:oMath>
      <w:r>
        <w:t xml:space="preserve"> </w:t>
      </w:r>
      <w:r>
        <w:t xml:space="preserve">0,0006 da profundidade 6 de referência, sobre</w:t>
      </w:r>
      <w:r>
        <w:t xml:space="preserve"> </w:t>
      </w:r>
      <w:r>
        <w:t xml:space="preserve">6.159.418 observações de treino.</w:t>
      </w:r>
    </w:p>
  </w:footnote>
  <w:footnote w:id="104">
    <w:p>
      <w:pPr>
        <w:pStyle w:val="FootnoteText"/>
      </w:pPr>
      <w:r>
        <w:rPr>
          <w:rStyle w:val="FootnoteReference"/>
          <w:vertAlign w:val="superscript"/>
        </w:rPr>
        <w:footnoteRef/>
      </w:r>
      <w:r>
        <w:t xml:space="preserve"> </w:t>
      </w:r>
      <w:r>
        <w:t xml:space="preserve">População completa,</w:t>
      </w:r>
      <w:r>
        <w:t xml:space="preserve"> </w:t>
      </w:r>
      <m:oMath>
        <m:r>
          <m:t>N</m:t>
        </m:r>
        <m:r>
          <m:rPr>
            <m:sty m:val="p"/>
          </m:rPr>
          <m:t>=</m:t>
        </m:r>
        <m:r>
          <m:t>7.699</m:t>
        </m:r>
        <m:r>
          <m:t>.273</m:t>
        </m:r>
      </m:oMath>
      <w:r>
        <w:t xml:space="preserve">, com 80% para</w:t>
      </w:r>
      <w:r>
        <w:t xml:space="preserve"> </w:t>
      </w:r>
      <w:r>
        <w:t xml:space="preserve">treino e 20% para teste; o mesmo</w:t>
      </w:r>
      <w:r>
        <w:t xml:space="preserve"> </w:t>
      </w:r>
      <w:r>
        <w:t xml:space="preserve">gap</w:t>
      </w:r>
      <w:r>
        <w:t xml:space="preserve"> </w:t>
      </w:r>
      <w:r>
        <w:t xml:space="preserve">aparece no Random Forest.</w:t>
      </w:r>
    </w:p>
  </w:footnote>
  <w:footnote w:id="110">
    <w:p>
      <w:pPr>
        <w:pStyle w:val="FootnoteText"/>
      </w:pPr>
      <w:r>
        <w:rPr>
          <w:rStyle w:val="FootnoteReference"/>
          <w:vertAlign w:val="superscript"/>
        </w:rPr>
        <w:footnoteRef/>
      </w:r>
      <w:r>
        <w:t xml:space="preserve"> </w:t>
      </w:r>
      <w:r>
        <w:t xml:space="preserve">15</w:t>
      </w:r>
      <w:r>
        <w:rPr>
          <w:vertAlign w:val="superscript"/>
        </w:rPr>
        <w:t xml:space="preserve">a</w:t>
      </w:r>
      <w:r>
        <w:t xml:space="preserve"> </w:t>
      </w:r>
      <w:r>
        <w:t xml:space="preserve">de 27 variáveis no modelo sem renda de vizinhança, contra</w:t>
      </w:r>
      <w:r>
        <w:t xml:space="preserve"> </w:t>
      </w:r>
      <w:r>
        <w:t xml:space="preserve">14</w:t>
      </w:r>
      <w:r>
        <w:rPr>
          <w:vertAlign w:val="superscript"/>
        </w:rPr>
        <w:t xml:space="preserve">a</w:t>
      </w:r>
      <w:r>
        <w:t xml:space="preserve"> </w:t>
      </w:r>
      <w:r>
        <w:t xml:space="preserve">de 28 no modelo completo.</w:t>
      </w:r>
    </w:p>
  </w:footnote>
  <w:footnote w:id="111">
    <w:p>
      <w:pPr>
        <w:pStyle w:val="FootnoteText"/>
      </w:pPr>
      <w:r>
        <w:rPr>
          <w:rStyle w:val="FootnoteReference"/>
          <w:vertAlign w:val="superscript"/>
        </w:rPr>
        <w:footnoteRef/>
      </w:r>
      <w:r>
        <w:t xml:space="preserve"> </w:t>
      </w:r>
      <w:r>
        <w:t xml:space="preserve">Contribuição média da variável racial à previsão, com sinal:</w:t>
      </w:r>
      <w:r>
        <w:t xml:space="preserve"> </w:t>
      </w:r>
      <m:oMath>
        <m:r>
          <m:rPr>
            <m:sty m:val="p"/>
          </m:rPr>
          <m:t>−</m:t>
        </m:r>
        <m:r>
          <m:t>0</m:t>
        </m:r>
        <m:r>
          <m:rPr>
            <m:sty m:val="p"/>
          </m:rPr>
          <m:t>,</m:t>
        </m:r>
        <m:r>
          <m:t>0241</m:t>
        </m:r>
      </m:oMath>
      <w:r>
        <w:t xml:space="preserve"> </w:t>
      </w:r>
      <w:r>
        <w:t xml:space="preserve">log-pontos entre os negros e</w:t>
      </w:r>
      <w:r>
        <w:t xml:space="preserve"> </w:t>
      </w:r>
      <m:oMath>
        <m:r>
          <m:rPr>
            <m:sty m:val="p"/>
          </m:rPr>
          <m:t>+</m:t>
        </m:r>
        <m:r>
          <m:t>0</m:t>
        </m:r>
        <m:r>
          <m:rPr>
            <m:sty m:val="p"/>
          </m:rPr>
          <m:t>,</m:t>
        </m:r>
        <m:r>
          <m:t>0299</m:t>
        </m:r>
      </m:oMath>
      <w:r>
        <w:t xml:space="preserve"> </w:t>
      </w:r>
      <w:r>
        <w:t xml:space="preserve">entre os brancos (XGBoost,</w:t>
      </w:r>
      <w:r>
        <w:t xml:space="preserve"> </w:t>
      </w:r>
      <m:oMath>
        <m:sSub>
          <m:e>
            <m:r>
              <m:t>N</m:t>
            </m:r>
          </m:e>
          <m:sub>
            <m:r>
              <m:rPr>
                <m:nor/>
                <m:sty m:val="p"/>
              </m:rPr>
              <m:t>SHAP</m:t>
            </m:r>
          </m:sub>
        </m:sSub>
        <m:r>
          <m:rPr>
            <m:sty m:val="p"/>
          </m:rPr>
          <m:t>=</m:t>
        </m:r>
        <m:r>
          <m:t>50.000</m:t>
        </m:r>
      </m:oMath>
      <w:r>
        <w:t xml:space="preserve">;</w:t>
      </w:r>
      <w:r>
        <w:t xml:space="preserve"> </w:t>
      </w:r>
      <w:r>
        <w:rPr>
          <w:rStyle w:val="VerbatimChar"/>
        </w:rPr>
        <w:t xml:space="preserve">shap_negro_por_grupo.csv</w:t>
      </w:r>
      <w:r>
        <w:t xml:space="preserve">). A média de um</w:t>
      </w:r>
      <w:r>
        <w:t xml:space="preserve"> </w:t>
      </w:r>
      <w:r>
        <w:t xml:space="preserve">grupo mede o desvio em relação à previsão média da base, que mistura os dois; o</w:t>
      </w:r>
      <w:r>
        <w:t xml:space="preserve"> </w:t>
      </w:r>
      <w:r>
        <w:t xml:space="preserve">que corresponde ao coeficiente racial das regressões é o contraste entre elas.</w:t>
      </w:r>
    </w:p>
  </w:footnote>
  <w:footnote w:id="121">
    <w:p>
      <w:pPr>
        <w:pStyle w:val="FootnoteText"/>
      </w:pPr>
      <w:r>
        <w:rPr>
          <w:rStyle w:val="FootnoteReference"/>
          <w:vertAlign w:val="superscript"/>
        </w:rPr>
        <w:footnoteRef/>
      </w:r>
      <w:r>
        <w:t xml:space="preserve"> </w:t>
      </w:r>
      <w:r>
        <w:t xml:space="preserve">Calculado sobre a população completa da PEA com renda positiva. Dos</w:t>
      </w:r>
      <w:r>
        <w:t xml:space="preserve"> </w:t>
      </w:r>
      <m:oMath>
        <m:r>
          <m:t>23</m:t>
        </m:r>
      </m:oMath>
      <w:r>
        <w:t xml:space="preserve"> </w:t>
      </w:r>
      <w:r>
        <w:t xml:space="preserve">preditores analisados, VIF máximo </w:t>
      </w:r>
      <m:oMath>
        <m:r>
          <m:rPr>
            <m:sty m:val="p"/>
          </m:rPr>
          <m:t>=</m:t>
        </m:r>
        <m:r>
          <m:t>2</m:t>
        </m:r>
        <m:r>
          <m:rPr>
            <m:sty m:val="p"/>
          </m:rPr>
          <m:t>,</m:t>
        </m:r>
        <m:r>
          <m:t>66</m:t>
        </m:r>
      </m:oMath>
      <w:r>
        <w:t xml:space="preserve"> </w:t>
      </w:r>
      <w:r>
        <w:t xml:space="preserve">(CBO: Profissionais); 0 variáveis críticas</w:t>
      </w:r>
      <w:r>
        <w:t xml:space="preserve"> </w:t>
      </w:r>
      <w:r>
        <w:t xml:space="preserve">(VIF </w:t>
      </w:r>
      <m:oMath>
        <m:r>
          <m:rPr>
            <m:sty m:val="p"/>
          </m:rPr>
          <m:t>&gt;</m:t>
        </m:r>
        <m:r>
          <m:t>10</m:t>
        </m:r>
      </m:oMath>
      <w:r>
        <w:t xml:space="preserve">); 0 variáveis altas (</w:t>
      </w:r>
      <m:oMath>
        <m:r>
          <m:t>5</m:t>
        </m:r>
      </m:oMath>
      <w:r>
        <w:t xml:space="preserve">–</w:t>
      </w:r>
      <m:oMath>
        <m:r>
          <m:t>10</m:t>
        </m:r>
      </m:oMath>
      <w:r>
        <w:t xml:space="preserve">);</w:t>
      </w:r>
      <w:r>
        <w:t xml:space="preserve"> </w:t>
      </w:r>
      <w:r>
        <w:t xml:space="preserve">6 variáveis moderadas (</w:t>
      </w:r>
      <m:oMath>
        <m:r>
          <m:t>2</m:t>
        </m:r>
      </m:oMath>
      <w:r>
        <w:t xml:space="preserve">–</w:t>
      </w:r>
      <m:oMath>
        <m:r>
          <m:t>5</m:t>
        </m:r>
      </m:oMath>
      <w:r>
        <w:t xml:space="preserve">);</w:t>
      </w:r>
      <w:r>
        <w:t xml:space="preserve"> </w:t>
      </w:r>
      <w:r>
        <w:t xml:space="preserve">17 variáveis baixas (</w:t>
      </w:r>
      <m:oMath>
        <m:r>
          <m:rPr>
            <m:sty m:val="p"/>
          </m:rPr>
          <m:t>&lt;</m:t>
        </m:r>
        <m:r>
          <m:t>2</m:t>
        </m:r>
      </m:oMath>
      <w:r>
        <w:t xml:space="preserve">).</w:t>
      </w:r>
    </w:p>
  </w:footnote>
  <w:footnote w:id="123">
    <w:p>
      <w:pPr>
        <w:pStyle w:val="FootnoteText"/>
      </w:pPr>
      <w:r>
        <w:rPr>
          <w:rStyle w:val="FootnoteReference"/>
          <w:vertAlign w:val="superscript"/>
        </w:rPr>
        <w:footnoteRef/>
      </w:r>
      <w:r>
        <w:t xml:space="preserve"> </w:t>
      </w:r>
      <w:r>
        <w:t xml:space="preserve">Índice de Perda de Qualidade de Vida (IPQV; quanto maior, pior) de 0</w:t>
      </w:r>
      <w:r>
        <w:t xml:space="preserve">,</w:t>
      </w:r>
      <w:r>
        <w:t xml:space="preserve">183 para chefes pretos ou pardos, contra 0</w:t>
      </w:r>
      <w:r>
        <w:t xml:space="preserve">,</w:t>
      </w:r>
      <w:r>
        <w:t xml:space="preserve">122 para brancos; Gini do rendimento domiciliar</w:t>
      </w:r>
      <w:r>
        <w:t xml:space="preserve"> </w:t>
      </w:r>
      <w:r>
        <w:t xml:space="preserve">per capita</w:t>
      </w:r>
      <w:r>
        <w:t xml:space="preserve"> </w:t>
      </w:r>
      <w:r>
        <w:t xml:space="preserve">de 0</w:t>
      </w:r>
      <w:r>
        <w:t xml:space="preserve">,</w:t>
      </w:r>
      <w:r>
        <w:t xml:space="preserve">491 em 2025</w:t>
      </w:r>
      <w:r>
        <w:t xml:space="preserve"> </w:t>
      </w:r>
      <w:r>
        <w:t xml:space="preserve">(IBGE, 2019, 2025)</w:t>
      </w:r>
      <w:r>
        <w:t xml:space="preserve">.</w:t>
      </w:r>
    </w:p>
  </w:footnote>
  <w:footnote w:id="124">
    <w:p>
      <w:pPr>
        <w:pStyle w:val="FootnoteText"/>
      </w:pPr>
      <w:r>
        <w:rPr>
          <w:rStyle w:val="FootnoteReference"/>
          <w:vertAlign w:val="superscript"/>
        </w:rPr>
        <w:footnoteRef/>
      </w:r>
      <w:r>
        <w:t xml:space="preserve"> </w:t>
      </w:r>
      <w:r>
        <w:t xml:space="preserve">O Gini estimado neste trabalho refere-se ao rendimento do trabalho entre ocupados (em torno de 0</w:t>
      </w:r>
      <w:r>
        <w:t xml:space="preserve">,</w:t>
      </w:r>
      <w:r>
        <w:t xml:space="preserve">47), ao passo que o do IBGE é domiciliar</w:t>
      </w:r>
      <w:r>
        <w:t xml:space="preserve"> </w:t>
      </w:r>
      <w:r>
        <w:t xml:space="preserve">per capita</w:t>
      </w:r>
      <w:r>
        <w:t xml:space="preserve"> </w:t>
      </w:r>
      <w:r>
        <w:t xml:space="preserve">e de todas as fontes. Os níveis são próximos, mas as medidas podem divergir em tendência: a alta de 2025 é puxada por renda não-trabalho do topo, que não transita pelo rendimento dos ocupados.</w:t>
      </w:r>
    </w:p>
  </w:footnote>
  <w:footnote w:id="125">
    <w:p>
      <w:pPr>
        <w:pStyle w:val="FootnoteText"/>
      </w:pPr>
      <w:r>
        <w:rPr>
          <w:rStyle w:val="FootnoteReference"/>
          <w:vertAlign w:val="superscript"/>
        </w:rPr>
        <w:footnoteRef/>
      </w:r>
      <w:r>
        <w:t xml:space="preserve"> </w:t>
      </w:r>
      <m:oMath>
        <m:r>
          <m:t>δ</m:t>
        </m:r>
        <m:r>
          <m:rPr>
            <m:sty m:val="p"/>
          </m:rPr>
          <m:t>=</m:t>
        </m:r>
        <m:r>
          <m:t>0</m:t>
        </m:r>
        <m:r>
          <m:rPr>
            <m:sty m:val="p"/>
          </m:rPr>
          <m:t>,</m:t>
        </m:r>
        <m:r>
          <m:t>000928</m:t>
        </m:r>
      </m:oMath>
      <w:r>
        <w:t xml:space="preserve"> </w:t>
      </w:r>
      <w:r>
        <w:t xml:space="preserve">log-ponto por ano, IC 95%</w:t>
      </w:r>
      <w:r>
        <w:t xml:space="preserve"> </w:t>
      </w:r>
      <m:oMath>
        <m:r>
          <m:rPr>
            <m:sty m:val="p"/>
          </m:rPr>
          <m:t>[</m:t>
        </m:r>
        <m:r>
          <m:t>0</m:t>
        </m:r>
        <m:r>
          <m:rPr>
            <m:sty m:val="p"/>
          </m:rPr>
          <m:t>,</m:t>
        </m:r>
        <m:r>
          <m:t>000133</m:t>
        </m:r>
        <m:r>
          <m:rPr>
            <m:sty m:val="p"/>
          </m:rPr>
          <m:t>;</m:t>
        </m:r>
        <m:r>
          <m:t> </m:t>
        </m:r>
        <m:r>
          <m:t>0</m:t>
        </m:r>
        <m:r>
          <m:rPr>
            <m:sty m:val="p"/>
          </m:rPr>
          <m:t>,</m:t>
        </m:r>
        <m:r>
          <m:t>001723</m:t>
        </m:r>
        <m:r>
          <m:rPr>
            <m:sty m:val="p"/>
          </m:rPr>
          <m:t>]</m:t>
        </m:r>
      </m:oMath>
      <w:r>
        <w:t xml:space="preserve">,</w:t>
      </w:r>
      <w:r>
        <w:t xml:space="preserve"> </w:t>
      </w:r>
      <m:oMath>
        <m:r>
          <m:t>p</m:t>
        </m:r>
        <m:r>
          <m:rPr>
            <m:sty m:val="p"/>
          </m:rPr>
          <m:t>=</m:t>
        </m:r>
        <m:r>
          <m:t>0</m:t>
        </m:r>
        <m:r>
          <m:rPr>
            <m:sty m:val="p"/>
          </m:rPr>
          <m:t>,</m:t>
        </m:r>
        <m:r>
          <m:t>027</m:t>
        </m:r>
      </m:oMath>
      <w:r>
        <w:t xml:space="preserve">, por mínimos quadrados ponderados sobre o</w:t>
      </w:r>
      <w:r>
        <w:t xml:space="preserve"> </w:t>
      </w:r>
      <m:oMath>
        <m:sSub>
          <m:e>
            <m:acc>
              <m:accPr>
                <m:chr m:val="̂"/>
              </m:accPr>
              <m:e>
                <m:r>
                  <m:t>β</m:t>
                </m:r>
              </m:e>
            </m:acc>
          </m:e>
          <m:sub>
            <m:r>
              <m:rPr>
                <m:nor/>
                <m:sty m:val="p"/>
              </m:rPr>
              <m:t>negro</m:t>
            </m:r>
          </m:sub>
        </m:sSub>
      </m:oMath>
      <w:r>
        <w:t xml:space="preserve"> </w:t>
      </w:r>
      <w: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4" Type="http://schemas.openxmlformats.org/officeDocument/2006/relationships/image" Target="media/rId74.png"/><Relationship Id="rId58" Type="http://schemas.openxmlformats.org/officeDocument/2006/relationships/image" Target="media/rId58.png"/><Relationship Id="rId64" Type="http://schemas.openxmlformats.org/officeDocument/2006/relationships/image" Target="media/rId64.png"/><Relationship Id="rId84" Type="http://schemas.openxmlformats.org/officeDocument/2006/relationships/image" Target="media/rId84.png"/><Relationship Id="rId92" Type="http://schemas.openxmlformats.org/officeDocument/2006/relationships/image" Target="media/rId92.png"/><Relationship Id="rId43" Type="http://schemas.openxmlformats.org/officeDocument/2006/relationships/image" Target="media/rId43.png"/><Relationship Id="rId51" Type="http://schemas.openxmlformats.org/officeDocument/2006/relationships/image" Target="media/rId51.png"/><Relationship Id="rId47" Type="http://schemas.openxmlformats.org/officeDocument/2006/relationships/image" Target="media/rId47.png"/><Relationship Id="rId106" Type="http://schemas.openxmlformats.org/officeDocument/2006/relationships/image" Target="media/rId106.png"/><Relationship Id="rId112" Type="http://schemas.openxmlformats.org/officeDocument/2006/relationships/image" Target="media/rId112.png"/><Relationship Id="rId115" Type="http://schemas.openxmlformats.org/officeDocument/2006/relationships/image" Target="media/rId115.png"/><Relationship Id="rId146" Type="http://schemas.openxmlformats.org/officeDocument/2006/relationships/hyperlink" Target="https://doi.org/10.1145/2939672.2939785" TargetMode="External"/><Relationship Id="rId171"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46" Type="http://schemas.openxmlformats.org/officeDocument/2006/relationships/hyperlink" Target="https://doi.org/10.1145/2939672.2939785" TargetMode="External"/><Relationship Id="rId171"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2026-10-04T20:40:28Z</dcterms:created>
  <dcterms:modified xsi:type="dcterms:W3CDTF">2026-10-04T20:40:28Z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C:\Users\user\Documents\ProjetoRacismoPNAD\relatorio_tcc.bib</vt:lpwstr>
  </property>
  <property fmtid="{D5CDD505-2E9C-101B-9397-08002B2CF9AE}" pid="3" name="csl">
    <vt:lpwstr>C:\Users\user\Documents\ProjetoRacismoPNAD\tcc\scripts\abnt.csl</vt:lpwstr>
  </property>
</Properties>
</file>