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76.png" ContentType="image/png"/>
  <Override PartName="/word/media/rId82.png" ContentType="image/png"/>
  <Override PartName="/word/media/rId89.png" ContentType="image/png"/>
  <Override PartName="/word/media/rId108.png" ContentType="image/png"/>
  <Override PartName="/word/media/rId41.png" ContentType="image/png"/>
  <Override PartName="/word/media/rId49.png" ContentType="image/png"/>
  <Override PartName="/word/media/rId45.png" ContentType="image/png"/>
  <Override PartName="/word/media/rId61.png" ContentType="image/png"/>
  <Override PartName="/word/media/rId67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</w:t>
      </w:r>
      <w:r>
        <w:t xml:space="preserve">,</w:t>
      </w:r>
      <w:r>
        <w:t xml:space="preserve">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35,3% da variância do log-rendimento está</w:t>
      </w:r>
      <w:r>
        <w:t xml:space="preserve"> </w:t>
      </w:r>
      <w:r>
        <w:t xml:space="preserve">entre bairros e estima que profissionais negros recebem, em média, 10,5% a menos</w:t>
      </w:r>
      <w:r>
        <w:t xml:space="preserve"> </w:t>
      </w:r>
      <w:r>
        <w:t xml:space="preserve">que brancos comparáveis em escolaridade, sexo e idade. Desse diferencial, 39,5%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superior da penalidade</w:t>
      </w:r>
      <w:r>
        <w:t xml:space="preserve"> </w:t>
      </w:r>
      <w:r>
        <w:t xml:space="preserve">direta sob seleção em observáveis — a 6,1%.</w:t>
      </w:r>
    </w:p>
    <w:p>
      <w:pPr>
        <w:pStyle w:val="BodyText"/>
      </w:pPr>
      <w:r>
        <w:t xml:space="preserve">A decomposição de Oaxaca–Blinder atribui 17,9%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15,4%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(26</w:t>
      </w:r>
      <w:r>
        <w:t xml:space="preserve">,</w:t>
      </w:r>
      <w:r>
        <w:t xml:space="preserve">5% no q10) e decresce rumo ao topo (8</w:t>
      </w:r>
      <w:r>
        <w:t xml:space="preserve">,</w:t>
      </w:r>
      <w:r>
        <w:t xml:space="preserve">9% no q90). A desigualdade opera,</w:t>
      </w:r>
      <w:r>
        <w:t xml:space="preserve"> </w:t>
      </w:r>
      <w:r>
        <w:t xml:space="preserve">portanto,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0,814</w:t>
      </w:r>
      <w:r>
        <w:t xml:space="preserve"> </w:t>
      </w:r>
      <w:r>
        <w:t xml:space="preserve">(IC 95% 0,810–0,818) das de brancos do mesmo bairro, que se apertam para</w:t>
      </w:r>
      <w:r>
        <w:t xml:space="preserve"> </w:t>
      </w:r>
      <w:r>
        <w:t xml:space="preserve">0,761 no topo 10% da renda; o E-value de 1,5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35.3%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10.5% less than comparable White workers after controlling for education,</w:t>
      </w:r>
      <w:r>
        <w:t xml:space="preserve"> </w:t>
      </w:r>
      <w:r>
        <w:t xml:space="preserve">sex, and age. Of this differential, 39.5%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6.1%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17.9%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15.4%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(26.5% at q10) and declines toward the top (8.9% at q90). Inequality</w:t>
      </w:r>
      <w:r>
        <w:t xml:space="preserve"> </w:t>
      </w:r>
      <w:r>
        <w:t xml:space="preserve">thus also operates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0.814</w:t>
      </w:r>
      <w:r>
        <w:t xml:space="preserve"> </w:t>
      </w:r>
      <w:r>
        <w:t xml:space="preserve">(95% CI 0.810–0.818) relative to White workers from the same neighbourhood,</w:t>
      </w:r>
      <w:r>
        <w:t xml:space="preserve"> </w:t>
      </w:r>
      <w:r>
        <w:t xml:space="preserve">tightening to 0.761 in the top 10% of income; an E-value of</w:t>
      </w:r>
      <w:r>
        <w:t xml:space="preserve"> </w:t>
      </w:r>
      <w:r>
        <w:t xml:space="preserve">1.5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10,5%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encolhe: 39,5% do gap</w:t>
      </w:r>
      <w:r>
        <w:t xml:space="preserve"> </w:t>
      </w:r>
      <w:r>
        <w:t xml:space="preserve">transita pela segregação residencial. O que resta — 6,1%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19% menor; no décimo</w:t>
      </w:r>
      <w:r>
        <w:t xml:space="preserve"> </w:t>
      </w:r>
      <w:r>
        <w:t xml:space="preserve">superior da renda, 24%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</w:t>
      </w:r>
      <w:r>
        <w:t xml:space="preserve">,</w:t>
      </w:r>
      <w:r>
        <w:t xml:space="preserve">7 milhões de observações em 41.459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15.142/2025 (cotas em concursos federais, sucessora da</w:t>
      </w:r>
      <w:r>
        <w:t xml:space="preserve"> </w:t>
      </w:r>
      <w:r>
        <w:t xml:space="preserve">Lei 12.990/2014)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21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e066d4e2bb493e9c62976aeac10eafdcf5b949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Por que haveria discriminação: as duas teorias</w:t>
      </w:r>
    </w:p>
    <w:p>
      <w:pPr>
        <w:pStyle w:val="FirstParagraph"/>
      </w:pPr>
      <w:r>
        <w:t xml:space="preserve">A economia do trabalho oferece duas explicações concorrentes para um</w:t>
      </w:r>
      <w:r>
        <w:t xml:space="preserve"> </w:t>
      </w:r>
      <w:r>
        <w:t xml:space="preserve">diferencial salarial que sobrevive ao controle de produtividade observável, e</w:t>
      </w:r>
      <w:r>
        <w:t xml:space="preserve"> </w:t>
      </w:r>
      <w:r>
        <w:t xml:space="preserve">elas importam porque implicam políticas 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</w:t>
      </w:r>
      <w:r>
        <w:t xml:space="preserve"> </w:t>
      </w:r>
      <w:r>
        <w:rPr>
          <w:i/>
          <w:iCs/>
        </w:rPr>
        <w:t xml:space="preserve">por preferência</w:t>
      </w:r>
      <w:r>
        <w:t xml:space="preserve">: empregadores,</w:t>
      </w:r>
      <w:r>
        <w:t xml:space="preserve"> </w:t>
      </w:r>
      <w:r>
        <w:t xml:space="preserve">colegas ou clientes têm uma desutilidade em transacionar com o grupo</w:t>
      </w:r>
      <w:r>
        <w:t xml:space="preserve"> </w:t>
      </w:r>
      <w:r>
        <w:t xml:space="preserve">minoritário e, por isso, só o contratam a um salário menor. A previsão desse</w:t>
      </w:r>
      <w:r>
        <w:t xml:space="preserve"> </w:t>
      </w:r>
      <w:r>
        <w:t xml:space="preserve">modelo é que a concorrência erode a discriminação — empresas que discriminam</w:t>
      </w:r>
      <w:r>
        <w:t xml:space="preserve"> </w:t>
      </w:r>
      <w:r>
        <w:t xml:space="preserve">pagam mais caro pela mesma produtividade e tendem a ser expulsas do mercado.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alternativa: a discriminação</w:t>
      </w:r>
      <w:r>
        <w:t xml:space="preserve"> </w:t>
      </w:r>
      <w:r>
        <w:rPr>
          <w:i/>
          <w:iCs/>
        </w:rPr>
        <w:t xml:space="preserve">estatística</w:t>
      </w:r>
      <w:r>
        <w:t xml:space="preserve">,</w:t>
      </w:r>
      <w:r>
        <w:t xml:space="preserve"> </w:t>
      </w:r>
      <w:r>
        <w:t xml:space="preserve">em que o empregador, diante de informação imperfeita sobre a produtividade</w:t>
      </w:r>
      <w:r>
        <w:t xml:space="preserve"> </w:t>
      </w:r>
      <w:r>
        <w:t xml:space="preserve">individual, usa a raça como sinal da média do grupo. Aqui a concorrência não</w:t>
      </w:r>
      <w:r>
        <w:t xml:space="preserve"> </w:t>
      </w:r>
      <w:r>
        <w:t xml:space="preserve">corrige nada; ao contrário, o equilíbrio se autoconfirma, porque o menor retorno</w:t>
      </w:r>
      <w:r>
        <w:t xml:space="preserve"> </w:t>
      </w:r>
      <w:r>
        <w:t xml:space="preserve">esperado desestimula o investimento em qualificação por parte do grupo</w:t>
      </w:r>
      <w:r>
        <w:t xml:space="preserve"> </w:t>
      </w:r>
      <w:r>
        <w:t xml:space="preserve">discriminado.</w:t>
      </w:r>
    </w:p>
    <w:p>
      <w:pPr>
        <w:pStyle w:val="BodyText"/>
      </w:pPr>
      <w:r>
        <w:t xml:space="preserve">A distinção tem consequência direta para a leitura dos resultados deste</w:t>
      </w:r>
      <w:r>
        <w:t xml:space="preserve"> </w:t>
      </w:r>
      <w:r>
        <w:t xml:space="preserve">trabalho. O componente de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da decomposição de Oaxaca–Blinder é</w:t>
      </w:r>
      <w:r>
        <w:t xml:space="preserve"> </w:t>
      </w:r>
      <w:r>
        <w:t xml:space="preserve">compatível com as duas teorias, e os dados observacionais aqui usados não</w:t>
      </w:r>
      <w:r>
        <w:t xml:space="preserve"> </w:t>
      </w:r>
      <w:r>
        <w:t xml:space="preserve">permitem separá-las — uma limitação assumida explicitamente</w:t>
      </w:r>
      <w:r>
        <w:t xml:space="preserve"> </w:t>
      </w:r>
      <w:r>
        <w:t xml:space="preserve">(Seção </w:t>
      </w:r>
      <w:hyperlink w:anchor="sec:conclusao">
        <w:r>
          <w:rPr>
            <w:rStyle w:val="Hyperlink"/>
          </w:rPr>
          <w:t xml:space="preserve">6</w:t>
        </w:r>
      </w:hyperlink>
      <w:r>
        <w:t xml:space="preserve">). O que os dados permitem é testar uma implicação</w:t>
      </w:r>
      <w:r>
        <w:t xml:space="preserve"> </w:t>
      </w:r>
      <w:r>
        <w:t xml:space="preserve">comum às duas: se a barreira opera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ocupações, e</w:t>
      </w:r>
      <w:r>
        <w:t xml:space="preserve"> </w:t>
      </w:r>
      <w:r>
        <w:t xml:space="preserve">não só no preço pago dentro delas, então políticas de qualificação isoladas</w:t>
      </w:r>
      <w:r>
        <w:t xml:space="preserve"> </w:t>
      </w:r>
      <w:r>
        <w:t xml:space="preserve">serão insuficientes sob qualquer das duas hipóteses teóricas.</w:t>
      </w:r>
    </w:p>
    <w:p>
      <w:pPr>
        <w:pStyle w:val="BodyText"/>
      </w:pPr>
      <w:r>
        <w:t xml:space="preserve">A tradição brasileira acrescenta uma terceira leitura.</w:t>
      </w:r>
      <w:r>
        <w:t xml:space="preserve"> </w:t>
      </w:r>
      <w:r>
        <w:t xml:space="preserve">Almeida (2019)</w:t>
      </w:r>
      <w:r>
        <w:t xml:space="preserve"> </w:t>
      </w:r>
      <w:r>
        <w:t xml:space="preserve">argumenta que o racismo não é desvio individual nem falha informacional, mas</w:t>
      </w:r>
      <w:r>
        <w:t xml:space="preserve"> </w:t>
      </w:r>
      <w:r>
        <w:t xml:space="preserve">processo estrutural: as instituições reproduzem a desigualdade racial por</w:t>
      </w:r>
      <w:r>
        <w:t xml:space="preserve"> </w:t>
      </w:r>
      <w:r>
        <w:t xml:space="preserve">mecanismos que independem da intenção dos agentes — o que desloca a pergunta</w:t>
      </w:r>
      <w:r>
        <w:t xml:space="preserve"> </w:t>
      </w:r>
      <w:r>
        <w:t xml:space="preserve">de</w:t>
      </w:r>
      <w:r>
        <w:t xml:space="preserve"> </w:t>
      </w:r>
      <w:r>
        <w:t xml:space="preserve">“quem discrimina”</w:t>
      </w:r>
      <w:r>
        <w:t xml:space="preserve"> </w:t>
      </w:r>
      <w:r>
        <w:t xml:space="preserve">para</w:t>
      </w:r>
      <w:r>
        <w:t xml:space="preserve"> </w:t>
      </w:r>
      <w:r>
        <w:t xml:space="preserve">“que arranjos produzem o resultado desigual”</w:t>
      </w:r>
      <w:r>
        <w:t xml:space="preserve">. É</w:t>
      </w:r>
      <w:r>
        <w:t xml:space="preserve"> </w:t>
      </w:r>
      <w:r>
        <w:t xml:space="preserve">essa leitura que justifica investigar a segregação residencial e a segregação</w:t>
      </w:r>
      <w:r>
        <w:t xml:space="preserve"> </w:t>
      </w:r>
      <w:r>
        <w:t xml:space="preserve">ocupacional como mecanismos, e não como controles.</w:t>
      </w:r>
    </w:p>
    <w:bookmarkEnd w:id="14"/>
    <w:bookmarkStart w:id="15" w:name="X8f48dcd1dff2e71b35b62c21c0808f76080621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documentou, para a década de 1990, que a escolaridade</w:t>
      </w:r>
      <w:r>
        <w:t xml:space="preserve"> </w:t>
      </w:r>
      <w:r>
        <w:t xml:space="preserve">média de trabalhadores negros era de cerca de dois anos a menos que a de</w:t>
      </w:r>
      <w:r>
        <w:t xml:space="preserve"> </w:t>
      </w:r>
      <w:r>
        <w:t xml:space="preserve">brancos e que essa diferença explicava apenas parte do diferencial de</w:t>
      </w:r>
      <w:r>
        <w:t xml:space="preserve"> </w:t>
      </w:r>
      <w:r>
        <w:t xml:space="preserve">rendimentos.</w:t>
      </w:r>
      <w:r>
        <w:t xml:space="preserve"> </w:t>
      </w:r>
      <w:r>
        <w:t xml:space="preserve">Soares (2009)</w:t>
      </w:r>
      <w:r>
        <w:t xml:space="preserve">, cobrindo 1976–2006, estimou por decomposição</w:t>
      </w:r>
      <w:r>
        <w:t xml:space="preserve"> </w:t>
      </w:r>
      <w:r>
        <w:t xml:space="preserve">que em torno de metade do gap racial de rendimentos não era explicada por</w:t>
      </w:r>
      <w:r>
        <w:t xml:space="preserve"> </w:t>
      </w:r>
      <w:r>
        <w:t xml:space="preserve">características observáveis — parcela que sua análise atribui a</w:t>
      </w:r>
      <w:r>
        <w:t xml:space="preserve"> </w:t>
      </w:r>
      <w:r>
        <w:t xml:space="preserve">discriminação salarial e a diferenças de qualidade da educação recebida. Esses</w:t>
      </w:r>
      <w:r>
        <w:t xml:space="preserve"> </w:t>
      </w:r>
      <w:r>
        <w:t xml:space="preserve">são os parâmetros de referência com que os resultados deste trabalho dialogam</w:t>
      </w:r>
      <w:r>
        <w:t xml:space="preserve"> </w:t>
      </w:r>
      <w:r>
        <w:t xml:space="preserve">na Seção </w:t>
      </w:r>
      <w:hyperlink w:anchor="sec:discussao">
        <w:r>
          <w:rPr>
            <w:rStyle w:val="Hyperlink"/>
          </w:rPr>
          <w:t xml:space="preserve">5</w:t>
        </w:r>
      </w:hyperlink>
      <w:r>
        <w:t xml:space="preserve">; a comparação exige cautela, porque a magnitude do</w:t>
      </w:r>
      <w:r>
        <w:t xml:space="preserve"> </w:t>
      </w:r>
      <w:r>
        <w:t xml:space="preserve">componente não explicado depende de quais controles se tratam como dotações</w:t>
      </w:r>
      <w:r>
        <w:t xml:space="preserve"> </w:t>
      </w:r>
      <w:r>
        <w:t xml:space="preserve">(ver Seção </w:t>
      </w:r>
      <w:hyperlink w:anchor="subsec:oaxaca_metodo">
        <w:r>
          <w:rPr>
            <w:rStyle w:val="Hyperlink"/>
          </w:rPr>
          <w:t xml:space="preserve">3.3</w:t>
        </w:r>
      </w:hyperlink>
      <w:r>
        <w:t xml:space="preserve">).</w:t>
      </w:r>
    </w:p>
    <w:bookmarkEnd w:id="15"/>
    <w:bookmarkStart w:id="16" w:name="Xa0acc39481cd79e9e5afa2c41be7694e900c3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6"/>
    <w:bookmarkStart w:id="17" w:name="X1ddc427d24c2d4d60b641d38f5b2ff38c0d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7"/>
    <w:bookmarkStart w:id="18" w:name="X34225201ea8f5e8d3f4e0c4b62c65fc0454df59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Decomposições salariais e a distribuição do gap</w:t>
      </w:r>
    </w:p>
    <w:p>
      <w:pPr>
        <w:pStyle w:val="FirstParagraph"/>
      </w:pPr>
      <w:r>
        <w:t xml:space="preserve">O instrumental que separa</w:t>
      </w:r>
      <w:r>
        <w:t xml:space="preserve"> </w:t>
      </w:r>
      <w:r>
        <w:t xml:space="preserve">“ter 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</w:t>
      </w:r>
      <w:r>
        <w:t xml:space="preserve"> </w:t>
      </w:r>
      <w:r>
        <w:t xml:space="preserve">preços diferentes”</w:t>
      </w:r>
      <w:r>
        <w:t xml:space="preserve"> </w:t>
      </w:r>
      <w:r>
        <w:t xml:space="preserve">vem de</w:t>
      </w:r>
      <w:r>
        <w:t xml:space="preserve"> </w:t>
      </w:r>
      <w:r>
        <w:t xml:space="preserve">Oaxaca (1973)</w:t>
      </w:r>
      <w:r>
        <w:t xml:space="preserve"> </w:t>
      </w:r>
      <w:r>
        <w:t xml:space="preserve">e</w:t>
      </w:r>
      <w:r>
        <w:t xml:space="preserve"> </w:t>
      </w:r>
      <w:r>
        <w:t xml:space="preserve">Blinder (1973)</w:t>
      </w:r>
      <w:r>
        <w:t xml:space="preserve">, que</w:t>
      </w:r>
      <w:r>
        <w:t xml:space="preserve"> </w:t>
      </w:r>
      <w:r>
        <w:t xml:space="preserve">propuseram, de forma independente, decompor a diferença de médias entre dois</w:t>
      </w:r>
      <w:r>
        <w:t xml:space="preserve"> </w:t>
      </w:r>
      <w:r>
        <w:t xml:space="preserve">grupos em uma parcela de</w:t>
      </w:r>
      <w:r>
        <w:t xml:space="preserve"> </w:t>
      </w:r>
      <w:r>
        <w:rPr>
          <w:i/>
          <w:iCs/>
        </w:rPr>
        <w:t xml:space="preserve">dotações</w:t>
      </w:r>
      <w:r>
        <w:t xml:space="preserve"> </w:t>
      </w:r>
      <w:r>
        <w:t xml:space="preserve">— atribuível a diferenças nas</w:t>
      </w:r>
      <w:r>
        <w:t xml:space="preserve"> </w:t>
      </w:r>
      <w:r>
        <w:t xml:space="preserve">características observáveis — e outra de</w:t>
      </w:r>
      <w:r>
        <w:t xml:space="preserve"> </w:t>
      </w:r>
      <w:r>
        <w:rPr>
          <w:i/>
          <w:iCs/>
        </w:rPr>
        <w:t xml:space="preserve">retornos</w:t>
      </w:r>
      <w:r>
        <w:t xml:space="preserve">, atribuível a</w:t>
      </w:r>
      <w:r>
        <w:t xml:space="preserve"> </w:t>
      </w:r>
      <w:r>
        <w:t xml:space="preserve">diferenças nos coeficientes com que essas características são remuneradas.</w:t>
      </w:r>
      <w:r>
        <w:t xml:space="preserve"> </w:t>
      </w:r>
      <w:r>
        <w:t xml:space="preserve">Oaxaca; Ransom (1999)</w:t>
      </w:r>
      <w:r>
        <w:t xml:space="preserve"> </w:t>
      </w:r>
      <w:r>
        <w:t xml:space="preserve">mostraram, porém, que a repartição não é única: ela</w:t>
      </w:r>
      <w:r>
        <w:t xml:space="preserve"> </w:t>
      </w:r>
      <w:r>
        <w:t xml:space="preserve">depende de quais variáveis se admite como dotação. Tratar a ocupação como</w:t>
      </w:r>
      <w:r>
        <w:t xml:space="preserve"> </w:t>
      </w:r>
      <w:r>
        <w:t xml:space="preserve">característica do trabalhador desloca para a parcela explicada toda a</w:t>
      </w:r>
      <w:r>
        <w:t xml:space="preserve"> </w:t>
      </w:r>
      <w:r>
        <w:t xml:space="preserve">desigualdade que opera pela porta de entrada da ocupação — razão pela qual</w:t>
      </w:r>
      <w:r>
        <w:t xml:space="preserve"> </w:t>
      </w:r>
      <w:r>
        <w:t xml:space="preserve">este trabalho reporta as duas especificações lado a lado.</w:t>
      </w:r>
    </w:p>
    <w:p>
      <w:pPr>
        <w:pStyle w:val="BodyText"/>
      </w:pPr>
      <w:r>
        <w:t xml:space="preserve">A decomposição de médias, contudo, descreve apenas o trabalhador médio.</w:t>
      </w:r>
      <w:r>
        <w:t xml:space="preserve"> </w:t>
      </w:r>
      <w:r>
        <w:t xml:space="preserve">Koenker; Bassett (1978)</w:t>
      </w:r>
      <w:r>
        <w:t xml:space="preserve"> </w:t>
      </w:r>
      <w:r>
        <w:t xml:space="preserve">introduziram a regressão quantílica, que estima o efeito</w:t>
      </w:r>
      <w:r>
        <w:t xml:space="preserve"> </w:t>
      </w:r>
      <w:r>
        <w:t xml:space="preserve">de um regressor em cada ponto da distribuição condicional e permite verificar</w:t>
      </w:r>
      <w:r>
        <w:t xml:space="preserve"> </w:t>
      </w:r>
      <w:r>
        <w:t xml:space="preserve">se a penalidade racial é uniforme ou se cresce rumo ao topo — a formulação</w:t>
      </w:r>
      <w:r>
        <w:t xml:space="preserve"> </w:t>
      </w:r>
      <w:r>
        <w:t xml:space="preserve">estatística do teto de vidro.</w:t>
      </w:r>
      <w:r>
        <w:t xml:space="preserve"> </w:t>
      </w:r>
      <w:r>
        <w:t xml:space="preserve">Firpo; Fortin; Lemieux (2018)</w:t>
      </w:r>
      <w:r>
        <w:t xml:space="preserve"> </w:t>
      </w:r>
      <w:r>
        <w:t xml:space="preserve">estenderam a decomposição para</w:t>
      </w:r>
      <w:r>
        <w:t xml:space="preserve"> </w:t>
      </w:r>
      <w:r>
        <w:t xml:space="preserve">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por meio de regressões da função de influência</w:t>
      </w:r>
      <w:r>
        <w:t xml:space="preserve"> </w:t>
      </w:r>
      <w:r>
        <w:t xml:space="preserve">recentrada (RIF), respondendo a uma pergunta distinta: de que é feito o gap em</w:t>
      </w:r>
      <w:r>
        <w:t xml:space="preserve"> </w:t>
      </w:r>
      <w:r>
        <w:t xml:space="preserve">um dado ponto da distribuição de renda do país, e não da distribuição</w:t>
      </w:r>
      <w:r>
        <w:t xml:space="preserve"> </w:t>
      </w:r>
      <w:r>
        <w:t xml:space="preserve">condicional a um perfil. As duas leituras são complementares e, como se verá,</w:t>
      </w:r>
      <w:r>
        <w:t xml:space="preserve"> </w:t>
      </w:r>
      <w:r>
        <w:t xml:space="preserve">apontam para padrões aparentemente opostos que descrevem o mesmo fenômeno</w:t>
      </w:r>
      <w:r>
        <w:t xml:space="preserve"> </w:t>
      </w:r>
      <w:r>
        <w:t xml:space="preserve">(Seção </w:t>
      </w:r>
      <w:hyperlink w:anchor="subsec:qr_rif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18"/>
    <w:bookmarkStart w:id="19" w:name="interseccionalidad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Interseccionalidade</w:t>
      </w:r>
    </w:p>
    <w:p>
      <w:pPr>
        <w:pStyle w:val="FirstParagraph"/>
      </w:pPr>
      <w:r>
        <w:t xml:space="preserve">Crenshaw (1989)</w:t>
      </w:r>
      <w:r>
        <w:t xml:space="preserve"> </w:t>
      </w:r>
      <w:r>
        <w:t xml:space="preserve">cunhou o conceito de interseccionalidade a partir da</w:t>
      </w:r>
      <w:r>
        <w:t xml:space="preserve"> </w:t>
      </w:r>
      <w:r>
        <w:t xml:space="preserve">constatação de que a experiência de mulheres negras não é descrita pela soma</w:t>
      </w:r>
      <w:r>
        <w:t xml:space="preserve"> </w:t>
      </w:r>
      <w:r>
        <w:t xml:space="preserve">das categorias</w:t>
      </w:r>
      <w:r>
        <w:t xml:space="preserve"> </w:t>
      </w:r>
      <w:r>
        <w:t xml:space="preserve">“mulher”</w:t>
      </w:r>
      <w:r>
        <w:t xml:space="preserve"> </w:t>
      </w:r>
      <w:r>
        <w:t xml:space="preserve">e</w:t>
      </w:r>
      <w:r>
        <w:t xml:space="preserve"> </w:t>
      </w:r>
      <w:r>
        <w:t xml:space="preserve">“negra”</w:t>
      </w:r>
      <w:r>
        <w:t xml:space="preserve">: há um efeito próprio da posição na</w:t>
      </w:r>
      <w:r>
        <w:t xml:space="preserve"> </w:t>
      </w:r>
      <w:r>
        <w:t xml:space="preserve">interseção dos eixos, que análises que tratam raça e gênero separadamente não</w:t>
      </w:r>
      <w:r>
        <w:t xml:space="preserve"> </w:t>
      </w:r>
      <w:r>
        <w:t xml:space="preserve">capturam. Empiricamente, isso implica testar se o diferencial do grupo excede a</w:t>
      </w:r>
      <w:r>
        <w:t xml:space="preserve"> </w:t>
      </w:r>
      <w:r>
        <w:t xml:space="preserve">soma dos diferenciais isolados — e, portanto, se políticas desenhadas para um</w:t>
      </w:r>
      <w:r>
        <w:t xml:space="preserve"> </w:t>
      </w:r>
      <w:r>
        <w:t xml:space="preserve">eixo de cada vez deixam de fora justamente quem está na interseção.</w:t>
      </w:r>
    </w:p>
    <w:bookmarkEnd w:id="19"/>
    <w:bookmarkStart w:id="20" w:name="Xe3429e2996bcc4098ba03776623ee9f18b9c274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20"/>
    <w:bookmarkEnd w:id="21"/>
    <w:bookmarkStart w:id="32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3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7.699.278 possuem renda positiva</w:t>
      </w:r>
      <w:r>
        <w:t xml:space="preserve"> </w:t>
      </w:r>
      <w:r>
        <w:t xml:space="preserve">declarada e completude nas variáveis do modelo. Como cada método exige um conjunto um pouco</w:t>
      </w:r>
      <w:r>
        <w:t xml:space="preserve"> </w:t>
      </w:r>
      <w:r>
        <w:t xml:space="preserve">diferente de variáveis,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efetivo varia pouco entre eles: 7.694.080 no HLM,</w:t>
      </w:r>
      <w:r>
        <w:t xml:space="preserve"> </w:t>
      </w:r>
      <w:r>
        <w:t xml:space="preserve">7.699.273 no GLMM, 7.699.278 na Oaxaca–Blinder e 7.699.273 no aprendizado de máquina</w:t>
      </w:r>
      <w:r>
        <w:t xml:space="preserve"> </w:t>
      </w:r>
      <w:r>
        <w:t xml:space="preserve">(treino e teste somados). Pelo mesmo motivo o número de bairros varia —</w:t>
      </w:r>
      <w:r>
        <w:t xml:space="preserve"> </w:t>
      </w:r>
      <w:r>
        <w:t xml:space="preserve">41.459 na Oaxaca–Blinder e 41.454 no modelo de acesso —, e o HLM</w:t>
      </w:r>
      <w:r>
        <w:t xml:space="preserve"> </w:t>
      </w:r>
      <w:r>
        <w:t xml:space="preserve">usa 40.728, porque exclui as UPAs com menos de dez observações para estimar a</w:t>
      </w:r>
      <w:r>
        <w:t xml:space="preserve"> </w:t>
      </w:r>
      <w:r>
        <w:t xml:space="preserve">variância entre bairros com estabilidade.</w:t>
      </w:r>
    </w:p>
    <w:p>
      <w:pPr>
        <w:pStyle w:val="BodyText"/>
      </w:pPr>
      <w:r>
        <w:t xml:space="preserve">O desfecho de rendimento é o</w:t>
      </w:r>
      <w:r>
        <w:t xml:space="preserve"> </w:t>
      </w:r>
      <w:r>
        <w:rPr>
          <w:b/>
          <w:bCs/>
        </w:rPr>
        <w:t xml:space="preserve">rendimento mensal efetivo de todos os</w:t>
      </w:r>
      <w:r>
        <w:rPr>
          <w:b/>
          <w:bCs/>
        </w:rPr>
        <w:t xml:space="preserve"> </w:t>
      </w:r>
      <w:r>
        <w:rPr>
          <w:b/>
          <w:bCs/>
        </w:rPr>
        <w:t xml:space="preserve">trabalhos</w:t>
      </w:r>
      <w:r>
        <w:t xml:space="preserve"> </w:t>
      </w:r>
      <w:r>
        <w:t xml:space="preserve">(VD4020), em logaritmo, convertido para reais constantes do 2º trimestre</w:t>
      </w:r>
      <w:r>
        <w:t xml:space="preserve"> </w:t>
      </w:r>
      <w:r>
        <w:t xml:space="preserve">de 2026 pelo deflator oficial da PNAD Contínua (IBGE), que varia por UF e trimestre;</w:t>
      </w:r>
      <w:r>
        <w:t xml:space="preserve"> </w:t>
      </w:r>
      <w:r>
        <w:t xml:space="preserve">como a deflação não remove choques comuns a cada ano, todos os modelos incluem ainda</w:t>
      </w:r>
      <w:r>
        <w:t xml:space="preserve"> </w:t>
      </w:r>
      <w:r>
        <w:t xml:space="preserve">efeitos fixos de ano. A unidade importa para ler os controles: como</w:t>
      </w:r>
      <w:r>
        <w:t xml:space="preserve"> </w:t>
      </w:r>
      <w:r>
        <w:t xml:space="preserve">o rendimento é mensal e não por hora, a jornada</w:t>
      </w:r>
      <w:r>
        <w:t xml:space="preserve"> </w:t>
      </w:r>
      <w:r>
        <w:rPr>
          <w:i/>
          <w:iCs/>
        </w:rPr>
        <w:t xml:space="preserve">habitual</w:t>
      </w:r>
      <w:r>
        <w:t xml:space="preserve"> </w:t>
      </w:r>
      <w:r>
        <w:t xml:space="preserve">(VD4031) entra como</w:t>
      </w:r>
      <w:r>
        <w:t xml:space="preserve"> </w:t>
      </w:r>
      <w:r>
        <w:t xml:space="preserve">controle necessário — sem ela, compara-se o rendimento de quem trabalha meio período com</w:t>
      </w:r>
      <w:r>
        <w:t xml:space="preserve"> </w:t>
      </w:r>
      <w:r>
        <w:t xml:space="preserve">o de quem trabalha jornada integral e atribui-se a diferença à raça.</w:t>
      </w:r>
    </w:p>
    <w:p>
      <w:pPr>
        <w:pStyle w:val="BodyText"/>
      </w:pPr>
      <w:r>
        <w:t xml:space="preserve">A escolaridade vem da VD3004 (nível de instrução mais elevado alcançado, harmonizado</w:t>
      </w:r>
      <w:r>
        <w:t xml:space="preserve"> </w:t>
      </w:r>
      <w:r>
        <w:t xml:space="preserve">pelo IBGE) e entra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rPr>
          <w:i/>
          <w:iCs/>
        </w:rPr>
        <w:t xml:space="preserve">cumulativas</w:t>
      </w:r>
      <w:r>
        <w:t xml:space="preserve"> </w:t>
      </w:r>
      <w:r>
        <w:t xml:space="preserve">de conclusão de ciclo</w:t>
      </w:r>
      <w:r>
        <w:t xml:space="preserve"> </w:t>
      </w:r>
      <w:r>
        <w:t xml:space="preserve">— fundamental completo ou mais, médio completo ou mais, superior completo ou mais e</w:t>
      </w:r>
      <w:r>
        <w:t xml:space="preserve"> </w:t>
      </w:r>
      <w:r>
        <w:t xml:space="preserve">pós-graduação (superior completo cujo curso mais elevado frequentado, V3009A, é</w:t>
      </w:r>
      <w:r>
        <w:t xml:space="preserve"> </w:t>
      </w:r>
      <w:r>
        <w:t xml:space="preserve">especialização, mestrado ou doutorado). Cada coeficiente é, assim, o ganho marginal de</w:t>
      </w:r>
      <w:r>
        <w:t xml:space="preserve"> </w:t>
      </w:r>
      <w:r>
        <w:t xml:space="preserve">completar o ciclo seguinte, e a variável cobre toda a população analisada.</w:t>
      </w:r>
    </w:p>
    <w:p>
      <w:pPr>
        <w:pStyle w:val="BodyText"/>
      </w:pPr>
      <w:r>
        <w:rPr>
          <w:b/>
          <w:bCs/>
        </w:rPr>
        <w:t xml:space="preserve">O que é a UPA e por que este trabalho a chama de bairro.</w:t>
      </w:r>
      <w:r>
        <w:t xml:space="preserve"> </w:t>
      </w:r>
      <w:r>
        <w:t xml:space="preserve">A Unidade Primária de Amostragem (UPA)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é um recorte criado para este trabalho: é</w:t>
      </w:r>
      <w:r>
        <w:t xml:space="preserve"> </w:t>
      </w:r>
      <w:r>
        <w:t xml:space="preserve">a unidade do desenho amostral da própria PNAD Contínua</w:t>
      </w:r>
      <w:r>
        <w:t xml:space="preserve"> </w:t>
      </w:r>
      <w:r>
        <w:t xml:space="preserve">(IBGE, 2023)</w:t>
      </w:r>
      <w:r>
        <w:t xml:space="preserve">. Em cada estrato,</w:t>
      </w:r>
      <w:r>
        <w:t xml:space="preserve"> </w:t>
      </w:r>
      <w:r>
        <w:t xml:space="preserve">o IBGE sorteia setores censitários — ou pequenos conjuntos de setores vizinhos, quando um</w:t>
      </w:r>
      <w:r>
        <w:t xml:space="preserve"> </w:t>
      </w:r>
      <w:r>
        <w:t xml:space="preserve">setor tem poucos domicílios — e, dentro de cada um, um grupo de domicílios que é entrevistado</w:t>
      </w:r>
      <w:r>
        <w:t xml:space="preserve"> </w:t>
      </w:r>
      <w:r>
        <w:t xml:space="preserve">em cinco trimestres consecutivos. O código da UPA vem no microdado público (variável</w:t>
      </w:r>
      <w:r>
        <w:t xml:space="preserve"> </w:t>
      </w:r>
      <w:r>
        <w:rPr>
          <w:rStyle w:val="VerbatimChar"/>
        </w:rPr>
        <w:t xml:space="preserve">UPA</w:t>
      </w:r>
      <w:r>
        <w:t xml:space="preserve">), e é isso que permite saber quais entrevistados moram perto uns dos outros. Como</w:t>
      </w:r>
      <w:r>
        <w:t xml:space="preserve"> </w:t>
      </w:r>
      <w:r>
        <w:t xml:space="preserve">o setor censitário reúne algumas centenas de domicílios contíguos, a UPA é a menor unidade</w:t>
      </w:r>
      <w:r>
        <w:t xml:space="preserve"> </w:t>
      </w:r>
      <w:r>
        <w:t xml:space="preserve">territorial que a PNAD identifica e a mais próxima da ideia de vizinhança; por isso, ao longo</w:t>
      </w:r>
      <w:r>
        <w:t xml:space="preserve"> </w:t>
      </w:r>
      <w:r>
        <w:t xml:space="preserve">do texto, ela é chamada de</w:t>
      </w:r>
      <w:r>
        <w:t xml:space="preserve"> </w:t>
      </w:r>
      <w:r>
        <w:rPr>
          <w:i/>
          <w:iCs/>
        </w:rPr>
        <w:t xml:space="preserve">bairro</w:t>
      </w:r>
      <w:r>
        <w:t xml:space="preserve">. A correspondência é aproximada, e convém dizê-lo:</w:t>
      </w:r>
      <w:r>
        <w:t xml:space="preserve"> </w:t>
      </w:r>
      <w:r>
        <w:t xml:space="preserve">a UPA costuma ser menor que um bairro administrativo de cidade grande e, na zona rural, pode</w:t>
      </w:r>
      <w:r>
        <w:t xml:space="preserve"> </w:t>
      </w:r>
      <w:r>
        <w:t xml:space="preserve">cobrir uma área extensa. Onde a precisão técnica importa — equações do modelo, componentes de</w:t>
      </w:r>
      <w:r>
        <w:t xml:space="preserve"> </w:t>
      </w:r>
      <w:r>
        <w:t xml:space="preserve">variância, erros-padrão agrupados —, o texto usa UPA; no restante, bairro.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−1,17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(0,42). É esse desequilíbrio que o nível 2 do modelo hierárquico absorve.</w:t>
      </w:r>
      <w:r>
        <w:t xml:space="preserve"> </w:t>
      </w:r>
      <w:r>
        <w:t xml:space="preserve">O suporte comum é amplo: 97,2%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2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3.271.443 brancos e 4.427.835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9.278; 3.271.443 brancos e 4.427.835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</w:t>
            </w:r>
          </w:p>
        </w:tc>
      </w:tr>
    </w:tbl>
    <w:bookmarkEnd w:id="22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97,2%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3"/>
    <w:bookmarkStart w:id="24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(H1)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</w:t>
      </w:r>
      <w:r>
        <w:t xml:space="preserve"> </w:t>
      </w:r>
      <w:r>
        <w:t xml:space="preserve">grupo CBO), e o termo de erro é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intraclasse, calculada por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30182</m:t>
        </m:r>
      </m:oMath>
      <w:r>
        <w:t xml:space="preserve"> </w:t>
      </w:r>
      <w:r>
        <w:t xml:space="preserve">por ML e 0,30182 por REML;</w:t>
      </w:r>
      <w:r>
        <w:t xml:space="preserve"> </w:t>
      </w:r>
      <w:r>
        <w:t xml:space="preserve">ICC idêntico até a quarta casa).</w:t>
      </w:r>
    </w:p>
    <w:bookmarkEnd w:id="24"/>
    <w:bookmarkStart w:id="25" w:name="subsec:oaxaca_metodo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rPr>
          <w:i/>
          <w:iCs/>
        </w:rPr>
        <w:t xml:space="preserve">twofold</w:t>
      </w:r>
      <w:r>
        <w:t xml:space="preserve"> </w:t>
      </w:r>
      <w:r>
        <w:t xml:space="preserve">(Blinder, 1973; Oaxaca, 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capital humano, jornada, área urbana, contexto de bairro e efeitos fixos de UF —</w:t>
      </w:r>
      <w:r>
        <w:t xml:space="preserve"> </w:t>
      </w:r>
      <w:r>
        <w:t xml:space="preserve">os controles do HLM M3 —, comparável à literatura; e (B) acrescentando formalidade e</w:t>
      </w:r>
      <w:r>
        <w:t xml:space="preserve"> </w:t>
      </w:r>
      <w:r>
        <w:t xml:space="preserve">grupo ocupacional como dotações (os controles do M4).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5"/>
    <w:bookmarkStart w:id="26" w:name="regressão-quantílica-e-decomposição-rif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seis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compara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— os mesmos extremos da decomposição RIF —; 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é apenas descritivo. Ele usa</w:t>
      </w:r>
      <w:r>
        <w:t xml:space="preserve"> </w:t>
      </w:r>
      <w:r>
        <w:t xml:space="preserve">bootstrap</w:t>
      </w:r>
      <w:r>
        <w:t xml:space="preserve"> </w:t>
      </w:r>
      <w:r>
        <w:rPr>
          <w:i/>
          <w:iCs/>
        </w:rP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41.459 UPAs a cada</w:t>
      </w:r>
      <w:r>
        <w:t xml:space="preserve"> </w:t>
      </w:r>
      <w:r>
        <w:t xml:space="preserve">réplica seria proibitivo com 7</w:t>
      </w:r>
      <w:r>
        <w:t xml:space="preserve">,</w:t>
      </w:r>
      <w:r>
        <w:t xml:space="preserve">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6"/>
    <w:bookmarkStart w:id="27" w:name="modelo-logístico-multinível-de-acesso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7"/>
    <w:bookmarkStart w:id="28" w:name="sensibilidade-a-variáveis-omitida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rPr>
          <w:i/>
          <w:iCs/>
        </w:rP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8"/>
    <w:bookmarkStart w:id="30" w:name="subsec:inferencia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(41.459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0,0005 (convencional) para 0,0009 (agrupado por UPA) e 0,0033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4,1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20,1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19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-0,0630 (MQO equivalente, sem pesos) para -0,0575 (gap de 6,1% para 5,6%), diferença sem relevância econômica; os demais resultados são não ponderados.</w:t>
      </w:r>
    </w:p>
    <w:p>
      <w:pPr>
        <w:pStyle w:val="BodyText"/>
      </w:pPr>
      <w:r>
        <w:rPr>
          <w:b/>
          <w:bCs/>
        </w:rPr>
        <w:t xml:space="preserve">O conjunto das verificações.</w:t>
      </w:r>
      <w:r>
        <w:t xml:space="preserve"> </w:t>
      </w:r>
      <w:r>
        <w:t xml:space="preserve">A Tabela </w:t>
      </w:r>
      <w:hyperlink w:anchor="tab:robustez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reúne os diagnósticos aplicados ao longo do trabalho, o resultado de cada um e a providência que ele motivou.</w:t>
      </w:r>
    </w:p>
    <w:bookmarkStart w:id="29" w:name="tab:robustez"/>
    <w:p>
      <w:pPr>
        <w:pStyle w:val="TableCaption"/>
      </w:pPr>
      <w:r>
        <w:t xml:space="preserve">Testes de robustez e diagnóstico. Cada linha traz o que foi</w:t>
      </w:r>
      <w:r>
        <w:t xml:space="preserve"> </w:t>
      </w:r>
      <w:r>
        <w:t xml:space="preserve">verificado, o resultado e a providência tomada. Valores extraídos dos</w:t>
      </w:r>
      <w:r>
        <w:t xml:space="preserve"> </w:t>
      </w:r>
      <w:r>
        <w:t xml:space="preserve">mesmos csv que alimentam as demais tabelas.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es de robustez e diagnóstico. Cada linha traz o que foi verificado, o resultado e a providência tomada. Valores extraídos dos mesmos csv que alimentam as demais tabela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Heterocedasticidade (Breusch–Pagan)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regressão auxiliar: 0</w:t>
            </w:r>
            <w:r>
              <w:t xml:space="preserve">,</w:t>
            </w:r>
            <w:r>
              <w:t xml:space="preserve">066 e 0</w:t>
            </w:r>
            <w:r>
              <w:t xml:space="preserve">,</w:t>
            </w:r>
            <w:r>
              <w:t xml:space="preserve">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 bootstrap em blocos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 funcional (RESET)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 potências do predito: 0</w:t>
            </w:r>
            <w:r>
              <w:t xml:space="preserve">,</w:t>
            </w:r>
            <w:r>
              <w:t xml:space="preserve">0020 a 0</w:t>
            </w:r>
            <w:r>
              <w:t xml:space="preserve">,</w:t>
            </w:r>
            <w:r>
              <w:t xml:space="preserve">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rejeição sem relevância prática; forma mantida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Multicolinearidade (VIF)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VIF de</w:t>
            </w:r>
            <w:r>
              <w:t xml:space="preserve"> </w:t>
            </w:r>
            <w:r>
              <w:rPr>
                <w:rStyle w:val="VerbatimChar"/>
              </w:rPr>
              <w:t xml:space="preserve">negro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</w:t>
            </w:r>
            <w:r>
              <w:t xml:space="preserve">,</w:t>
            </w:r>
            <w:r>
              <w:t xml:space="preserve">36; nenhum preditor acima de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colinearidade relevante; o coeficiente de interesse não é afetado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Estrutura multinível (teste de razão de verossimilhança)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 da UPA no modelo nulo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de bairro justificado (limiar de 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 de estimação (ML vs. REML)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UPA: 0</w:t>
            </w:r>
            <w:r>
              <w:t xml:space="preserve">,</w:t>
            </w:r>
            <w:r>
              <w:t xml:space="preserve">30182 (ML) e 0</w:t>
            </w:r>
            <w:r>
              <w:t xml:space="preserve">,</w:t>
            </w:r>
            <w:r>
              <w:t xml:space="preserve">30182 (REML)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coincidem com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 milhões; ML usado para os testes aninhados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(Konfound/ITCV)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  <w:r>
              <w:t xml:space="preserve">,</w:t>
            </w:r>
            <w:r>
              <w:t xml:space="preserve">4% das estimativas teriam de ser viés para anular o achado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 robusto a confundimento plausível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(E-value)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E-value entre 1</w:t>
            </w:r>
            <w:r>
              <w:t xml:space="preserve">,</w:t>
            </w:r>
            <w:r>
              <w:t xml:space="preserve">46 e 2</w:t>
            </w:r>
            <w:r>
              <w:t xml:space="preserve">,</w:t>
            </w: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confundidor precisaria dessa força com raça e desfecho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Sobreajuste (treino vs. 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0</w:t>
            </w:r>
            <w:r>
              <w:t xml:space="preserve">,</w:t>
            </w:r>
            <w:r>
              <w:t xml:space="preserve">0084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partição 80/20 e validação cruzada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</w:t>
            </w:r>
            <w:r>
              <w:rPr>
                <w:i/>
                <w:iCs/>
              </w:rPr>
              <w:t xml:space="preserve">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Ganho do ML sobre o linear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de teste: MQO 0</w:t>
            </w:r>
            <w:r>
              <w:t xml:space="preserve">,</w:t>
            </w:r>
            <w:r>
              <w:t xml:space="preserve">587; RF 0</w:t>
            </w:r>
            <w:r>
              <w:t xml:space="preserve">,</w:t>
            </w:r>
            <w:r>
              <w:t xml:space="preserve">589; XGBoost 0</w:t>
            </w:r>
            <w:r>
              <w:t xml:space="preserve">,</w:t>
            </w:r>
            <w:r>
              <w:t xml:space="preserve">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treino e teste; o ganho real está no XGBoost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amostral (V1028) no acesso e na decomposição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do acesso 0</w:t>
            </w:r>
            <w:r>
              <w:t xml:space="preserve">,</w:t>
            </w:r>
            <w:r>
              <w:t xml:space="preserve">820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808; preço da Oaxaca (A) 17</w:t>
            </w:r>
            <w:r>
              <w:t xml:space="preserve">,</w:t>
            </w:r>
            <w:r>
              <w:t xml:space="preserve">9%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15</w:t>
            </w:r>
            <w:r>
              <w:t xml:space="preserve">,</w:t>
            </w: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 com UF fixo e erro agrupado por UPA; conclusão inalterada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Validação cruzada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médio entre</w:t>
            </w:r>
            <w:r>
              <w:t xml:space="preserve"> </w:t>
            </w:r>
            <w:r>
              <w:rPr>
                <w:i/>
                <w:iCs/>
              </w:rPr>
              <w:t xml:space="preserve">folds</w:t>
            </w:r>
            <w:r>
              <w:t xml:space="preserve">: 0</w:t>
            </w:r>
            <w:r>
              <w:t xml:space="preserve">,</w:t>
            </w:r>
            <w:r>
              <w:t xml:space="preserve">6435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hiperparâmetros escolhidos em partição de validação e confirmados por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Balanceamento e suporte comum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padronizada entre grupos: 1</w:t>
            </w:r>
            <w:r>
              <w:t xml:space="preserve">,</w:t>
            </w: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desequilíbrio concentrado no contexto de bairro, absorvido pelo nível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Especificação do nível de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coeficiente racial com UF aleatória: −0</w:t>
            </w:r>
            <w:r>
              <w:t xml:space="preserve">,</w:t>
            </w:r>
            <w:r>
              <w:t xml:space="preserve">0629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da UF como efeito fixo; resultado não depende da escolha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Vazamento das médias de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médias do bairro e do estado calculadas sem a própria observação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que a raça do indivíduo entre no regressor que o descreve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intragrupo (Moulton)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regressores que variam no nível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em todos os modelos</w:t>
            </w:r>
          </w:p>
        </w:tc>
      </w:tr>
    </w:tbl>
    <w:bookmarkEnd w:id="29"/>
    <w:p>
      <w:pPr>
        <w:pStyle w:val="BodyText"/>
      </w:pPr>
      <w:r>
        <w:t xml:space="preserve">Fonte: Resultados originais da pesquisa.</w:t>
      </w:r>
    </w:p>
    <w:bookmarkEnd w:id="30"/>
    <w:bookmarkStart w:id="31" w:name="random-forest-xgboost-e-shap-value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árvores, profundidade</w:t>
      </w:r>
      <w:r>
        <w:t xml:space="preserve"> </w:t>
      </w:r>
      <w:r>
        <w:t xml:space="preserve">máxima 10, ao menos 50 observações por folha e todas as variáveis candidatas em cada</w:t>
      </w:r>
      <w:r>
        <w:t xml:space="preserve"> </w:t>
      </w:r>
      <w:r>
        <w:t xml:space="preserve">divisão (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padrão do</w:t>
      </w:r>
      <w:r>
        <w:t xml:space="preserve"> </w:t>
      </w:r>
      <w:r>
        <w:rPr>
          <w:i/>
          <w:iCs/>
        </w:rPr>
        <w:t xml:space="preserve">scikit-learn</w:t>
      </w:r>
      <w:r>
        <w:t xml:space="preserve"> </w:t>
      </w:r>
      <w:r>
        <w:t xml:space="preserve">para regressão);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para calcular os valores de Shapley de cada variável. Os modelos são</w:t>
      </w:r>
      <w:r>
        <w:t xml:space="preserve"> </w:t>
      </w:r>
      <w:r>
        <w:t xml:space="preserve">ajustados e avaliados na população completa; só o cálculo dos valores SHAP usa uma amostra</w:t>
      </w:r>
      <w:r>
        <w:t xml:space="preserve"> </w:t>
      </w:r>
      <w:r>
        <w:t xml:space="preserve">de 50 mil observações sorteadas do conjunto de treino, com semente fixa, porque o custo do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cresce com o número de casos explicados.</w:t>
      </w:r>
    </w:p>
    <w:bookmarkEnd w:id="31"/>
    <w:bookmarkEnd w:id="32"/>
    <w:bookmarkStart w:id="116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33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6,1% (M3) e de 5,6%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33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54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t xml:space="preserve">Quanto do gap racial sobrevive à comparação entre dois trabalhadores que moram no</w:t>
      </w:r>
      <w:r>
        <w:t xml:space="preserve"> </w:t>
      </w:r>
      <w:r>
        <w:t xml:space="preserve">mesmo bairro? A pergunta separa duas histórias muito diferentes. Se quase nada</w:t>
      </w:r>
      <w:r>
        <w:t xml:space="preserve"> </w:t>
      </w:r>
      <w:r>
        <w:t xml:space="preserve">sobrevive, o diferencial de renda é sobretudo consequência de onde negros e brancos</w:t>
      </w:r>
      <w:r>
        <w:t xml:space="preserve"> </w:t>
      </w:r>
      <w:r>
        <w:t xml:space="preserve">conseguem morar. Se quase tudo sobrevive, o bairro é cenário, e a diferença se produz</w:t>
      </w:r>
      <w:r>
        <w:t xml:space="preserve"> </w:t>
      </w:r>
      <w:r>
        <w:t xml:space="preserve">pessoa a pessoa, dentro da mesma rua. 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responde em</w:t>
      </w:r>
      <w:r>
        <w:t xml:space="preserve"> </w:t>
      </w:r>
      <w:r>
        <w:t xml:space="preserve">cinco degraus,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e veja o coeficiente</w:t>
      </w:r>
      <w:r>
        <w:t xml:space="preserve"> </w:t>
      </w:r>
      <w:r>
        <w:t xml:space="preserve">aproximar-se de zero à medida que cada degrau acrescenta um bloco de controles.</w:t>
      </w:r>
    </w:p>
    <w:p>
      <w:pPr>
        <w:pStyle w:val="BodyText"/>
      </w:pPr>
      <w:r>
        <w:rPr>
          <w:b/>
          <w:bCs/>
        </w:rPr>
        <w:t xml:space="preserve">Mais de um terço da diferença de renda está entre bairros, não dentro deles.</w:t>
      </w:r>
      <w:r>
        <w:t xml:space="preserve"> </w:t>
      </w:r>
      <w:r>
        <w:t xml:space="preserve">Antes de qualquer controle, o modelo nulo reparte a variação do log-rendimento em duas</w:t>
      </w:r>
      <w:r>
        <w:t xml:space="preserve"> </w:t>
      </w:r>
      <w:r>
        <w:t xml:space="preserve">parcelas: a que separa um bairro de outro e a que separa dois vizinhos. O ICC da UPA é</w:t>
      </w:r>
      <w:r>
        <w:t xml:space="preserve"> </w:t>
      </w:r>
      <w:r>
        <w:t xml:space="preserve">de 0,353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— isto é,</w:t>
      </w:r>
      <w:r>
        <w:t xml:space="preserve"> </w:t>
      </w:r>
      <w:r>
        <w:rPr>
          <w:b/>
          <w:bCs/>
        </w:rPr>
        <w:t xml:space="preserve">35,3% da</w:t>
      </w:r>
      <w:r>
        <w:rPr>
          <w:b/>
          <w:bCs/>
        </w:rPr>
        <w:t xml:space="preserve"> </w:t>
      </w:r>
      <w:r>
        <w:rPr>
          <w:b/>
          <w:bCs/>
        </w:rPr>
        <w:t xml:space="preserve">variância do log-rendimento está entre bairros</w:t>
      </w:r>
      <w:r>
        <w:t xml:space="preserve">. Em linguagem de leitor: de toda a</w:t>
      </w:r>
      <w:r>
        <w:t xml:space="preserve"> </w:t>
      </w:r>
      <w:r>
        <w:t xml:space="preserve">diferença de renda entre duas pessoas sorteadas ao acaso no país, mais de um terço já</w:t>
      </w:r>
      <w:r>
        <w:t xml:space="preserve"> </w:t>
      </w:r>
      <w:r>
        <w:t xml:space="preserve">está associada a morarem em bairros diferentes, antes de se saber qualquer outra coisa</w:t>
      </w:r>
      <w:r>
        <w:t xml:space="preserve"> </w:t>
      </w:r>
      <w:r>
        <w:t xml:space="preserve">sobre elas. É muito acima do limiar de 5% a partir do qual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consideram indispensável tratar a estrutura aninhada, e maior do que a parcela entre</w:t>
      </w:r>
      <w:r>
        <w:t xml:space="preserve"> </w:t>
      </w:r>
      <w:r>
        <w:t xml:space="preserve">estados (cerca de 11%, no modelo alternativo com UF aleatória usado como robustez).</w:t>
      </w:r>
      <w:r>
        <w:t xml:space="preserve"> </w:t>
      </w:r>
      <w:r>
        <w:t xml:space="preserve">Ignorar essa estrutura trataria como independentes pessoas que compartilham o mesmo</w:t>
      </w:r>
      <w:r>
        <w:t xml:space="preserve"> </w:t>
      </w:r>
      <w:r>
        <w:t xml:space="preserve">mercado de trabalho local.</w:t>
      </w:r>
    </w:p>
    <w:p>
      <w:pPr>
        <w:pStyle w:val="BodyText"/>
      </w:pPr>
      <w:r>
        <w:rPr>
          <w:b/>
          <w:bCs/>
        </w:rPr>
        <w:t xml:space="preserve">Comparar vizinhos reduz o gap em cerca de 40%.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),</w:t>
      </w:r>
      <w:r>
        <w:t xml:space="preserve"> </w:t>
      </w:r>
      <w:r>
        <w:t xml:space="preserve">trabalhadores negros recebem</w:t>
      </w:r>
      <w:r>
        <w:t xml:space="preserve"> </w:t>
      </w:r>
      <w:r>
        <w:rPr>
          <w:b/>
          <w:bCs/>
        </w:rPr>
        <w:t xml:space="preserve">10,5% a menos</w:t>
      </w:r>
      <w:r>
        <w:t xml:space="preserve"> </w:t>
      </w:r>
      <w:r>
        <w:t xml:space="preserve">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1104</m:t>
        </m:r>
      </m:oMath>
      <w:r>
        <w:t xml:space="preserve">). O M1 acrescenta o intercepto aleatório de UPA — na</w:t>
      </w:r>
      <w:r>
        <w:t xml:space="preserve"> </w:t>
      </w:r>
      <w:r>
        <w:t xml:space="preserve">prática, um nível de renda próprio para cada bairro — e com ele a comparação deixa de</w:t>
      </w:r>
      <w:r>
        <w:t xml:space="preserve"> </w:t>
      </w:r>
      <w:r>
        <w:t xml:space="preserve">ser entre todos os trabalhadores do país e passa a ser entre negros e brancos</w:t>
      </w:r>
      <w:r>
        <w:t xml:space="preserve"> </w:t>
      </w:r>
      <w:r>
        <w:rPr>
          <w:i/>
          <w:iCs/>
        </w:rPr>
        <w:t xml:space="preserve">do</w:t>
      </w:r>
      <w:r>
        <w:rPr>
          <w:i/>
          <w:iCs/>
        </w:rPr>
        <w:t xml:space="preserve"> </w:t>
      </w:r>
      <w:r>
        <w:rPr>
          <w:i/>
          <w:iCs/>
        </w:rPr>
        <w:t xml:space="preserve">mesmo bairro</w:t>
      </w:r>
      <w:r>
        <w:t xml:space="preserve">: a penalidade cai para</w:t>
      </w:r>
      <w:r>
        <w:t xml:space="preserve"> </w:t>
      </w:r>
      <w:r>
        <w:rPr>
          <w:b/>
          <w:bCs/>
        </w:rPr>
        <w:t xml:space="preserve">6,5%</w:t>
      </w:r>
      <w:r>
        <w:rPr>
          <w:rStyle w:val="FootnoteReference"/>
        </w:rPr>
        <w:footnoteReference w:id="35"/>
      </w:r>
      <w:r>
        <w:t xml:space="preserve">. Medida na régua do gap agregado,</w:t>
      </w:r>
      <w:r>
        <w:t xml:space="preserve"> </w:t>
      </w:r>
      <w:r>
        <w:rPr>
          <w:b/>
          <w:bCs/>
        </w:rPr>
        <w:t xml:space="preserve">39,5% da distância já foi percorrida</w:t>
      </w:r>
      <w:r>
        <w:t xml:space="preserve"> </w:t>
      </w:r>
      <w:r>
        <w:t xml:space="preserve">— percorrida no sentido de</w:t>
      </w:r>
      <w:r>
        <w:t xml:space="preserve"> </w:t>
      </w:r>
      <w:r>
        <w:t xml:space="preserve">atribuída a um fator observável, e não no sentido de explicada sem discriminação, já que</w:t>
      </w:r>
      <w:r>
        <w:t xml:space="preserve"> </w:t>
      </w:r>
      <w:r>
        <w:t xml:space="preserve">o bairro em que se consegue morar é ele próprio produto de exclusão. Esse é o teste da</w:t>
      </w:r>
      <w:r>
        <w:t xml:space="preserve"> </w:t>
      </w:r>
      <w:r>
        <w:t xml:space="preserve">Hipótese H1, e ele passa: negros e brancos com o mesmo capital humano não moram nos</w:t>
      </w:r>
      <w:r>
        <w:t xml:space="preserve"> </w:t>
      </w:r>
      <w:r>
        <w:t xml:space="preserve">mesmos bairros, e os bairros pagam diferente. Os controles individuais explicam, além</w:t>
      </w:r>
      <w:r>
        <w:t xml:space="preserve"> </w:t>
      </w:r>
      <w:r>
        <w:t xml:space="preserve">disso, 66,5% da variância entre bairros do M0 —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 nele.</w:t>
      </w:r>
    </w:p>
    <w:p>
      <w:pPr>
        <w:pStyle w:val="BodyText"/>
      </w:pPr>
      <w:r>
        <w:t xml:space="preserve">Vale guardar a frase: 39</w:t>
      </w:r>
      <w:r>
        <w:t xml:space="preserve">,</w:t>
      </w:r>
      <w:r>
        <w:t xml:space="preserve">5% do gap racial não separam duas pessoas,</w:t>
      </w:r>
      <w:r>
        <w:t xml:space="preserve"> </w:t>
      </w:r>
      <w:r>
        <w:t xml:space="preserve">separam dois endereços. Resta saber o que, num endereço, produz essa diferença.</w:t>
      </w:r>
    </w:p>
    <w:p>
      <w:pPr>
        <w:pStyle w:val="BodyText"/>
      </w:pPr>
      <w:r>
        <w:rPr>
          <w:b/>
          <w:bCs/>
        </w:rPr>
        <w:t xml:space="preserve">Morar onde moram os negros custa outra vez.</w:t>
      </w:r>
      <w:r>
        <w:t xml:space="preserve"> </w:t>
      </w:r>
      <w:r>
        <w:t xml:space="preserve">O M2 pergunta o que, num bairro, faz a renda ser mais alta ou mais baixa, e responde com</w:t>
      </w:r>
      <w:r>
        <w:t xml:space="preserve"> </w:t>
      </w:r>
      <w:r>
        <w:t xml:space="preserve">três covariáveis de nível 2 que juntas explicam 55,2% da variância</w:t>
      </w:r>
      <w:r>
        <w:t xml:space="preserve"> </w:t>
      </w:r>
      <w:r>
        <w:t xml:space="preserve">entre bairros que restava no M1</w:t>
      </w:r>
      <w:r>
        <w:rPr>
          <w:rStyle w:val="FootnoteReference"/>
        </w:rPr>
        <w:footnoteReference w:id="36"/>
      </w:r>
      <w:r>
        <w:t xml:space="preserve">. A mais eloquente é a</w:t>
      </w:r>
      <w:r>
        <w:t xml:space="preserve"> </w:t>
      </w:r>
      <w:r>
        <w:t xml:space="preserve">composição racial: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significa que um desvio-padrão a mais</w:t>
      </w:r>
      <w:r>
        <w:t xml:space="preserve"> </w:t>
      </w:r>
      <w:r>
        <w:t xml:space="preserve">na proporção de moradores negros da UPA reduz o 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moradores,</w:t>
      </w:r>
      <w:r>
        <w:t xml:space="preserve"> </w:t>
      </w:r>
      <w:r>
        <w:t xml:space="preserve">negros e brancos, em 0,13 log-pontos — cerca de 2</w:t>
      </w:r>
      <w:r>
        <w:t xml:space="preserve">,</w:t>
      </w:r>
      <w:r>
        <w:t xml:space="preserve">0 vezes a</w:t>
      </w:r>
      <w:r>
        <w:t xml:space="preserve"> </w:t>
      </w:r>
      <w:r>
        <w:t xml:space="preserve">penalidade que um trabalhador negro carrega individualmente no mesmo modelo. É a evidência</w:t>
      </w:r>
      <w:r>
        <w:t xml:space="preserve"> </w:t>
      </w:r>
      <w:r>
        <w:t xml:space="preserve">mais direta da</w:t>
      </w:r>
      <w:r>
        <w:t xml:space="preserve"> </w:t>
      </w:r>
      <w:r>
        <w:rPr>
          <w:i/>
          <w:iCs/>
        </w:rPr>
        <w:t xml:space="preserve">dupla desvantagem</w:t>
      </w:r>
      <w:r>
        <w:t xml:space="preserve">: ser negro custa, e morar onde moram os negros</w:t>
      </w:r>
      <w:r>
        <w:t xml:space="preserve"> </w:t>
      </w:r>
      <w:r>
        <w:t xml:space="preserve">custa outra vez, inclusive para quem não é negro. Já o coeficiente individual mal se move</w:t>
      </w:r>
      <w:r>
        <w:t xml:space="preserve"> </w:t>
      </w:r>
      <w:r>
        <w:t xml:space="preserve">(de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0637</m:t>
        </m:r>
      </m:oMath>
      <w:r>
        <w:t xml:space="preserve">): acrescentar a composição do bairro quase não altera a</w:t>
      </w:r>
      <w:r>
        <w:t xml:space="preserve"> </w:t>
      </w:r>
      <w:r>
        <w:t xml:space="preserve">penalidade racial média — as duas desvantagens se somam, em vez de uma explicar a outra.</w:t>
      </w:r>
    </w:p>
    <w:p>
      <w:pPr>
        <w:pStyle w:val="BodyText"/>
      </w:pPr>
      <w:r>
        <w:t xml:space="preserve">Em uma frase: o bairro cobra duas vezes — da pessoa negra, pela cor; e de todos</w:t>
      </w:r>
      <w:r>
        <w:t xml:space="preserve"> </w:t>
      </w:r>
      <w:r>
        <w:t xml:space="preserve">os que moram ali, pela composição racial do lugar.</w:t>
      </w:r>
    </w:p>
    <w:p>
      <w:pPr>
        <w:pStyle w:val="BodyText"/>
      </w:pPr>
      <w:r>
        <w:rPr>
          <w:b/>
          <w:bCs/>
        </w:rPr>
        <w:t xml:space="preserve">Acrescentar o estado não move a régua.</w:t>
      </w:r>
      <w:r>
        <w:t xml:space="preserve"> </w:t>
      </w:r>
      <w:r>
        <w:t xml:space="preserve">Com os efeitos fixos de UF, a penalidade é de</w:t>
      </w:r>
      <w:r>
        <w:t xml:space="preserve"> </w:t>
      </w:r>
      <w:r>
        <w:rPr>
          <w:b/>
          <w:bCs/>
        </w:rPr>
        <w:t xml:space="preserve">6,1%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0629</m:t>
        </m:r>
      </m:oMath>
      <w:r>
        <w:t xml:space="preserve">). Na régua do gap</w:t>
      </w:r>
      <w:r>
        <w:t xml:space="preserve"> </w:t>
      </w:r>
      <w:r>
        <w:t xml:space="preserve">agregado, 43,0% — praticamente os mesmos 39,5% do M1. O</w:t>
      </w:r>
      <w:r>
        <w:t xml:space="preserve"> </w:t>
      </w:r>
      <w:r>
        <w:t xml:space="preserve">dado relevante aqui é o que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aconteceu: depois que a comparação já é entre</w:t>
      </w:r>
      <w:r>
        <w:t xml:space="preserve"> </w:t>
      </w:r>
      <w:r>
        <w:t xml:space="preserve">vizinhos, o contexto do bairro (M2) e a unidade da federação (M3) retiram pouco</w:t>
      </w:r>
      <w:r>
        <w:t xml:space="preserve"> </w:t>
      </w:r>
      <w:r>
        <w:t xml:space="preserve">mais do diferencial. É esse patamar que este trabalho chama de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: o</w:t>
      </w:r>
      <w:r>
        <w:t xml:space="preserve"> </w:t>
      </w:r>
      <w:r>
        <w:t xml:space="preserve">que capital humano, contexto de bairro e estado não explicam — um limite superior da</w:t>
      </w:r>
      <w:r>
        <w:t xml:space="preserve"> </w:t>
      </w:r>
      <w:r>
        <w:t xml:space="preserve">penalidade direta sob seleção em observáveis (o M4 é o inferior), e não uma medida de</w:t>
      </w:r>
      <w:r>
        <w:t xml:space="preserve"> </w:t>
      </w:r>
      <w:r>
        <w:t xml:space="preserve">discriminação.</w:t>
      </w:r>
      <w:r>
        <w:rPr>
          <w:rStyle w:val="FootnoteReference"/>
        </w:rPr>
        <w:footnoteReference w:id="37"/>
      </w:r>
    </w:p>
    <w:p>
      <w:pPr>
        <w:pStyle w:val="BodyText"/>
      </w:pPr>
      <w:r>
        <w:rPr>
          <w:b/>
          <w:bCs/>
        </w:rPr>
        <w:t xml:space="preserve">Bairro ou estado? A separação em três camadas.</w:t>
      </w:r>
      <w:r>
        <w:t xml:space="preserve"> </w:t>
      </w:r>
      <w:r>
        <w:t xml:space="preserve">Uma objeção natural: se bairros pobres se concentram em estados pobres, o que este</w:t>
      </w:r>
      <w:r>
        <w:t xml:space="preserve"> </w:t>
      </w:r>
      <w:r>
        <w:t xml:space="preserve">trabalho chama de efeito do bairro pode ser efeito da região. O modelo de dois</w:t>
      </w:r>
      <w:r>
        <w:t xml:space="preserve"> </w:t>
      </w:r>
      <w:r>
        <w:t xml:space="preserve">níveis não separa as duas coisas — ele trata a UF como efeito fixo, e por isso</w:t>
      </w:r>
      <w:r>
        <w:t xml:space="preserve"> </w:t>
      </w:r>
      <w:r>
        <w:t xml:space="preserve">credita ao bairro tudo o que é territorial. Para medir a separação, o modelo nulo</w:t>
      </w:r>
      <w:r>
        <w:t xml:space="preserve"> </w:t>
      </w:r>
      <w:r>
        <w:t xml:space="preserve">foi reestimado com</w:t>
      </w:r>
      <w:r>
        <w:t xml:space="preserve"> </w:t>
      </w:r>
      <w:r>
        <w:rPr>
          <w:b/>
          <w:bCs/>
        </w:rPr>
        <w:t xml:space="preserve">três</w:t>
      </w:r>
      <w:r>
        <w:t xml:space="preserve"> </w:t>
      </w:r>
      <w:r>
        <w:t xml:space="preserve">níveis: pessoa dentro de bairro dentro de estado,</w:t>
      </w:r>
      <w:r>
        <w:t xml:space="preserve"> </w:t>
      </w:r>
      <w:r>
        <w:t xml:space="preserve">com intercepto aleatório nos dois.</w:t>
      </w:r>
    </w:p>
    <w:p>
      <w:pPr>
        <w:pStyle w:val="BodyText"/>
      </w:pPr>
      <w:r>
        <w:t xml:space="preserve">O resultado divide o território em duas partes desiguais. Dos</w:t>
      </w:r>
      <w:r>
        <w:t xml:space="preserve"> </w:t>
      </w:r>
      <w:r>
        <w:t xml:space="preserve">35,3% que o modelo de dois níveis atribui ao bairro,</w:t>
      </w:r>
      <w:r>
        <w:t xml:space="preserve"> </w:t>
      </w:r>
      <w:r>
        <w:rPr>
          <w:b/>
          <w:bCs/>
        </w:rPr>
        <w:t xml:space="preserve">23,4%</w:t>
      </w:r>
      <w:r>
        <w:t xml:space="preserve"> </w:t>
      </w:r>
      <w:r>
        <w:t xml:space="preserve">permanecem entre bairros do</w:t>
      </w:r>
      <w:r>
        <w:t xml:space="preserve"> </w:t>
      </w:r>
      <w:r>
        <w:rPr>
          <w:i/>
          <w:iCs/>
        </w:rPr>
        <w:t xml:space="preserve">mesmo</w:t>
      </w:r>
      <w:r>
        <w:t xml:space="preserve"> </w:t>
      </w:r>
      <w:r>
        <w:t xml:space="preserve">estado e</w:t>
      </w:r>
      <w:r>
        <w:t xml:space="preserve"> </w:t>
      </w:r>
      <w:r>
        <w:rPr>
          <w:b/>
          <w:bCs/>
        </w:rPr>
        <w:t xml:space="preserve">11,4%</w:t>
      </w:r>
      <w:r>
        <w:t xml:space="preserve"> </w:t>
      </w:r>
      <w:r>
        <w:t xml:space="preserve">são diferenças entre estados. Depois dos controles</w:t>
      </w:r>
      <w:r>
        <w:t xml:space="preserve"> </w:t>
      </w:r>
      <w:r>
        <w:t xml:space="preserve">individuais e do contexto do bairro, o bairro cai para 7,2% e o estado</w:t>
      </w:r>
      <w:r>
        <w:t xml:space="preserve"> </w:t>
      </w:r>
      <w:r>
        <w:t xml:space="preserve">para 5,6%: a camada do bairro encolhe mais (de 2,1 para 1,3 vez o estado), mas continua sendo a maior.</w:t>
      </w:r>
      <w:r>
        <w:rPr>
          <w:rStyle w:val="FootnoteReference"/>
        </w:rPr>
        <w:footnoteReference w:id="38"/>
      </w:r>
    </w:p>
    <w:p>
      <w:pPr>
        <w:pStyle w:val="BodyText"/>
      </w:pPr>
      <w:r>
        <w:rPr>
          <w:b/>
          <w:bCs/>
        </w:rPr>
        <w:t xml:space="preserve">Dentro da mesma ocupação o gap encolhe — o que não é o mesmo que explicá-lo.</w:t>
      </w:r>
      <w:r>
        <w:t xml:space="preserve"> </w:t>
      </w:r>
      <w:r>
        <w:t xml:space="preserve">O M4 acrescenta vínculo e grupo ocupacional, e a penalidade cai para</w:t>
      </w:r>
      <w:r>
        <w:t xml:space="preserve"> </w:t>
      </w:r>
      <w:r>
        <w:rPr>
          <w:b/>
          <w:bCs/>
        </w:rPr>
        <w:t xml:space="preserve">5,6%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0579</m:t>
        </m:r>
      </m:oMath>
      <w:r>
        <w:t xml:space="preserve">). A régua vai a</w:t>
      </w:r>
      <w:r>
        <w:t xml:space="preserve"> </w:t>
      </w:r>
      <w:r>
        <w:rPr>
          <w:b/>
          <w:bCs/>
        </w:rPr>
        <w:t xml:space="preserve">47,6% do gap agregado</w:t>
      </w:r>
      <w:r>
        <w:t xml:space="preserve">. A tentação é ler esse número como a parte do</w:t>
      </w:r>
      <w:r>
        <w:t xml:space="preserve"> </w:t>
      </w:r>
      <w:r>
        <w:t xml:space="preserve">gap que está</w:t>
      </w:r>
      <w:r>
        <w:t xml:space="preserve"> </w:t>
      </w:r>
      <w:r>
        <w:t xml:space="preserve">“explicada”</w:t>
      </w:r>
      <w:r>
        <w:t xml:space="preserve">, e é precisamente essa leitura que o desenho do estudo</w:t>
      </w:r>
      <w:r>
        <w:t xml:space="preserve"> </w:t>
      </w:r>
      <w:r>
        <w:t xml:space="preserve">não autoriza: a ocupação não é uma característica que a pessoa traz consigo, é um</w:t>
      </w:r>
      <w:r>
        <w:t xml:space="preserve"> </w:t>
      </w:r>
      <w:r>
        <w:t xml:space="preserve">resultado ao qual ela precisou obter acesso — e o acesso é justamente onde a</w:t>
      </w:r>
      <w:r>
        <w:t xml:space="preserve"> </w:t>
      </w:r>
      <w:r>
        <w:t xml:space="preserve">Subseção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 </w:t>
      </w:r>
      <w:r>
        <w:t xml:space="preserve">encontra uma barreira própria, que a decomposição</w:t>
      </w:r>
      <w:r>
        <w:t xml:space="preserve"> </w:t>
      </w:r>
      <w:r>
        <w:t xml:space="preserve">salarial só capta em parte. Controlar por</w:t>
      </w:r>
      <w:r>
        <w:t xml:space="preserve"> </w:t>
      </w:r>
      <w:r>
        <w:t xml:space="preserve">ocupação é, portanto, descontar do gap uma parte do próprio gap. Por isso o M4 é um</w:t>
      </w:r>
      <w:r>
        <w:t xml:space="preserve"> </w:t>
      </w:r>
      <w:r>
        <w:t xml:space="preserve">limite inferior descritivo, e não o número a citar como a penalidade racial brasileira.</w:t>
      </w:r>
    </w:p>
    <w:p>
      <w:pPr>
        <w:pStyle w:val="BodyText"/>
      </w:pPr>
      <w:r>
        <w:rPr>
          <w:b/>
          <w:bCs/>
        </w:rPr>
        <w:t xml:space="preserve">O mesmo controle pode ser legítimo num modelo e viciado noutro.</w:t>
      </w:r>
      <w:r>
        <w:t xml:space="preserve"> </w:t>
      </w:r>
      <w:r>
        <w:t xml:space="preserve">A regra não é</w:t>
      </w:r>
      <w:r>
        <w:t xml:space="preserve"> </w:t>
      </w:r>
      <w:r>
        <w:t xml:space="preserve">“controlar por tudo”</w:t>
      </w:r>
      <w:r>
        <w:t xml:space="preserve"> </w:t>
      </w:r>
      <w:r>
        <w:t xml:space="preserve">nem</w:t>
      </w:r>
      <w:r>
        <w:t xml:space="preserve"> </w:t>
      </w:r>
      <w:r>
        <w:t xml:space="preserve">“nunca controlar por resultado”</w:t>
      </w:r>
      <w:r>
        <w:t xml:space="preserve">: depende do</w:t>
      </w:r>
      <w:r>
        <w:t xml:space="preserve"> </w:t>
      </w:r>
      <w:r>
        <w:t xml:space="preserve">que se está explicando. A jornada trabalhada ilustra bem. No modelo de rendimento ela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necessária</w:t>
      </w:r>
      <w:r>
        <w:t xml:space="preserve">, porque o desfecho é o rendimento</w:t>
      </w:r>
      <w:r>
        <w:t xml:space="preserve"> </w:t>
      </w:r>
      <w:r>
        <w:rPr>
          <w:b/>
          <w:bCs/>
        </w:rPr>
        <w:t xml:space="preserve">mensal</w:t>
      </w:r>
      <w:r>
        <w:t xml:space="preserve">: sem ela,</w:t>
      </w:r>
      <w:r>
        <w:t xml:space="preserve"> </w:t>
      </w:r>
      <w:r>
        <w:t xml:space="preserve">comparar-se-ia quem trabalha meio período com quem trabalha jornada integral e a</w:t>
      </w:r>
      <w:r>
        <w:t xml:space="preserve"> </w:t>
      </w:r>
      <w:r>
        <w:t xml:space="preserve">diferença seria creditada à raça. No modelo de acesso o desfecho é</w:t>
      </w:r>
      <w:r>
        <w:t xml:space="preserve"> </w:t>
      </w:r>
      <w:r>
        <w:rPr>
          <w:i/>
          <w:iCs/>
        </w:rPr>
        <w:t xml:space="preserve">ocupar</w:t>
      </w:r>
      <w:r>
        <w:t xml:space="preserve"> </w:t>
      </w:r>
      <w:r>
        <w:t xml:space="preserve">o</w:t>
      </w:r>
      <w:r>
        <w:t xml:space="preserve"> </w:t>
      </w:r>
      <w:r>
        <w:t xml:space="preserve">cargo, e a jornada não causa esse acesso — ela é determinada junto com a ocupação,</w:t>
      </w:r>
      <w:r>
        <w:t xml:space="preserve"> </w:t>
      </w:r>
      <w:r>
        <w:t xml:space="preserve">de modo que condicionar nela desconta parte do próprio fenômeno. Por isso a jornada</w:t>
      </w:r>
      <w:r>
        <w:t xml:space="preserve"> </w:t>
      </w:r>
      <w:r>
        <w:t xml:space="preserve">entra no bloco individual do modelo de rendimento e, no de acesso, só no degrau</w:t>
      </w:r>
      <w:r>
        <w:t xml:space="preserve"> </w:t>
      </w:r>
      <w:r>
        <w:t xml:space="preserve">rotulado como limite inferior, ao lado do vínculo.</w:t>
      </w:r>
    </w:p>
    <w:p>
      <w:pPr>
        <w:pStyle w:val="BodyText"/>
      </w:pPr>
      <w:r>
        <w:t xml:space="preserve">O critério que organiza os dois modelos é, então, o</w:t>
      </w:r>
      <w:r>
        <w:t xml:space="preserve"> </w:t>
      </w:r>
      <w:r>
        <w:rPr>
          <w:i/>
          <w:iCs/>
        </w:rPr>
        <w:t xml:space="preserve">estatuto causal</w:t>
      </w:r>
      <w:r>
        <w:t xml:space="preserve"> </w:t>
      </w:r>
      <w:r>
        <w:t xml:space="preserve">de cada</w:t>
      </w:r>
      <w:r>
        <w:t xml:space="preserve"> </w:t>
      </w:r>
      <w:r>
        <w:t xml:space="preserve">variável em relação ao desfecho daquele modelo, e não a semelhança das listas:</w:t>
      </w:r>
    </w:p>
    <w:bookmarkStart w:id="39" w:name="tab:simetria"/>
    <w:p>
      <w:pPr>
        <w:pStyle w:val="TableCaption"/>
      </w:pPr>
      <w:r>
        <w:t xml:space="preserve">Simetria dos controles entre os dois modelos. Os blocos predeterminados são</w:t>
      </w:r>
      <w:r>
        <w:t xml:space="preserve"> </w:t>
      </w:r>
      <w:r>
        <w:t xml:space="preserve">idênticos; o que difere é o tratamento das variáveis que são elas próprias desfecho</w:t>
      </w:r>
      <w:r>
        <w:t xml:space="preserve"> </w:t>
      </w:r>
      <w:r>
        <w:t xml:space="preserve">do processo estudado.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etria dos controles entre os dois modelos. Os blocos predeterminados são idênticos; o que difere é o tratamento das variáveis que são elas próprias desfecho do processo estudado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rendimento (HLM)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acesso (GLMM)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Predeterminados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sexo, idade, 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escolaridade (4 degraus</w:t>
            </w:r>
            <w:r>
              <w:t xml:space="preserve"> </w:t>
            </w:r>
            <w:r>
              <w:t xml:space="preserve">cumulativos), área urbana, ano,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Contexto do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negro, desemprego e escolaridade média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Jornada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necessário: o desfecho é rendimento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desfecho do processo:</w:t>
            </w:r>
            <w:r>
              <w:t xml:space="preserve"> </w:t>
            </w:r>
            <w:r>
              <w:t xml:space="preserve">entra só no degrau de limite inferior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Vínculo e ocupação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(M4)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(A3); a ocupação não entra,</w:t>
            </w:r>
            <w:r>
              <w:t xml:space="preserve"> </w:t>
            </w:r>
            <w:r>
              <w:t xml:space="preserve">pois é o próprio desfecho</w:t>
            </w:r>
          </w:p>
        </w:tc>
      </w:tr>
    </w:tbl>
    <w:bookmarkEnd w:id="39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Dito de outro modo: 5,6% é onde a régua termina, não onde o gap</w:t>
      </w:r>
      <w:r>
        <w:t xml:space="preserve"> </w:t>
      </w:r>
      <w:r>
        <w:t xml:space="preserve">verdadeiro está. O número deste trabalho é o gap líquido de 6,1% do M3; o</w:t>
      </w:r>
      <w:r>
        <w:t xml:space="preserve"> </w:t>
      </w:r>
      <w:r>
        <w:t xml:space="preserve">5,6% mede o que sobra depois de descontar um canal que é ele próprio</w:t>
      </w:r>
      <w:r>
        <w:t xml:space="preserve"> </w:t>
      </w:r>
      <w:r>
        <w:t xml:space="preserve">discriminatório.</w:t>
      </w:r>
    </w:p>
    <w:p>
      <w:pPr>
        <w:pStyle w:val="BodyText"/>
      </w:pPr>
      <w:r>
        <w:rPr>
          <w:b/>
          <w:bCs/>
        </w:rPr>
        <w:t xml:space="preserve">A penalidade não é a mesma em todo bairro.</w:t>
      </w:r>
      <w:r>
        <w:t xml:space="preserve"> </w:t>
      </w:r>
      <w:r>
        <w:t xml:space="preserve">Até aqui a penalidade racial foi tratada como um número único. Deixá-la variar de bairro</w:t>
      </w:r>
      <w:r>
        <w:t xml:space="preserve"> </w:t>
      </w:r>
      <w:r>
        <w:t xml:space="preserve">para bairro melhora significativamente o ajuste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26.267, 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o desvio-padrão dessa variação é de 0,145</w:t>
      </w:r>
      <w:r>
        <w:t xml:space="preserve"> </w:t>
      </w:r>
      <w:r>
        <w:t xml:space="preserve">log-pontos</w:t>
      </w:r>
      <w:r>
        <w:rPr>
          <w:rStyle w:val="FootnoteReference"/>
        </w:rPr>
        <w:footnoteReference w:id="40"/>
      </w:r>
      <w:r>
        <w:t xml:space="preserve">. Em bairros a um desvio-padrão de cada lado da</w:t>
      </w:r>
      <w:r>
        <w:t xml:space="preserve"> </w:t>
      </w:r>
      <w:r>
        <w:t xml:space="preserve">média, a penalidade vai de −0,211 a 0,079 log-pontos: há bairros em que o</w:t>
      </w:r>
      <w:r>
        <w:t xml:space="preserve"> </w:t>
      </w:r>
      <w:r>
        <w:t xml:space="preserve">diferencial é mais do que o dobro da média e bairros em que ele se inverte. A</w:t>
      </w:r>
      <w:r>
        <w:t xml:space="preserve"> </w:t>
      </w:r>
      <w:r>
        <w:t xml:space="preserve">discriminação salarial tem geografia — e a covariância entre intercepto e inclinação</w:t>
      </w:r>
      <w:r>
        <w:t xml:space="preserve"> </w:t>
      </w:r>
      <w:r>
        <w:t xml:space="preserve">(−0,0157) indica que a penalidade é maior nos bairros de renda-base</w:t>
      </w:r>
      <w:r>
        <w:t xml:space="preserve"> </w:t>
      </w:r>
      <w:r>
        <w:t xml:space="preserve">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contrasta os efeitos fixos de estado com os</w:t>
      </w:r>
      <w:r>
        <w:t xml:space="preserve"> </w:t>
      </w:r>
      <w:r>
        <w:t xml:space="preserve">interceptos estimados para os bairros, e a Figura </w:t>
      </w:r>
      <w:hyperlink w:anchor="fig:hlm_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mostra a reta de</w:t>
      </w:r>
      <w:r>
        <w:t xml:space="preserve"> </w:t>
      </w:r>
      <w:r>
        <w:t xml:space="preserve">cada bairro.</w:t>
      </w:r>
    </w:p>
    <w:bookmarkStart w:id="44" w:name="fig:hlm_blups"/>
    <w:p>
      <w:pPr>
        <w:pStyle w:val="CaptionedFigure"/>
      </w:pPr>
      <w:r>
        <w:drawing>
          <wp:inline>
            <wp:extent cx="5334000" cy="238594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5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44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bookmarkStart w:id="48" w:name="fig:hlm_rs"/>
    <w:p>
      <w:pPr>
        <w:pStyle w:val="CaptionedFigure"/>
      </w:pPr>
      <w:r>
        <w:drawing>
          <wp:inline>
            <wp:extent cx="5334000" cy="23275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outputs/figures/hlm_rs_retas_up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Nos bairros de renda mais alta, a penalidade racial é maior. M3 com</w:t>
      </w:r>
      <w:r>
        <w:t xml:space="preserve"> </w:t>
      </w:r>
      <w:r>
        <w:t xml:space="preserve">intercepto e inclinação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aleatórios por UPA: à esquerda, a reta ajustada</w:t>
      </w:r>
      <w:r>
        <w:t xml:space="preserve"> </w:t>
      </w:r>
      <w:r>
        <w:t xml:space="preserve">de cada bairro (amostra de 250 UPAs com brancos e negros) e, em azul, a média; à direita,</w:t>
      </w:r>
      <w:r>
        <w:t xml:space="preserve"> </w:t>
      </w:r>
      <w:r>
        <w:t xml:space="preserve">os BLUPs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das 40.728 UPAs, com correlação estimada de</w:t>
      </w:r>
      <w:r>
        <w:t xml:space="preserve"> </w:t>
      </w:r>
      <w:r>
        <w:t xml:space="preserve">−0</w:t>
      </w:r>
      <w:r>
        <w:t xml:space="preserve">,</w:t>
      </w:r>
      <w:r>
        <w:t xml:space="preserve">53.</w:t>
      </w:r>
    </w:p>
    <w:bookmarkEnd w:id="48"/>
    <w:p>
      <w:pPr>
        <w:pStyle w:val="BodyText"/>
      </w:pPr>
      <w:r>
        <w:rPr>
          <w:i/>
          <w:iCs/>
        </w:rPr>
        <w:t xml:space="preserve">Como ler a Figura </w:t>
      </w:r>
      <w:hyperlink w:anchor="fig:hlm_rs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a altura de cada reta é a</w:t>
      </w:r>
      <w:r>
        <w:t xml:space="preserve"> </w:t>
      </w:r>
      <w:r>
        <w:t xml:space="preserve">renda-base do bairro e a inclinação é a penalidade racial dentro dele — retas que descem</w:t>
      </w:r>
      <w:r>
        <w:t xml:space="preserve"> </w:t>
      </w:r>
      <w:r>
        <w:t xml:space="preserve">mais são bairros que penalizam mais. À direita, cada ponto é um bairro, e a reta azul resume a</w:t>
      </w:r>
      <w:r>
        <w:t xml:space="preserve"> </w:t>
      </w:r>
      <w:r>
        <w:t xml:space="preserve">relação: se ela desce, bairros de renda-base maior têm inclinação mais negativa, isto é,</w:t>
      </w:r>
      <w:r>
        <w:t xml:space="preserve"> </w:t>
      </w:r>
      <w:r>
        <w:t xml:space="preserve">penalizam mais.</w:t>
      </w:r>
    </w:p>
    <w:p>
      <w:pPr>
        <w:pStyle w:val="BodyText"/>
      </w:pPr>
      <w:r>
        <w:rPr>
          <w:b/>
          <w:bCs/>
        </w:rPr>
        <w:t xml:space="preserve">A penalidade ao longo da escada educacional.</w:t>
      </w:r>
      <w:r>
        <w:t xml:space="preserve"> </w:t>
      </w:r>
      <w:r>
        <w:t xml:space="preserve">O M3 impõe uma única penalidade racial a todos os níveis de escolaridade. Reestimado com o</w:t>
      </w:r>
      <w:r>
        <w:t xml:space="preserve"> </w:t>
      </w:r>
      <w:r>
        <w:t xml:space="preserve">coeficiente de raça livre em cada nível — mesma especificação, mesma população —, ele mostra</w:t>
      </w:r>
      <w:r>
        <w:t xml:space="preserve"> </w:t>
      </w:r>
      <w:r>
        <w:t xml:space="preserve">que a penalidade condicional diminui da base para o topo da escada: 9</w:t>
      </w:r>
      <w:r>
        <w:t xml:space="preserve">,</w:t>
      </w:r>
      <w:r>
        <w:t xml:space="preserve">6% entre quem está sem fundamental completo e 1</w:t>
      </w:r>
      <w:r>
        <w:t xml:space="preserve">,</w:t>
      </w:r>
      <w:r>
        <w:t xml:space="preserve">1% entre quem está com pós-graduação. O teste de razão de verossimilhança contra o M3, que impõe uma penalidade única, rejeita a igualdade entre os níveis (LR</w:t>
      </w:r>
      <w:r>
        <w:t xml:space="preserve"> </w:t>
      </w:r>
      <m:oMath>
        <m:r>
          <m:rPr>
            <m:sty m:val="p"/>
          </m:rPr>
          <m:t>=</m:t>
        </m:r>
        <m:r>
          <m:t>3319</m:t>
        </m:r>
      </m:oMath>
      <w:r>
        <w:t xml:space="preserve">, 4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Sem controles, o gap mediano é de 14</w:t>
      </w:r>
      <w:r>
        <w:t xml:space="preserve">,</w:t>
      </w:r>
      <w:r>
        <w:t xml:space="preserve">1% sem fundamental completo e de 26</w:t>
      </w:r>
      <w:r>
        <w:t xml:space="preserve">,</w:t>
      </w:r>
      <w:r>
        <w:t xml:space="preserve">1% com pós-graduação; a diferença entre o bruto e o condicional, em cada nível, é o que idade, sexo, jornada, bairro e estado explicam ali. A composição também difere: os negros são 67% de quem está sem fundamental completo e 37% de quem está com pós-graduação. Como no restante do trabalho, são diferenças condicionais entre pessoas comparáveis, não o efeito de estudar mais.</w:t>
      </w:r>
    </w:p>
    <w:bookmarkStart w:id="52" w:name="fig:hlm_negro_educ"/>
    <w:p>
      <w:pPr>
        <w:pStyle w:val="CaptionedFigure"/>
      </w:pPr>
      <w:r>
        <w:drawing>
          <wp:inline>
            <wp:extent cx="4800600" cy="336934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puts/figures/hlm_negro_por_educ_reta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69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Retorno de cada nível de escolaridade e penalidade racial dentro dele: M3 do</w:t>
      </w:r>
      <w:r>
        <w:t xml:space="preserve"> </w:t>
      </w:r>
      <w:r>
        <w:t xml:space="preserve">núcleo com o coeficiente de raça estimado em cada nível.</w:t>
      </w:r>
    </w:p>
    <w:bookmarkEnd w:id="52"/>
    <w:p>
      <w:pPr>
        <w:pStyle w:val="BodyText"/>
      </w:pPr>
      <w:r>
        <w:rPr>
          <w:i/>
          <w:iCs/>
        </w:rPr>
        <w:t xml:space="preserve">Como ler a Figura </w:t>
      </w:r>
      <w:hyperlink w:anchor="fig:hlm_negro_educ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reta é um nível de</w:t>
      </w:r>
      <w:r>
        <w:t xml:space="preserve"> </w:t>
      </w:r>
      <w:r>
        <w:t xml:space="preserve">escolaridade e vai do trabalhador branco (à esquerda) ao negro (à direita). A altura da reta</w:t>
      </w:r>
      <w:r>
        <w:t xml:space="preserve"> </w:t>
      </w:r>
      <w:r>
        <w:t xml:space="preserve">é o rendimento do nível em relação ao branco sem fundamental completo; a inclinação é a</w:t>
      </w:r>
      <w:r>
        <w:t xml:space="preserve"> </w:t>
      </w:r>
      <w:r>
        <w:t xml:space="preserve">penalidade racial dentro do nível, escrita à direita.</w:t>
      </w:r>
    </w:p>
    <w:p>
      <w:pPr>
        <w:pStyle w:val="BodyText"/>
      </w:pPr>
      <w:r>
        <w:rPr>
          <w:b/>
          <w:bCs/>
        </w:rPr>
        <w:t xml:space="preserve">O gap verdadeiro está entre dois limites, e nenhum confundidor plausível o anula.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98,4%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— uma associação</w:t>
      </w:r>
      <w:r>
        <w:t xml:space="preserve"> </w:t>
      </w:r>
      <w:r>
        <w:t xml:space="preserve">modesta, que sozinha não descarta viés.</w:t>
      </w:r>
    </w:p>
    <w:bookmarkStart w:id="53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.080</m:t>
        </m:r>
      </m:oMath>
      <w:r>
        <w:t xml:space="preserve">; 40.728 UPAs; 27 UFs). Coeficientes com erro-padrão do modelo entre parênteses (a correlação intra-UPA já está no efeito aleatório). Estimação por máxima verossimilhança (ML), para os testes LR entre degraus; REML coincide.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 quase todo coeficiente é significante; a inferência relevante está nos intervalos de confiança, não nos asteriscos</w:t>
      </w:r>
      <w:r>
        <w:t xml:space="preserve"> </w:t>
      </w:r>
      <w:r>
        <w:t xml:space="preserve">(Angrist; Pischke, 2009, cap. 8)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94.080; 40.728 UPAs; 27 UFs). Coeficientes com erro-padrão do modelo entre parênteses (a correlação intra-UPA já está no efeito aleatório). Estimação por máxima verossimilhança (ML), para os testes LR entre degraus; REML coincide. Com N desta ordem quase todo coeficiente é significante; a inferência relevante está nos intervalos de confiança, não nos asteriscos (Angrist; Pischke, 2009, cap. 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7,5778 (0,0028)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4,8436 (0,0039)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5,0132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5,2269 (0,0078)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5,4140 (0,0074)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−0,0669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−0,0637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−0,0629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−0,0579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−0,2590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−0,2592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−0,2394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0,0079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0,1884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0,1880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0,1464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0,1965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0,1956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0,1958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0,1013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0,5133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0,5107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0,5112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0,2937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0,3359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0,3341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0,3350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0,2445 (0,0011)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0,6539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0,5801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0,3419 (0,0037)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0,0927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0,0492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0,0071 (0,0025)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−0,0528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−0,0576 (0,0017)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−0,0183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−0,0007 (0,0010)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0,1577 (0,0014)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0,1694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0,1427 (0,0012)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0,1585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−0,1658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−0,1052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0,6250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0,5608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0,4001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0,1517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0,1839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0,2152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0,7871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[−0,0679; −0,0658]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[−0,0647; −0,0627]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[−0,0639; −0,0619]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[−0,0588; −0,0569]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17.439.802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14.160.722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14.116.659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13.256.145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3.279.380 (19)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29.811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14.712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860.704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145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0157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26.267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0659</m:t>
        </m:r>
      </m:oMath>
      <w:r>
        <w:t xml:space="preserve">.</w:t>
      </w:r>
    </w:p>
    <w:bookmarkEnd w:id="54"/>
    <w:bookmarkStart w:id="74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Todos os modelos até aqui impuseram uma forma à realidade: rendimento linear nos</w:t>
      </w:r>
      <w:r>
        <w:t xml:space="preserve"> </w:t>
      </w:r>
      <w:r>
        <w:t xml:space="preserve">controles, efeitos que se somam, penalidade racial constante. E se a forma estiver</w:t>
      </w:r>
      <w:r>
        <w:t xml:space="preserve"> </w:t>
      </w:r>
      <w:r>
        <w:t xml:space="preserve">errada — se o gap que os coeficientes mostram for, em alguma medida, artefato da</w:t>
      </w:r>
      <w:r>
        <w:t xml:space="preserve"> </w:t>
      </w:r>
      <w:r>
        <w:t xml:space="preserve">equação escolhida? Árvores de decisão respondem a essa objeção porque não pressupõem</w:t>
      </w:r>
      <w:r>
        <w:t xml:space="preserve"> </w:t>
      </w:r>
      <w:r>
        <w:t xml:space="preserve">forma nenhuma: descobrem sozinhas interações e não linearidades e, com os valores SHAP,</w:t>
      </w:r>
      <w:r>
        <w:t xml:space="preserve"> </w:t>
      </w:r>
      <w:r>
        <w:t xml:space="preserve">dizem quanto cada variável pesou em cada previsão. Se a raça aparecer entre os</w:t>
      </w:r>
      <w:r>
        <w:t xml:space="preserve"> </w:t>
      </w:r>
      <w:r>
        <w:t xml:space="preserve">preditores relevantes de um modelo que nunca foi instruído a procurá-la, o achado deixa</w:t>
      </w:r>
      <w:r>
        <w:t xml:space="preserve"> </w:t>
      </w:r>
      <w:r>
        <w:t xml:space="preserve">de depender da especificação. A Tabela </w:t>
      </w:r>
      <w:hyperlink w:anchor="tab:ml_perf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traz o desempenho dos modelos</w:t>
      </w:r>
      <w:r>
        <w:t xml:space="preserve"> </w:t>
      </w:r>
      <w:r>
        <w:t xml:space="preserve">sobre o conjunto de teste, separado antes de qualquer ajuste.</w:t>
      </w:r>
    </w:p>
    <w:bookmarkStart w:id="55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0,3970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0,0081</w:t>
            </w:r>
          </w:p>
        </w:tc>
      </w:tr>
    </w:tbl>
    <w:bookmarkEnd w:id="55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</w:t>
      </w:r>
      <w:r>
        <w:t xml:space="preserve">,</w:t>
      </w:r>
      <w:r>
        <w:t xml:space="preserve">64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). A 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relação à configuração de referência</w:t>
      </w:r>
      <w:r>
        <w:t xml:space="preserve"> </w:t>
      </w:r>
      <w:r>
        <w:t xml:space="preserve">(profundidade 6), com sobreajuste maior, mas ainda desprezível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8</w:t>
        </w:r>
      </w:hyperlink>
      <w:r>
        <w:t xml:space="preserve">).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Com um treino desse tamanho,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cai na quarta casa decimal: aqui a validação cruzada serve menos para</w:t>
      </w:r>
      <w:r>
        <w:t xml:space="preserve"> </w:t>
      </w:r>
      <w:r>
        <w:t xml:space="preserve">estimar incerteza e mais para justificar a especificação.</w:t>
      </w:r>
    </w:p>
    <w:bookmarkStart w:id="57" w:name="tab:ml_cv"/>
    <w:p>
      <w:pPr>
        <w:pStyle w:val="TableCaption"/>
      </w:pPr>
      <w:r>
        <w:t xml:space="preserve">Escolha de hiperparâmetros e validação cruzada do XGBoost (Alencar, 2024)</w:t>
      </w:r>
      <w:r>
        <w:t xml:space="preserve"> </w:t>
      </w:r>
      <w:r>
        <w:t xml:space="preserve">(Géron, 2021)</w:t>
      </w:r>
      <w:r>
        <w:t xml:space="preserve">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6.159.418 observações de</w:t>
      </w:r>
      <w:r>
        <w:t xml:space="preserve"> </w:t>
      </w:r>
      <w:r>
        <w:t xml:space="preserve">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) (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9.418 observações de treino e 1.539.855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(referência)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0,4128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0,0011</w:t>
            </w:r>
          </w:p>
        </w:tc>
      </w:tr>
    </w:tbl>
    <w:bookmarkEnd w:id="57"/>
    <w:bookmarkStart w:id="58" w:name="tab:ml_cv"/>
    <w:p>
      <w:pPr>
        <w:pStyle w:val="TableCaption"/>
      </w:pPr>
      <w:r>
        <w:t xml:space="preserve">Escolha de hiperparâmetros e validação cruzada do XGBoost (Alencar, 2024)</w:t>
      </w:r>
      <w:r>
        <w:t xml:space="preserve"> </w:t>
      </w:r>
      <w:r>
        <w:t xml:space="preserve">(Géron, 2021)</w:t>
      </w:r>
      <w:r>
        <w:t xml:space="preserve">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6.159.418 observações de</w:t>
      </w:r>
      <w:r>
        <w:t xml:space="preserve"> </w:t>
      </w:r>
      <w:r>
        <w:t xml:space="preserve">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) (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9.418 observações de treino e 1.539.855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0,6435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0,5360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0,6294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0,5466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ganha 1,4 ponto percentual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custo de um</w:t>
      </w:r>
      <w:r>
        <w:t xml:space="preserve"> </w:t>
      </w:r>
      <w:r>
        <w:t xml:space="preserve">sobreajuste maior, mas ainda pequeno (Painel A). No conjunto de teste (intocado durante a</w:t>
      </w:r>
      <w:r>
        <w:t xml:space="preserve"> </w:t>
      </w:r>
      <w:r>
        <w:t xml:space="preserve">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6444</m:t>
        </m:r>
      </m:oMath>
      <w:r>
        <w:t xml:space="preserve">; a estabilidade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e o erro em reais são</w:t>
      </w:r>
      <w:r>
        <w:t xml:space="preserve"> </w:t>
      </w:r>
      <w:r>
        <w:t xml:space="preserve">discutidos no texto.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159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R$ 664 por mês</w:t>
      </w:r>
      <w:r>
        <w:t xml:space="preserve"> </w:t>
      </w:r>
      <w:r>
        <w:t xml:space="preserve">(reais do 2º trimestre de 2026), ou 35%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Ampliar a base reduz o risco de sobreajuste, em vez de aumentá-lo.</w:t>
      </w:r>
      <w:r>
        <w:t xml:space="preserve"> </w:t>
      </w:r>
      <w:r>
        <w:t xml:space="preserve">A objeção usual a modelos flexíveis é que eles decoram os dados em vez de aprender com</w:t>
      </w:r>
      <w:r>
        <w:t xml:space="preserve"> </w:t>
      </w:r>
      <w:r>
        <w:t xml:space="preserve">eles — e quem decorou prevê bem o que já viu e mal o que não viu. Não é o caso aqui, e</w:t>
      </w:r>
      <w:r>
        <w:t xml:space="preserve"> </w:t>
      </w:r>
      <w:r>
        <w:t xml:space="preserve">a razão é o tamanho da base: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 teste praticamente coincidem, com</w:t>
      </w:r>
      <w:r>
        <w:t xml:space="preserve"> </w:t>
      </w:r>
      <w:r>
        <w:t xml:space="preserve">diferença de 0,0084</w:t>
      </w:r>
      <w:r>
        <w:rPr>
          <w:rStyle w:val="FootnoteReference"/>
        </w:rPr>
        <w:footnoteReference w:id="59"/>
      </w:r>
      <w:r>
        <w:t xml:space="preserve">. Três evidências</w:t>
      </w:r>
      <w:r>
        <w:t xml:space="preserve"> </w:t>
      </w:r>
      <w:r>
        <w:t xml:space="preserve">convergem: a diferença entre treino e teste é praticamente nula; o número de observações</w:t>
      </w:r>
      <w:r>
        <w:t xml:space="preserve"> </w:t>
      </w:r>
      <w:r>
        <w:t xml:space="preserve">supera em muitas ordens de grandeza a complexidade dos modelos, todos regularizados; 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quase não muda ao se passar de uma subamostra para a população inteira. É</w:t>
      </w:r>
      <w:r>
        <w:t xml:space="preserve"> </w:t>
      </w:r>
      <w:r>
        <w:t xml:space="preserve">o contrário da intuição corrente: ampliar a base, de amostral para populacional, reduz o</w:t>
      </w:r>
      <w:r>
        <w:t xml:space="preserve"> </w:t>
      </w:r>
      <w:r>
        <w:t xml:space="preserve">risco de sobreajuste em vez de aumentá-lo.</w:t>
      </w:r>
    </w:p>
    <w:bookmarkStart w:id="60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0,17823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0,19383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0,03339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0,00348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</w:tbl>
    <w:bookmarkEnd w:id="60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64" w:name="fig:shap"/>
    <w:p>
      <w:pPr>
        <w:pStyle w:val="CaptionedFigure"/>
      </w:pPr>
      <w:r>
        <w:drawing>
          <wp:inline>
            <wp:extent cx="4907280" cy="382294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utputs/figures/shap_beeswarm_xgb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822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bairro, diploma superior e jornada dominam a previsão de renda; a raça</w:t>
      </w:r>
      <w:r>
        <w:t xml:space="preserve"> </w:t>
      </w:r>
      <w:r>
        <w:t xml:space="preserve">aparece na 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28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632</m:t>
        </m:r>
      </m:oMath>
      <w:r>
        <w:t xml:space="preserve"> </w:t>
      </w:r>
      <w:r>
        <w:t xml:space="preserve">contra 0,644 do modelo completo) e, nele, a contribuição</w:t>
      </w:r>
      <w:r>
        <w:t xml:space="preserve"> </w:t>
      </w:r>
      <w:r>
        <w:t xml:space="preserve">média da raça é praticamente a mesma (0,029 contra 0,027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,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fatores. A parcela do</w:t>
      </w:r>
      <w:r>
        <w:t xml:space="preserve"> </w:t>
      </w:r>
      <w:r>
        <w:t xml:space="preserve">rendimento predito que o modelo atribui à raça difere em</w:t>
      </w:r>
      <w:r>
        <w:t xml:space="preserve"> </w:t>
      </w:r>
      <w:r>
        <w:t xml:space="preserve">5</w:t>
      </w:r>
      <w:r>
        <w:t xml:space="preserve">,</w:t>
      </w:r>
      <w:r>
        <w:t xml:space="preserve">3% entre trabalhadores negros e</w:t>
      </w:r>
      <w:r>
        <w:t xml:space="preserve"> </w:t>
      </w:r>
      <w:r>
        <w:t xml:space="preserve">brancos</w:t>
      </w:r>
      <w:r>
        <w:rPr>
          <w:rStyle w:val="FootnoteReference"/>
        </w:rPr>
        <w:footnoteReference w:id="66"/>
      </w:r>
      <w:r>
        <w:t xml:space="preserve"> </w:t>
      </w:r>
      <w:r>
        <w:t xml:space="preserve">— o que resta depois de educação, experiência, gênero, contexto de moradia e</w:t>
      </w:r>
      <w:r>
        <w:t xml:space="preserve"> </w:t>
      </w:r>
      <w:r>
        <w:t xml:space="preserve">ocupação. O valor fica a 0</w:t>
      </w:r>
      <w:r>
        <w:t xml:space="preserve">,</w:t>
      </w:r>
      <w:r>
        <w:t xml:space="preserve">4 ponto percentual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estimado</w:t>
      </w:r>
      <w:r>
        <w:t xml:space="preserve"> </w:t>
      </w:r>
      <w:r>
        <w:t xml:space="preserve">pelo M4 hierárquico, que usa controles semelhantes (o XGBoost acrescenta a renda média do</w:t>
      </w:r>
      <w:r>
        <w:t xml:space="preserve"> </w:t>
      </w:r>
      <w:r>
        <w:t xml:space="preserve">bairro): um algoritmo que não</w:t>
      </w:r>
      <w:r>
        <w:t xml:space="preserve"> </w:t>
      </w:r>
      <w:r>
        <w:t xml:space="preserve">impõe forma funcional alguma chega perto do modelo linear, sinal de que o</w:t>
      </w:r>
      <w:r>
        <w:t xml:space="preserve"> </w:t>
      </w:r>
      <w:r>
        <w:t xml:space="preserve">achado não depende da especificação de Mincer.</w:t>
      </w:r>
    </w:p>
    <w:p>
      <w:pPr>
        <w:pStyle w:val="BodyText"/>
      </w:pPr>
      <w:r>
        <w:t xml:space="preserve">Os dois modelos discordam quanto à raça, e 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a discordância: no Random Forest ela cai para o</w:t>
      </w:r>
      <w:r>
        <w:t xml:space="preserve"> </w:t>
      </w:r>
      <w:r>
        <w:t xml:space="preserve">20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lugar, com contribuição média próxima de zero,</w:t>
      </w:r>
      <w:r>
        <w:t xml:space="preserve"> </w:t>
      </w:r>
      <w:r>
        <w:t xml:space="preserve">enquanto as demais variáveis têm peso semelhante nos dois. A diferença é de</w:t>
      </w:r>
      <w:r>
        <w:t xml:space="preserve"> </w:t>
      </w:r>
      <w:r>
        <w:t xml:space="preserve">arquitetura, não de dados. Cada árvore da floresta escolhe, em cada nó, a</w:t>
      </w:r>
      <w:r>
        <w:t xml:space="preserve"> </w:t>
      </w:r>
      <w:r>
        <w:t xml:space="preserve">variável de maior ganho entre todas as disponíveis; com a profundidade limitada</w:t>
      </w:r>
      <w:r>
        <w:t xml:space="preserve"> </w:t>
      </w:r>
      <w:r>
        <w:t xml:space="preserve">a dez níveis, uma variável de efeito pequeno perde essa disputa em todos os nós</w:t>
      </w:r>
      <w:r>
        <w:t xml:space="preserve"> </w:t>
      </w:r>
      <w:r>
        <w:t xml:space="preserve">e acaba nunca sendo usada. O</w:t>
      </w:r>
      <w:r>
        <w:t xml:space="preserve"> </w:t>
      </w:r>
      <w:r>
        <w:rPr>
          <w:i/>
          <w:iCs/>
        </w:rPr>
        <w:t xml:space="preserve">boosting</w:t>
      </w:r>
      <w:r>
        <w:t xml:space="preserve"> </w:t>
      </w:r>
      <w:r>
        <w:t xml:space="preserve">trabalha em sequência sobre o</w:t>
      </w:r>
      <w:r>
        <w:t xml:space="preserve"> </w:t>
      </w:r>
      <w:r>
        <w:t xml:space="preserve">resíduo: consumidas as variáveis de maior peso nas primeiras iterações, o que</w:t>
      </w:r>
      <w:r>
        <w:t xml:space="preserve"> </w:t>
      </w:r>
      <w:r>
        <w:t xml:space="preserve">sobra passa a ter estrutura racial, e as árvores seguintes chegam a ela. É por</w:t>
      </w:r>
      <w:r>
        <w:t xml:space="preserve"> </w:t>
      </w:r>
      <w:r>
        <w:t xml:space="preserve">isso que a leitura se apoia no XGBoost, que é também o de melhor ajuste — e é</w:t>
      </w:r>
      <w:r>
        <w:t xml:space="preserve"> </w:t>
      </w:r>
      <w:r>
        <w:t xml:space="preserve">uma ilustração do que a literatura de</w:t>
      </w:r>
      <w:r>
        <w:t xml:space="preserve"> </w:t>
      </w:r>
      <w:r>
        <w:rPr>
          <w:i/>
          <w:iCs/>
        </w:rPr>
        <w:t xml:space="preserve">ensembles</w:t>
      </w:r>
      <w:r>
        <w:t xml:space="preserve"> </w:t>
      </w:r>
      <w:r>
        <w:t xml:space="preserve">chama de sensibilidade</w:t>
      </w:r>
      <w:r>
        <w:t xml:space="preserve"> </w:t>
      </w:r>
      <w:r>
        <w:t xml:space="preserve">do modelo à forma como o erro é decomposto.</w:t>
      </w:r>
    </w:p>
    <w:bookmarkStart w:id="73" w:name="fig:shap_wf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334000" cy="4850218"/>
                  <wp:effectExtent b="0" l="0" r="0" t="0"/>
                  <wp:docPr descr="image" title="" id="68" name="Picture"/>
                  <a:graphic>
                    <a:graphicData uri="http://schemas.openxmlformats.org/drawingml/2006/picture">
                      <pic:pic>
                        <pic:nvPicPr>
                          <pic:cNvPr descr="outputs/figures/shap_waterfall_A_branco_alta_renda_xgb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5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5334000" cy="4809209"/>
                  <wp:effectExtent b="0" l="0" r="0" t="0"/>
                  <wp:docPr descr="image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s/figures/shap_waterfall_B_negro_alta_renda_xgb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092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A mesma variável, sinais opostos: a raça soma à previsão do</w:t>
      </w:r>
      <w:r>
        <w:t xml:space="preserve"> </w:t>
      </w:r>
      <w:r>
        <w:t xml:space="preserve">trabalhador branco e subtrai da do negro.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dois trabalhadores, cada um no percentil 75 de rendimento</w:t>
      </w:r>
      <w:r>
        <w:t xml:space="preserve"> </w:t>
      </w:r>
      <w:r>
        <w:t xml:space="preserve">do próprio grupo; cada barra é a contribuição de uma variável ao afastamento entre</w:t>
      </w:r>
      <w:r>
        <w:t xml:space="preserve"> </w:t>
      </w:r>
      <w:r>
        <w:t xml:space="preserve">a previsão média da base e a previsão daquele caso, em log-pontos, e as de menor</w:t>
      </w:r>
      <w:r>
        <w:t xml:space="preserve"> </w:t>
      </w:r>
      <w:r>
        <w:t xml:space="preserve">peso estão agrupadas na linha das demais. Os painéis mostram como o modelo compõe</w:t>
      </w:r>
      <w:r>
        <w:t xml:space="preserve"> </w:t>
      </w:r>
      <w:r>
        <w:t xml:space="preserve">uma previsão: a diferença de rendimento entre os dois é bruta, sem os controles</w:t>
      </w:r>
      <w:r>
        <w:t xml:space="preserve"> </w:t>
      </w:r>
      <w:r>
        <w:t xml:space="preserve">que os modelos aplicam.</w:t>
      </w:r>
    </w:p>
    <w:bookmarkEnd w:id="73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Compare a linha</w:t>
      </w:r>
      <w:r>
        <w:t xml:space="preserve"> </w:t>
      </w:r>
      <w:r>
        <w:rPr>
          <w:i/>
          <w:iCs/>
        </w:rPr>
        <w:t xml:space="preserve">Raça (negro)</w:t>
      </w:r>
      <w:r>
        <w:t xml:space="preserve"> </w:t>
      </w:r>
      <w:r>
        <w:t xml:space="preserve">nos dois painéis: é a mesma variável, com o sinal trocado — soma no branco, subtrai no negro. Serve para ver como o modelo compõe uma decisão, não para generalizar: a magnitude média está na Figura </w:t>
      </w:r>
      <w:hyperlink w:anchor="fig:shap">
        <w:r>
          <w:rPr>
            <w:rStyle w:val="Hyperlink"/>
          </w:rPr>
          <w:t xml:space="preserve">4</w:t>
        </w:r>
      </w:hyperlink>
      <w:r>
        <w:t xml:space="preserve">, sobre os 50 mil casos.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74"/>
    <w:bookmarkStart w:id="80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10,5% (agregado) para 5,6% (M4); o que resta</w:t>
      </w:r>
      <w:r>
        <w:t xml:space="preserve"> </w:t>
      </w:r>
      <w:r>
        <w:t xml:space="preserve">no M4 é a penalidade que nenhum atributo observável explica.</w:t>
      </w:r>
    </w:p>
    <w:bookmarkStart w:id="75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</w:t>
            </w:r>
          </w:p>
        </w:tc>
      </w:tr>
    </w:tbl>
    <w:bookmarkEnd w:id="7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em 39,5%. Do modelo agregado</w:t>
      </w:r>
      <w:r>
        <w:t xml:space="preserve"> </w:t>
      </w:r>
      <w:r>
        <w:t xml:space="preserve">ao M4 o gap cai de 10,5% para 5,6%: 47,6% do gap é mediado por</w:t>
      </w:r>
      <w:r>
        <w:t xml:space="preserve"> </w:t>
      </w:r>
      <w:r>
        <w:t xml:space="preserve">onde a pessoa mora, o estado e a ocupação que acessa — e a penalidade de 5,6% persiste</w:t>
      </w:r>
      <w:r>
        <w:t xml:space="preserve"> </w:t>
      </w:r>
      <w:r>
        <w:t xml:space="preserve">dentro da mesma ocupação (limite inferior, pois a ocupação é ela própria resultado da barreira de acesso). O agregado inclui efeitos fixos de UF e o M1 e o M2 não (o M3 os reintroduz). Reestimado com UF, na mesma base, o M1 dá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0645</m:t>
        </m:r>
      </m:oMath>
      <w:r>
        <w:t xml:space="preserve"> </w:t>
      </w:r>
      <w:r>
        <w:t xml:space="preserve">e uma mediação pelo bairro de 41,6% (contra 39,5% na tabela): com o estado mantido no modelo, a mediação pelo bairro é ainda maior — a leitura da tabela é conservadora. Sem os efeitos fixos de UF, o gap agregado seria de 20,1% — a diferença entre estados é, ela própria, parte do diferencial.</w:t>
      </w:r>
    </w:p>
    <w:bookmarkStart w:id="79" w:name="fig:hlm_gap"/>
    <w:p>
      <w:pPr>
        <w:pStyle w:val="CaptionedFigure"/>
      </w:pPr>
      <w:r>
        <w:drawing>
          <wp:inline>
            <wp:extent cx="4907280" cy="238442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outputs/figures/fig_hlm_gap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84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Comparar vizinhos reduz o gap em cerca de 40%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79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80"/>
    <w:bookmarkStart w:id="86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De que é feito o gap? Duas explicações rivalizam desde</w:t>
      </w:r>
      <w:r>
        <w:t xml:space="preserve"> </w:t>
      </w:r>
      <w:r>
        <w:t xml:space="preserve">Becker (1957)</w:t>
      </w:r>
      <w:r>
        <w:t xml:space="preserve">, e</w:t>
      </w:r>
      <w:r>
        <w:t xml:space="preserve"> </w:t>
      </w:r>
      <w:r>
        <w:t xml:space="preserve">elas pedem políticas opostas. Ou negros e brancos chegam ao mercado com características</w:t>
      </w:r>
      <w:r>
        <w:t xml:space="preserve"> </w:t>
      </w:r>
      <w:r>
        <w:t xml:space="preserve">diferentes e o mercado paga igual por características iguais — o gap é</w:t>
      </w:r>
      <w:r>
        <w:t xml:space="preserve"> </w:t>
      </w:r>
      <w:r>
        <w:rPr>
          <w:i/>
          <w:iCs/>
        </w:rPr>
        <w:t xml:space="preserve">composição</w:t>
      </w:r>
      <w:r>
        <w:t xml:space="preserve">, e a política tem de agir antes do mercado, na escola e na formação.</w:t>
      </w:r>
      <w:r>
        <w:t xml:space="preserve"> </w:t>
      </w:r>
      <w:r>
        <w:t xml:space="preserve">Ou chegam com as mesmas características e o mercado paga diferente — o gap é</w:t>
      </w:r>
      <w:r>
        <w:t xml:space="preserve"> </w:t>
      </w:r>
      <w:r>
        <w:rPr>
          <w:i/>
          <w:iCs/>
        </w:rPr>
        <w:t xml:space="preserve">preço</w:t>
      </w:r>
      <w:r>
        <w:t xml:space="preserve">, e a política tem de agir dentro dele, na contratação e na fiscalização.</w:t>
      </w:r>
      <w:r>
        <w:t xml:space="preserve"> </w:t>
      </w:r>
      <w:r>
        <w:t xml:space="preserve">A distinção é empírica, e a decomposição de Oaxaca–Blinder foi construída para fazê-la.</w:t>
      </w:r>
    </w:p>
    <w:p>
      <w:pPr>
        <w:pStyle w:val="BodyText"/>
      </w:pPr>
      <w:r>
        <w:t xml:space="preserve">A decomposição de Oaxaca–Blinder separa o gap bruto de log-rendimento</w:t>
      </w:r>
      <w:r>
        <w:t xml:space="preserve"> </w:t>
      </w:r>
      <w:r>
        <w:t xml:space="preserve">(0,4252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(Angrist; Pischke, 2009)</w:t>
      </w:r>
      <w:r>
        <w:t xml:space="preserve">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humano, jornada, contexto de UPA e estado), 17,9% do gap não é</w:t>
      </w:r>
      <w:r>
        <w:t xml:space="preserve"> </w:t>
      </w:r>
      <w:r>
        <w:t xml:space="preserve">explicado por características observáveis; em (B), tratando também formalidade e grupo</w:t>
      </w:r>
      <w:r>
        <w:t xml:space="preserve"> </w:t>
      </w:r>
      <w:r>
        <w:t xml:space="preserve">CBO como dotações, a parcela não explicada cai para 15,4%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(2,5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(Fávero; Belfiore, 2024, cap. 12)</w:t>
      </w:r>
      <w:r>
        <w:t xml:space="preserve">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0,067</w:t>
      </w:r>
      <w:r>
        <w:t xml:space="preserve"> </w:t>
      </w:r>
      <w:r>
        <w:t xml:space="preserve">(brancos) e 0,066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0,0020 (brancos) e 0,0060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81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sexo, jornada, área urbana, contexto de UPA e efeitos fixos</w:t>
      </w:r>
      <w:r>
        <w:t xml:space="preserve"> </w:t>
      </w:r>
      <w:r>
        <w:t xml:space="preserve">de UF — os mesmos controles do HLM M3; a parcela não explicada é comparável à da literatura.</w:t>
      </w:r>
      <w:r>
        <w:t xml:space="preserve"> </w:t>
      </w:r>
      <w:r>
        <w:t xml:space="preserve">(B) </w:t>
      </w:r>
      <w:r>
        <w:rPr>
          <w:i/>
          <w:iCs/>
        </w:rPr>
        <w:t xml:space="preserve">Acesso</w:t>
      </w:r>
      <w:r>
        <w:t xml:space="preserve">: (A) + formalidade e grupo CBO tratados como dotações (os controles do M4)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</w:t>
      </w:r>
      <w:r>
        <w:t xml:space="preserve"> </w:t>
      </w:r>
      <w:r>
        <w:t xml:space="preserve">(Oaxaca; Ransom, 1999)</w:t>
      </w:r>
      <w:r>
        <w:t xml:space="preserve"> </w:t>
      </w:r>
      <w:r>
        <w:t xml:space="preserve">(ver o GLMM de acesso,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41.459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, jornada, área urbana, contexto de UPA e efeitos fixos de UF — os mesmos controles do HLM M3; a parcela não explicada é comparável à da literatura. (B) Acesso: (A) + formalidade e grupo CBO tratados como dotações (os controles do M4) — a parcela não explicada é a discriminação dentro da ocupação, um limite inferior, pois a segregação ocupacional é ela própria discriminatória (Oaxaca; Ransom, 1999) (ver o GLMM de acesso, Tabela 14). População completa da PEA com renda positiva (N = 7.699.278; 41.45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0,3491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0,3598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0,0761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0,0654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15,4</w:t>
            </w:r>
          </w:p>
        </w:tc>
      </w:tr>
    </w:tbl>
    <w:bookmarkEnd w:id="8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85" w:name="fig:ob_cascata"/>
    <w:p>
      <w:pPr>
        <w:pStyle w:val="CaptionedFigure"/>
      </w:pPr>
      <w:r>
        <w:drawing>
          <wp:inline>
            <wp:extent cx="5067300" cy="203618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outputs/figures/fig_ob_cascata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3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reduz a discriminação medida de</w:t>
      </w:r>
      <w:r>
        <w:t xml:space="preserve"> </w:t>
      </w:r>
      <w:r>
        <w:t xml:space="preserve">17,9% para 15,4% do gap. Os 2,5 pontos que somem são a parte que</w:t>
      </w:r>
      <w:r>
        <w:t xml:space="preserve"> </w:t>
      </w:r>
      <w:r>
        <w:t xml:space="preserve">opera na porta de entrada das ocupações — medida diretamente pelo modelo de acesso.</w:t>
      </w:r>
    </w:p>
    <w:bookmarkEnd w:id="85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86"/>
    <w:bookmarkStart w:id="93" w:name="subsec:qr_rif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penalidade racial é a mesma em toda a distribuição de renda? Nada obriga que seja,</w:t>
      </w:r>
      <w:r>
        <w:t xml:space="preserve"> </w:t>
      </w:r>
      <w:r>
        <w:t xml:space="preserve">e as duas possibilidades apontam para lugares diferentes. Se ela crescer rumo ao topo, o</w:t>
      </w:r>
      <w:r>
        <w:t xml:space="preserve"> </w:t>
      </w:r>
      <w:r>
        <w:t xml:space="preserve">problema é um teto de vidro: quanto mais alto se sobe, mais a cor pesa, e o alvo da</w:t>
      </w:r>
      <w:r>
        <w:t xml:space="preserve"> </w:t>
      </w:r>
      <w:r>
        <w:t xml:space="preserve">política são as posições de comando. Se for maior na base, o problema é um piso</w:t>
      </w:r>
      <w:r>
        <w:t xml:space="preserve"> </w:t>
      </w:r>
      <w:r>
        <w:t xml:space="preserve">pegajoso, e concentrar esforços nas elites profissionais erra o alvo por inteiro. Os</w:t>
      </w:r>
      <w:r>
        <w:t xml:space="preserve"> </w:t>
      </w:r>
      <w:r>
        <w:t xml:space="preserve">resultados a seguir mostram que as duas leituras estão corretas — porque respondem a</w:t>
      </w:r>
      <w:r>
        <w:t xml:space="preserve"> </w:t>
      </w:r>
      <w:r>
        <w:t xml:space="preserve">perguntas diferentes, e a subseção termina explicando por que não se contradizem.</w:t>
      </w:r>
    </w:p>
    <w:p>
      <w:pPr>
        <w:pStyle w:val="BodyText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 a penalidade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w:r>
        <w:t xml:space="preserve">crescendo rumo ao topo (teto de vidro entre</w:t>
      </w:r>
      <w:r>
        <w:t xml:space="preserve"> </w:t>
      </w:r>
      <w:r>
        <w:t xml:space="preserve">pessoas de mesmo perfil);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RIF — a coluna ao lado do gap observado —,</w:t>
      </w:r>
      <w:r>
        <w:t xml:space="preserve"> </w:t>
      </w:r>
      <w:r>
        <w:t xml:space="preserve">e a coluna Retornos cai de</w:t>
      </w:r>
      <w:r>
        <w:t xml:space="preserve"> </w:t>
      </w:r>
      <m:oMath>
        <m:r>
          <m:t>26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(q10) a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(q90):</w:t>
      </w:r>
      <w:r>
        <w:t xml:space="preserve"> </w:t>
      </w:r>
      <w:r>
        <w:t xml:space="preserve">a parcela não explicada pesa mais na base. Como a RIF usa os controles da</w:t>
      </w:r>
      <w:r>
        <w:t xml:space="preserve"> </w:t>
      </w:r>
      <w:r>
        <w:t xml:space="preserve">Oaxaca–Blinder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ocupação, sua parcela de retornos na mediana</w:t>
      </w:r>
      <w:r>
        <w:t xml:space="preserve"> </w:t>
      </w:r>
      <w:r>
        <w:t xml:space="preserve">(</w:t>
      </w:r>
      <m:oMath>
        <m:r>
          <m:t>20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%</m:t>
        </m:r>
      </m:oMath>
      <w:r>
        <w:t xml:space="preserve">) se compara aos</w:t>
      </w:r>
      <w:r>
        <w:t xml:space="preserve"> </w:t>
      </w:r>
      <m:oMath>
        <m:r>
          <m:t>17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da especificação (A)</w:t>
      </w:r>
      <w:r>
        <w:t xml:space="preserve"> </w:t>
      </w:r>
      <w:r>
        <w:t xml:space="preserve">da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, e não aos</w:t>
      </w:r>
      <w:r>
        <w:t xml:space="preserve"> </w:t>
      </w:r>
      <m:oMath>
        <m:r>
          <m:t>15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da (B), que trata a</w:t>
      </w:r>
      <w:r>
        <w:t xml:space="preserve"> </w:t>
      </w:r>
      <w:r>
        <w:t xml:space="preserve">ocupação como característica. O q25 pede cautela: ele cai sobre o salário mínimo,</w:t>
      </w:r>
      <w:r>
        <w:t xml:space="preserve"> </w:t>
      </w:r>
      <w:r>
        <w:t xml:space="preserve">onde muitos trabalhadores têm exatamente a mesma renda. Num ponto de massa assim a</w:t>
      </w:r>
      <w:r>
        <w:t xml:space="preserve"> </w:t>
      </w:r>
      <w:r>
        <w:t xml:space="preserve">densidade que a RIF usa não é bem definida e depende da largura de banda do</w:t>
      </w:r>
      <w:r>
        <w:t xml:space="preserve"> </w:t>
      </w:r>
      <w:r>
        <w:rPr>
          <w:i/>
          <w:iCs/>
        </w:rPr>
        <w:t xml:space="preserve">kernel</w:t>
      </w:r>
      <w:r>
        <w:t xml:space="preserve">; por isso, no q25, o gap que a RIF decompõe fica bem abaixo do</w:t>
      </w:r>
      <w:r>
        <w:t xml:space="preserve"> </w:t>
      </w:r>
      <w:r>
        <w:t xml:space="preserve">observado. As parcelas de dotações e retornos, que são razões, não dependem dessa</w:t>
      </w:r>
      <w:r>
        <w:t xml:space="preserve"> </w:t>
      </w:r>
      <w:r>
        <w:t xml:space="preserve">escolha — a densidade escala as duas pelo mesmo fator —, e o padrão do q10 ao q90</w:t>
      </w:r>
      <w:r>
        <w:t xml:space="preserve"> </w:t>
      </w:r>
      <w:r>
        <w:t xml:space="preserve">também não.</w:t>
      </w:r>
    </w:p>
    <w:p>
      <w:pPr>
        <w:pStyle w:val="BodyText"/>
      </w:pPr>
      <w:r>
        <w:rPr>
          <w:b/>
          <w:bCs/>
        </w:rPr>
        <w:t xml:space="preserve">Por sexo.</w:t>
      </w:r>
      <w:r>
        <w:t xml:space="preserve"> </w:t>
      </w:r>
      <w:r>
        <w:t xml:space="preserve">As colunas por sexo da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mostram que o padrão não é o mesmo para todos: entre homens, a penalidade cresce de 3,9% (q10) para 9,0% (q90); entre mulheres, a penalidade é maior nas duas pontas — 4,9% no q10, 4,3% na mediana e 7,3% no q90 —, de modo que ao teto de vidro se soma um piso pegajoso</w:t>
      </w:r>
      <w:r>
        <w:t xml:space="preserve"> </w:t>
      </w:r>
      <w:r>
        <w:rPr>
          <w:i/>
          <w:iCs/>
        </w:rPr>
        <w:t xml:space="preserve">condicional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87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0437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0504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0008)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0670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0723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0583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0875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0940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0020)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0920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rPr>
                      <m:sty m:val="b"/>
                    </m:rPr>
                    <m:t>−</m:t>
                  </m:r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0439</m:t>
                  </m:r>
                  <m:r>
                    <m:rPr>
                      <m:nor/>
                      <m:sty m:val="p"/>
                    </m:rPr>
                    <m:t> log-pt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0017)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tab:rif_ob"/>
    <w:p>
      <w:pPr>
        <w:pStyle w:val="TableCaption"/>
      </w:pPr>
      <w:r>
        <w:t xml:space="preserve">Decomposição RIF-OB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Mesmos controles da decomposição de Oaxaca–Blinder sem ocupação (escolaridade,</w:t>
      </w:r>
      <w:r>
        <w:t xml:space="preserve"> </w:t>
      </w:r>
      <w:r>
        <w:t xml:space="preserve">idade, sexo, jornada, área urbana, ano e contexto do bairro), mais efeitos fixos de UF; a ocupação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entra.</w:t>
      </w:r>
      <w:r>
        <w:t xml:space="preserve"> </w:t>
      </w:r>
      <w:r>
        <w:t xml:space="preserve">Dotações: diferença de características observáveis. Retornos: parcela não explicada, que</w:t>
      </w:r>
      <w:r>
        <w:t xml:space="preserve"> </w:t>
      </w:r>
      <w:r>
        <w:t xml:space="preserve">inclui a discriminação e o que não foi observado.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rPr>
          <w:i/>
          <w:iCs/>
        </w:rPr>
        <w:t xml:space="preserve">do gap RIF</w:t>
      </w:r>
      <w:r>
        <w:t xml:space="preserve"> </w:t>
      </w:r>
      <w:r>
        <w:t xml:space="preserve">— que é o gap decomposto pelo</w:t>
      </w:r>
      <w:r>
        <w:t xml:space="preserve"> </w:t>
      </w:r>
      <w:r>
        <w:t xml:space="preserve">método e difere do gap observado da segunda coluna; as porcentagens</w:t>
      </w:r>
      <w:r>
        <w:t xml:space="preserve"> </w:t>
      </w:r>
      <w:r>
        <w:t xml:space="preserve">são fração daquele, não deste.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a parcela de retornos</w:t>
      </w:r>
      <w:r>
        <w:t xml:space="preserve"> </w:t>
      </w:r>
      <w:r>
        <w:t xml:space="preserve">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; Fortin; Lemieux, 2018) do gap salarial racial por quantil incondicional, em formato two-fold (referência: estrutura de preços dos brancos). Mesmos controles da decomposição de Oaxaca–Blinder sem ocupação (escolaridade, idade, sexo, jornada, área urbana, ano e contexto do bairro), mais efeitos fixos de UF; a ocupação não entra. Dotações: diferença de características observáveis. Retornos: parcela não explicada, que inclui a discriminação e o que não foi observado. Dotações + Retornos =100\% do gap RIF — que é o gap decomposto pelo método e difere do gap observado da segunda coluna; as porcentagens são fração daquele, não deste. Padrão sticky floor: a parcela de retornos é maior na base e decresce rumo ao topo. PNAD Contínua 2016–2025, população completa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RIF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0,569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73,5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0,223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0,375 (0,003)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0,448 (0,004)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83,1 (1,3)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0,564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91,1 (1,6)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</w:tbl>
    <w:bookmarkEnd w:id="88"/>
    <w:bookmarkStart w:id="92" w:name="fig:qr_rif"/>
    <w:p>
      <w:pPr>
        <w:pStyle w:val="CaptionedFigure"/>
      </w:pPr>
      <w:r>
        <w:drawing>
          <wp:inline>
            <wp:extent cx="5227320" cy="188976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outputs/figures/fig_qr_rif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889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entre pares, piso pegajoso na renda do país: duas perguntas,</w:t>
      </w:r>
      <w:r>
        <w:t xml:space="preserve"> </w:t>
      </w:r>
      <w:r>
        <w:t xml:space="preserve">dois padrões.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92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93"/>
    <w:bookmarkStart w:id="104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Até aqui a pergunta foi quanto um trabalhador negro ganha a menos. Ela pressupõe que</w:t>
      </w:r>
      <w:r>
        <w:t xml:space="preserve"> </w:t>
      </w:r>
      <w:r>
        <w:t xml:space="preserve">negros e brancos estejam disputando as mesmas vagas. E se a barreira for anterior ao</w:t>
      </w:r>
      <w:r>
        <w:t xml:space="preserve"> </w:t>
      </w:r>
      <w:r>
        <w:t xml:space="preserve">salário — se ela estiver em</w:t>
      </w:r>
      <w:r>
        <w:t xml:space="preserve"> </w:t>
      </w:r>
      <w:r>
        <w:rPr>
          <w:i/>
          <w:iCs/>
        </w:rPr>
        <w:t xml:space="preserve">quais</w:t>
      </w:r>
      <w:r>
        <w:t xml:space="preserve"> </w:t>
      </w:r>
      <w:r>
        <w:t xml:space="preserve">posições cada um consegue alcançar? É a</w:t>
      </w:r>
      <w:r>
        <w:t xml:space="preserve"> </w:t>
      </w:r>
      <w:r>
        <w:t xml:space="preserve">pergunta desta subseção, e ela importa porque muda o alvo da política: se a desigualdade</w:t>
      </w:r>
      <w:r>
        <w:t xml:space="preserve"> </w:t>
      </w:r>
      <w:r>
        <w:t xml:space="preserve">se produz no salário, o remédio é fiscalização de remuneração; se ela se produz no</w:t>
      </w:r>
      <w:r>
        <w:t xml:space="preserve"> </w:t>
      </w:r>
      <w:r>
        <w:t xml:space="preserve">acesso, nenhuma política salarial a alcança. Três desfechos respondem — ocupar cargo</w:t>
      </w:r>
      <w:r>
        <w:t xml:space="preserve"> </w:t>
      </w:r>
      <w:r>
        <w:t xml:space="preserve">qualificado (CBO 1–4), estar no top 20% e no top 10% da renda —, cada um estimado</w:t>
      </w:r>
      <w:r>
        <w:t xml:space="preserve"> </w:t>
      </w:r>
      <w:r>
        <w:t xml:space="preserve">em quatro degraus próprios, rotulados A1 a A4 para não se confundirem com os do HLM</w:t>
      </w:r>
      <w:r>
        <w:t xml:space="preserve"> </w:t>
      </w:r>
      <w:r>
        <w:t xml:space="preserve">—aos quais não correspondem um a um—, com intercepto aleatório de UPA e efeitos fixos</w:t>
      </w:r>
      <w:r>
        <w:t xml:space="preserve"> </w:t>
      </w:r>
      <w:r>
        <w:t xml:space="preserve">de UF.</w:t>
      </w:r>
      <w:r>
        <w:rPr>
          <w:rStyle w:val="FootnoteReference"/>
        </w:rPr>
        <w:footnoteReference w:id="94"/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A primeira coisa que o modelo mostra é que a lógica territorial do HLM se repete aqui.</w:t>
      </w:r>
      <w:r>
        <w:t xml:space="preserve"> </w:t>
      </w:r>
      <w:r>
        <w:t xml:space="preserve">Entre</w:t>
      </w:r>
      <w:r>
        <w:t xml:space="preserve"> </w:t>
      </w:r>
      <w:r>
        <w:rPr>
          <w:b/>
          <w:bCs/>
        </w:rPr>
        <w:t xml:space="preserve">9% e 22% da variância latente do</w:t>
      </w:r>
      <w:r>
        <w:rPr>
          <w:b/>
          <w:bCs/>
        </w:rPr>
        <w:t xml:space="preserve"> </w:t>
      </w:r>
      <w:r>
        <w:rPr>
          <w:b/>
          <w:bCs/>
        </w:rPr>
        <w:t xml:space="preserve">acesso está entre bairros</w:t>
      </w:r>
      <w:r>
        <w:rPr>
          <w:rStyle w:val="FootnoteReference"/>
        </w:rPr>
        <w:footnoteReference w:id="95"/>
      </w:r>
      <w:r>
        <w:t xml:space="preserve"> </w:t>
      </w:r>
      <w:r>
        <w:t xml:space="preserve">— ou seja, saber apenas em que bairro alguém mora já antecipa</w:t>
      </w:r>
      <w:r>
        <w:t xml:space="preserve"> </w:t>
      </w:r>
      <w:r>
        <w:t xml:space="preserve">boa parte da chance de essa pessoa chegar a um cargo qualificado, antes de se conhecer</w:t>
      </w:r>
      <w:r>
        <w:t xml:space="preserve"> </w:t>
      </w:r>
      <w:r>
        <w:t xml:space="preserve">sua escolaridade. E a fração é maior para o top 10% do que para o cargo qualificado:</w:t>
      </w:r>
      <w:r>
        <w:t xml:space="preserve"> </w:t>
      </w:r>
      <w:r>
        <w:t xml:space="preserve">quanto mais alto o degrau, mais o endereço pesa.</w:t>
      </w:r>
    </w:p>
    <w:p>
      <w:pPr>
        <w:pStyle w:val="BodyText"/>
      </w:pPr>
      <w:r>
        <w:rPr>
          <w:b/>
          <w:bCs/>
        </w:rPr>
        <w:t xml:space="preserve">A porta é mais estreita para negros — e estreita ainda mais no topo.</w:t>
      </w:r>
      <w:r>
        <w:t xml:space="preserve"> </w:t>
      </w:r>
      <w:r>
        <w:t xml:space="preserve">Comparando pessoas do mesmo bairro, com a mesma escolaridade, sexo, idade e estado,</w:t>
      </w:r>
      <w:r>
        <w:t xml:space="preserve"> </w:t>
      </w:r>
      <w:r>
        <w:t xml:space="preserve">a chance de um trabalhador negro ocupar cargo qualificado é</w:t>
      </w:r>
      <w:r>
        <w:t xml:space="preserve"> </w:t>
      </w:r>
      <w:r>
        <w:t xml:space="preserve">OR </w:t>
      </w:r>
      <m:oMath>
        <m:r>
          <m:rPr>
            <m:sty m:val="p"/>
          </m:rPr>
          <m:t>=</m:t>
        </m:r>
      </m:oMath>
      <w:r>
        <w:t xml:space="preserve"> 0,814</w:t>
      </w:r>
      <w:r>
        <w:rPr>
          <w:rStyle w:val="FootnoteReference"/>
        </w:rPr>
        <w:footnoteReference w:id="96"/>
      </w:r>
      <w:r>
        <w:t xml:space="preserve"> </w:t>
      </w:r>
      <w:r>
        <w:t xml:space="preserve">da chance de um branco —</w:t>
      </w:r>
      <w:r>
        <w:t xml:space="preserve"> </w:t>
      </w:r>
      <w:r>
        <w:rPr>
          <w:b/>
          <w:bCs/>
        </w:rPr>
        <w:t xml:space="preserve">chances (</w:t>
      </w:r>
      <w:r>
        <w:rPr>
          <w:b/>
          <w:bCs/>
          <w:i/>
          <w:iCs/>
        </w:rPr>
        <w:t xml:space="preserve">odds</w:t>
      </w:r>
      <w:r>
        <w:rPr>
          <w:b/>
          <w:bCs/>
        </w:rPr>
        <w:t xml:space="preserve">)</w:t>
      </w:r>
      <w:r>
        <w:rPr>
          <w:b/>
          <w:bCs/>
        </w:rPr>
        <w:t xml:space="preserve"> </w:t>
      </w:r>
      <w:r>
        <w:rPr>
          <w:b/>
          <w:bCs/>
        </w:rPr>
        <w:t xml:space="preserve">19% menores</w:t>
      </w:r>
      <w:r>
        <w:t xml:space="preserve">. Traduzido para probabilidade, que é a medida a reter</w:t>
      </w:r>
      <w:r>
        <w:t xml:space="preserve"> </w:t>
      </w:r>
      <w:r>
        <w:t xml:space="preserve">(Angrist; Pischke, 2009)</w:t>
      </w:r>
      <w:r>
        <w:t xml:space="preserve">, são</w:t>
      </w:r>
      <w:r>
        <w:t xml:space="preserve"> </w:t>
      </w:r>
      <w:r>
        <w:rPr>
          <w:b/>
          <w:bCs/>
        </w:rPr>
        <w:t xml:space="preserve">2,6 pontos percentuais</w:t>
      </w:r>
      <w:r>
        <w:t xml:space="preserve"> </w:t>
      </w:r>
      <w:r>
        <w:t xml:space="preserve">a menos de chegar</w:t>
      </w:r>
      <w:r>
        <w:t xml:space="preserve"> </w:t>
      </w:r>
      <w:r>
        <w:t xml:space="preserve">lá. E a desvantagem cresce à medida que se sobe na renda: para chegar ao top 10% —</w:t>
      </w:r>
      <w:r>
        <w:t xml:space="preserve"> </w:t>
      </w:r>
      <w:r>
        <w:t xml:space="preserve">que já não é o acesso a uma ocupação, mas a uma faixa de rendimento — o OR cai para</w:t>
      </w:r>
      <w:r>
        <w:t xml:space="preserve"> </w:t>
      </w:r>
      <w:r>
        <w:t xml:space="preserve">0,761,</w:t>
      </w:r>
      <w:r>
        <w:t xml:space="preserve"> </w:t>
      </w:r>
      <w:r>
        <w:rPr>
          <w:b/>
          <w:bCs/>
        </w:rPr>
        <w:t xml:space="preserve">chances 24% menores</w:t>
      </w:r>
      <w:r>
        <w:t xml:space="preserve">. Não é o mesmo fenômeno do</w:t>
      </w:r>
      <w:r>
        <w:t xml:space="preserve"> </w:t>
      </w:r>
      <w:r>
        <w:t xml:space="preserve">salário visto de outro ângulo — é uma barreira que age antes, na distribuição das</w:t>
      </w:r>
      <w:r>
        <w:t xml:space="preserve"> </w:t>
      </w:r>
      <w:r>
        <w:t xml:space="preserve">posições, e que nenhuma política de remuneração igual alcançaria.</w:t>
      </w:r>
    </w:p>
    <w:p>
      <w:pPr>
        <w:pStyle w:val="BodyText"/>
      </w:pPr>
      <w:r>
        <w:t xml:space="preserve">Em síntese, a desigualdade racial no mercado de trabalho brasileiro não começa</w:t>
      </w:r>
      <w:r>
        <w:t xml:space="preserve"> </w:t>
      </w:r>
      <w:r>
        <w:t xml:space="preserve">só no contracheque: começa também na porta.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Duas explicações alternativas se apresentam naturalmente, e o modelo testa as duas. A</w:t>
      </w:r>
      <w:r>
        <w:t xml:space="preserve"> </w:t>
      </w:r>
      <w:r>
        <w:t xml:space="preserve">primeira é a informalidade: a barreira seria um artefato de negros estarem mais em</w:t>
      </w:r>
      <w:r>
        <w:t xml:space="preserve"> </w:t>
      </w:r>
      <w:r>
        <w:t xml:space="preserve">vínculos precários. Descontar o vínculo (A3) praticamente não move o OR do cargo</w:t>
      </w:r>
      <w:r>
        <w:t xml:space="preserve"> </w:t>
      </w:r>
      <w:r>
        <w:t xml:space="preserve">qualificado (0,791) nem o do top 10% (0,740), de modo que não é</w:t>
      </w:r>
      <w:r>
        <w:t xml:space="preserve"> </w:t>
      </w:r>
      <w:r>
        <w:t xml:space="preserve">isso. A segunda é o diploma: bastaria credenciar-se.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 do A4 é de 1,042 para o superior completo e</w:t>
      </w:r>
      <w:r>
        <w:t xml:space="preserve"> </w:t>
      </w:r>
      <w:r>
        <w:t xml:space="preserve">0,947 para a pós-graduação — o superior completo atenua levemente a barreira, mas a pós-graduação volta a agravá-la —, e o OR combinado de um</w:t>
      </w:r>
      <w:r>
        <w:t xml:space="preserve"> </w:t>
      </w:r>
      <w:r>
        <w:t xml:space="preserve">trabalhador negro com superior completo ainda é 0,818. A credencial não</w:t>
      </w:r>
      <w:r>
        <w:t xml:space="preserve"> </w:t>
      </w:r>
      <w:r>
        <w:t xml:space="preserve">neutraliza a barreira. A Figura </w:t>
      </w:r>
      <w:hyperlink w:anchor="fig:glmm_o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reúne as razões</w:t>
      </w:r>
      <w:r>
        <w:t xml:space="preserve"> </w:t>
      </w:r>
      <w:r>
        <w:t xml:space="preserve">de chance dos três desfechos e dos modelos de cada um.</w:t>
      </w:r>
    </w:p>
    <w:p>
      <w:pPr>
        <w:pStyle w:val="BodyText"/>
      </w:pPr>
      <w:r>
        <w:rPr>
          <w:b/>
          <w:bCs/>
        </w:rPr>
        <w:t xml:space="preserve">Quão forte teria de ser um confundidor omitido.</w:t>
      </w:r>
      <w:r>
        <w:t xml:space="preserve"> </w:t>
      </w:r>
      <w:r>
        <w:t xml:space="preserve">O modelo separa bem quem acessa de quem não acessa</w:t>
      </w:r>
      <w:r>
        <w:rPr>
          <w:rStyle w:val="FootnoteReference"/>
        </w:rPr>
        <w:footnoteReference w:id="97"/>
      </w:r>
      <w:r>
        <w:t xml:space="preserve">, mas a</w:t>
      </w:r>
      <w:r>
        <w:t xml:space="preserve"> </w:t>
      </w:r>
      <w:r>
        <w:t xml:space="preserve">pergunta que interessa não é essa: é se a desvantagem poderia ser obra de algo que o</w:t>
      </w:r>
      <w:r>
        <w:t xml:space="preserve"> </w:t>
      </w:r>
      <w:r>
        <w:t xml:space="preserve">modelo não viu. O E-value responde quanto um confundidor omitido teria de ser forte para</w:t>
      </w:r>
      <w:r>
        <w:t xml:space="preserve"> </w:t>
      </w:r>
      <w:r>
        <w:t xml:space="preserve">anular o resultado, e aqui ele vale</w:t>
      </w:r>
      <w:r>
        <w:t xml:space="preserve"> </w:t>
      </w:r>
      <w:r>
        <w:rPr>
          <w:b/>
          <w:bCs/>
        </w:rPr>
        <w:t xml:space="preserve">1,5</w:t>
      </w:r>
      <w:r>
        <w:t xml:space="preserve">: seria preciso uma</w:t>
      </w:r>
      <w:r>
        <w:t xml:space="preserve"> </w:t>
      </w:r>
      <w:r>
        <w:t xml:space="preserve">característica não medida associada tanto a ser negro quanto a ocupar cargo qualificado</w:t>
      </w:r>
      <w:r>
        <w:t xml:space="preserve"> </w:t>
      </w:r>
      <w:r>
        <w:t xml:space="preserve">com razão de risco de pelo menos 1,5 em ambas as pontas (com o desfecho comum, a</w:t>
      </w:r>
      <w:r>
        <w:t xml:space="preserve"> </w:t>
      </w:r>
      <w:r>
        <w:t xml:space="preserve">razão de chances é convertida em razão de risco pela raiz quadrada). É uma associação</w:t>
      </w:r>
      <w:r>
        <w:t xml:space="preserve"> </w:t>
      </w:r>
      <w:r>
        <w:t xml:space="preserve">modesta — a escolaridade, sozinha, tem efeito muito maior sobre o acesso —, e por isso o</w:t>
      </w:r>
      <w:r>
        <w:t xml:space="preserve"> </w:t>
      </w:r>
      <w:r>
        <w:t xml:space="preserve">E-value não basta para descartar viés: o que sustenta o resultado é ele sobreviver ao</w:t>
      </w:r>
      <w:r>
        <w:t xml:space="preserve"> </w:t>
      </w:r>
      <w:r>
        <w:t xml:space="preserve">contexto de bairro e ao teste de Konfound do modelo de renda. Por fim,</w:t>
      </w:r>
      <w:r>
        <w:t xml:space="preserve"> </w:t>
      </w:r>
      <w:r>
        <w:t xml:space="preserve">o logit com efeitos fixos de UF e erro-padrão agrupado por UPA (última coluna da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reproduz os OR a partir do A2 (cargo qualificado: 0,796 contra 0,814); no A1, sem o contexto do bairro, dá 0,728 contra 0,805, porque sem o intercepto de UPA o contexto omitido é absorvido pelo coeficiente racial. Com o contexto do bairro no modelo, a conclusão não depende da hipótese de efeitos aleatórios.</w:t>
      </w:r>
    </w:p>
    <w:bookmarkStart w:id="101" w:name="fig:glmm_or"/>
    <w:p>
      <w:pPr>
        <w:pStyle w:val="CaptionedFigure"/>
      </w:pPr>
      <w:r>
        <w:drawing>
          <wp:inline>
            <wp:extent cx="5067300" cy="235139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outputs/figures/fig_glmm_or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51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(A2).</w:t>
      </w:r>
    </w:p>
    <w:bookmarkEnd w:id="101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A2, que compara pessoas do mesmo bairro.</w:t>
      </w:r>
    </w:p>
    <w:bookmarkStart w:id="102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</w:t>
      </w:r>
      <w:r>
        <w:t xml:space="preserve"> </w:t>
      </w:r>
      <w:r>
        <w:t xml:space="preserve">(VanderWeele; Ding, 2017)</w:t>
      </w:r>
      <w:r>
        <w:t xml:space="preserve">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; 41.454 UPAs). A3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; Ding, 2017). Coluna final: OR do logit com efeitos fixos de UF e erro-padrão agrupado por UPA (robustez). População completa da PEA com renda positiva (N = 7.699.273; 41.454 UPAs). A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0,805 [0,801; 0,809]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0,814 [0,810; 0,818]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0,791 [0,787; 0,794]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0,785 [0,781; 0,789]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0,759 [0,755; 0,763]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0,769 [0,765; 0,773]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0,755 [0,751; 0,759]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0,719 [0,714; 0,723]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0,748 [0,743; 0,753]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0,761 [0,756; 0,766]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0,740 [0,735; 0,745]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0,668 [0,662; 0,674]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0,659</w:t>
            </w:r>
          </w:p>
        </w:tc>
      </w:tr>
    </w:tbl>
    <w:bookmarkEnd w:id="10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103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A2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Modelos A1–A4 como na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A2 contra o logit sem efeito aleatório (fronteira, p/2); AUC com efeitos aleatórios (ajuste na amostra) e só com efeitos fixos; cutoff de Youden (maximiza sensibilidade + especificidade) com as taxas correspondentes; Hosmer–Lemeshow em 10 decis. Modelos A1–A4 como na Tabela 14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6.102.575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6.088.976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5.251.296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108.283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4.966.299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3.258.438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80.791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3.074.632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3.074.744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2.472</w:t>
            </w:r>
          </w:p>
        </w:tc>
      </w:tr>
    </w:tbl>
    <w:bookmarkEnd w:id="103"/>
    <w:bookmarkEnd w:id="104"/>
    <w:bookmarkStart w:id="113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105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Gap (log):</w:t>
      </w:r>
      <w:r>
        <w:t xml:space="preserve"> </w:t>
      </w:r>
      <w:r>
        <w:t xml:space="preserve">a mesma desvantagem em log-pontos, a escala em que os efeitos de raça e de gênero se somam</w:t>
      </w:r>
      <w:r>
        <w:t xml:space="preserve"> </w:t>
      </w:r>
      <w:r>
        <w:t xml:space="preserve">(Crenshaw, 1989)</w:t>
      </w:r>
      <w:r>
        <w:t xml:space="preserve">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Gap (log): a mesma desvantagem em log-pontos, a escala em que os efeitos de raça e de gênero se somam (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(log)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1.429.355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56,4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77,2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2.662.039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1.765.796</w:t>
            </w:r>
          </w:p>
        </w:tc>
      </w:tr>
    </w:tbl>
    <w:bookmarkEnd w:id="10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gap. Em log-pontos, o gap da Mulher Negra (0,592) fica abaixo da soma dos gaps da Mulher Branca e do Homem Negro (0,629): as desvantagens de raça e de gênero se acumulam sem se multiplicar — a interação é sub-aditiva, como no modelo de acesso. Somar os percentuais daria a impressão contrária, porque a escala percentual é convexa.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1.842.088 homens brancos.</w:t>
      </w:r>
    </w:p>
    <w:p>
      <w:pPr>
        <w:pStyle w:val="BodyText"/>
      </w:pPr>
      <w:bookmarkStart w:id="106" w:name="subsec:interseccional"/>
      <w:bookmarkEnd w:id="106"/>
    </w:p>
    <w:p>
      <w:pPr>
        <w:pStyle w:val="BodyText"/>
      </w:pPr>
      <w:r>
        <w:t xml:space="preserve">Raça e gênero simplesmente se somam? Todos os modelos até aqui responderam que sim,</w:t>
      </w:r>
      <w:r>
        <w:t xml:space="preserve"> </w:t>
      </w:r>
      <w:r>
        <w:t xml:space="preserve">por construção: tratadas como penalidades aditivas,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seria a de ser negro mais a de ser mulher.</w:t>
      </w:r>
      <w:r>
        <w:t xml:space="preserve"> </w:t>
      </w:r>
      <w:r>
        <w:t xml:space="preserve">Crenshaw (1989)</w:t>
      </w:r>
      <w:r>
        <w:t xml:space="preserve"> </w:t>
      </w:r>
      <w:r>
        <w:t xml:space="preserve">desconfia</w:t>
      </w:r>
      <w:r>
        <w:t xml:space="preserve"> </w:t>
      </w:r>
      <w:r>
        <w:t xml:space="preserve">dessa aritmética, e a desconfiança é testável — basta trocar os dois indicadores</w:t>
      </w:r>
      <w:r>
        <w:t xml:space="preserve"> </w:t>
      </w:r>
      <w:r>
        <w:t xml:space="preserve">separados por um único fator de quatro grupos e deixar que os dados digam se a soma</w:t>
      </w:r>
      <w:r>
        <w:t xml:space="preserve"> </w:t>
      </w:r>
      <w:r>
        <w:t xml:space="preserve">fecha.</w:t>
      </w:r>
      <w:r>
        <w:rPr>
          <w:rStyle w:val="FootnoteReference"/>
        </w:rPr>
        <w:footnoteReference w:id="107"/>
      </w:r>
      <w:r>
        <w:t xml:space="preserve"> </w:t>
      </w:r>
      <w:r>
        <w:t xml:space="preserve">A Tabela </w:t>
      </w:r>
      <w:hyperlink w:anchor="tab:interseccional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10</w:t>
        </w:r>
      </w:hyperlink>
      <w:r>
        <w:t xml:space="preserve">, as razões de chance nos três desfechos.</w:t>
      </w:r>
    </w:p>
    <w:bookmarkStart w:id="111" w:name="fig:interseccional"/>
    <w:p>
      <w:pPr>
        <w:pStyle w:val="CaptionedFigure"/>
      </w:pPr>
      <w:r>
        <w:drawing>
          <wp:inline>
            <wp:extent cx="4373880" cy="1682261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68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mulher negra entra pelas ocupações feminizadas, mas não chega ao comando nem ao topo: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Na categoria agregada ela aparece acima da referência,</w:t>
      </w:r>
      <w:r>
        <w:t xml:space="preserve"> </w:t>
      </w:r>
      <w:r>
        <w:t xml:space="preserve">mas por composição: entra pelas ocupações feminizadas e é a mais distante do homem</w:t>
      </w:r>
      <w:r>
        <w:t xml:space="preserve"> </w:t>
      </w:r>
      <w:r>
        <w:t xml:space="preserve">branco entre os dirigentes e no topo da renda.</w:t>
      </w:r>
    </w:p>
    <w:bookmarkEnd w:id="111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10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 grupo raça</w:t>
      </w:r>
      <m:oMath>
        <m:r>
          <m:rPr>
            <m:sty m:val="p"/>
          </m:rPr>
          <m:t>×</m:t>
        </m:r>
      </m:oMath>
      <w:r>
        <w:t xml:space="preserve">gênero e cada ponto, a razão de chances contra o homem branco, cuja referência é a linha tracejada em 1; abaixo dela, o grupo tem menos chance que ele. À esquerda, siga a linha azul: a mulher negra aparece acima da referência na categoria agregada e termina como o grupo mais distante dela no topo da renda. À direita, a mesma comparação por grande grupo da CBO mostra de onde vem a aparente vantagem: das ocupações feminizadas, não do comando.</w:t>
      </w:r>
    </w:p>
    <w:p>
      <w:pPr>
        <w:pStyle w:val="BodyText"/>
      </w:pPr>
      <w:r>
        <w:rPr>
          <w:b/>
          <w:bCs/>
        </w:rPr>
        <w:t xml:space="preserve">Na entrada, a vantagem da mulher negra é de ocupações feminizadas.</w:t>
      </w:r>
      <w:r>
        <w:t xml:space="preserve"> </w:t>
      </w:r>
      <w:r>
        <w:t xml:space="preserve">No acesso à ocupação qualificada (CBO 1–4)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31</m:t>
        </m:r>
      </m:oMath>
      <w:r>
        <w:t xml:space="preserve">,</w:t>
      </w:r>
      <w:r>
        <w:t xml:space="preserve"> </w:t>
      </w:r>
      <w:r>
        <w:t xml:space="preserve">mais chance do que o homem branco de referência, e o grupo mais penalizado na entrada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</m:t>
        </m:r>
      </m:oMath>
      <w:r>
        <w:t xml:space="preserve">). O agregado, porém, junta portas</w:t>
      </w:r>
      <w:r>
        <w:t xml:space="preserve"> </w:t>
      </w:r>
      <w:r>
        <w:t xml:space="preserve">muito diferentes, e estimar o mesmo modelo para cada grande grupo da CBO muda o</w:t>
      </w:r>
      <w:r>
        <w:t xml:space="preserve"> </w:t>
      </w:r>
      <w:r>
        <w:t xml:space="preserve">quadro. A aparente vantagem da mulher negra no acesso a cargos CBO 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 Se a análise parasse no agregado, concluiria que a</w:t>
      </w:r>
      <w:r>
        <w:t xml:space="preserve"> </w:t>
      </w:r>
      <w:r>
        <w:t xml:space="preserve">interseccionalidade não se confirma na entrada; separada a ocupação, ela se confirma.</w:t>
      </w:r>
    </w:p>
    <w:p>
      <w:pPr>
        <w:pStyle w:val="BodyText"/>
      </w:pPr>
      <w:r>
        <w:rPr>
          <w:b/>
          <w:bCs/>
        </w:rPr>
        <w:t xml:space="preserve">No topo, a ordem se inverte e ela passa a ser a mais excluída.</w:t>
      </w:r>
      <w:r>
        <w:t xml:space="preserve"> </w:t>
      </w:r>
      <w:r>
        <w:t xml:space="preserve">No decil superior de renda o quadro vira: a mulher negra tem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28</m:t>
        </m:r>
      </m:oMath>
      <w:r>
        <w:t xml:space="preserve">,</w:t>
      </w:r>
      <w:r>
        <w:t xml:space="preserve"> </w:t>
      </w:r>
      <w:r>
        <w:t xml:space="preserve">abaixo da mulher branca (</w:t>
      </w:r>
      <m:oMath>
        <m:r>
          <m:t>0</m:t>
        </m:r>
        <m:r>
          <m:rPr>
            <m:sty m:val="p"/>
          </m:rPr>
          <m:t>,</m:t>
        </m:r>
        <m:r>
          <m:t>37</m:t>
        </m:r>
      </m:oMath>
      <w:r>
        <w:t xml:space="preserve">) e do homem negro</w:t>
      </w:r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,</m:t>
        </m:r>
        <m:r>
          <m:t>73</m:t>
        </m:r>
      </m:oMath>
      <w:r>
        <w:t xml:space="preserve">). Em linguagem de leitor: as chances (</w:t>
      </w:r>
      <w:r>
        <w:rPr>
          <w:i/>
          <w:iCs/>
        </w:rPr>
        <w:t xml:space="preserve">odds</w:t>
      </w:r>
      <w:r>
        <w:t xml:space="preserve">) de uma</w:t>
      </w:r>
      <w:r>
        <w:t xml:space="preserve"> </w:t>
      </w:r>
      <w:r>
        <w:t xml:space="preserve">mulher negra chegar aos 10% mais ricos equivalem a 28% das de um homem branco com a</w:t>
      </w:r>
      <w:r>
        <w:t xml:space="preserve"> </w:t>
      </w:r>
      <w:r>
        <w:t xml:space="preserve">mesma escolaridade, idade, jornada, estado e bairro. A vantagem de gênero na</w:t>
      </w:r>
      <w:r>
        <w:t xml:space="preserve"> </w:t>
      </w:r>
      <w:r>
        <w:t xml:space="preserve">entrada, que já vinha das ocupações feminizadas, desaparece exatamente onde a ascensão</w:t>
      </w:r>
      <w:r>
        <w:t xml:space="preserve"> </w:t>
      </w:r>
      <w:r>
        <w:t xml:space="preserve">se decide, e o que sobra é o acúmulo das duas barreiras, um pouco abaixo da soma.</w:t>
      </w:r>
      <w:r>
        <w:rPr>
          <w:rStyle w:val="FootnoteReference"/>
        </w:rPr>
        <w:footnoteReference w:id="112"/>
      </w:r>
    </w:p>
    <w:p>
      <w:pPr>
        <w:pStyle w:val="BodyText"/>
      </w:pPr>
      <w:r>
        <w:t xml:space="preserve">Em uma frase: a mulher negra entra pelas ocupações feminizadas, mas não chega ao</w:t>
      </w:r>
      <w:r>
        <w:t xml:space="preserve"> </w:t>
      </w:r>
      <w:r>
        <w:t xml:space="preserve">comando nem ao topo.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113"/>
    <w:bookmarkStart w:id="115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Os controles do M4 estão brigando entre si? A pergunta é legítima: o modelo empilha nove indicadores de grupo ocupacional sobre três de vínculo, e variáveis muito próximas entre si inflam o erro-padrão umas das outras, a ponto de tornar instável justamente o coeficiente que interessa.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mede esse efeito: quanto a variância de cada estimativa cresce em razão das demais. A resposta, aqui, é que há colinearidade — mas não onde ela importaria.</w:t>
      </w:r>
      <w:r>
        <w:rPr>
          <w:rStyle w:val="FootnoteReference"/>
        </w:rPr>
        <w:footnoteReference w:id="114"/>
      </w:r>
      <w:r>
        <w:t xml:space="preserve"> </w:t>
      </w:r>
      <w:r>
        <w:t xml:space="preserve">Nenhum preditor do M4 tem VIF acima de 10; o maior é o de</w:t>
      </w:r>
      <w:r>
        <w:t xml:space="preserve"> </w:t>
      </w:r>
      <w:r>
        <w:rPr>
          <w:rStyle w:val="VerbatimChar"/>
        </w:rPr>
        <w:t xml:space="preserve">ocp_profissional</w:t>
      </w:r>
      <w:r>
        <w:t xml:space="preserve"> </w:t>
      </w:r>
      <w:r>
        <w:t xml:space="preserve">(2,66). A colinearidade que houver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</w:t>
      </w:r>
      <w:r>
        <w:t xml:space="preserve"> </w:t>
      </w:r>
      <w:r>
        <w:t xml:space="preserve">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1,36 e o das variáveis de contexto da UPA fica abaixo de</w:t>
      </w:r>
      <w:r>
        <w:t xml:space="preserve"> </w:t>
      </w:r>
      <w:r>
        <w:t xml:space="preserve">2,2. Entre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2,66.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115"/>
    <w:bookmarkEnd w:id="116"/>
    <w:bookmarkStart w:id="120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agregado</w:t>
      </w:r>
      <w:r>
        <w:t xml:space="preserve"> </w:t>
      </w:r>
      <w:r>
        <w:t xml:space="preserve">(condicional a capital humano e estado)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compararem</w:t>
      </w:r>
      <w:r>
        <w:t xml:space="preserve"> </w:t>
      </w:r>
      <w:r>
        <w:t xml:space="preserve">pessoas do mesmo bairro (UPA) — mede o 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6,1%.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5,6%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aparecem juntas nos mesmos dados. A consequência para o desenho de políticas</w:t>
      </w:r>
      <w:r>
        <w:t xml:space="preserve"> </w:t>
      </w:r>
      <w:r>
        <w:t xml:space="preserve">é 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17,9% do gap bruto são retornos</w:t>
      </w:r>
      <w:r>
        <w:t xml:space="preserve"> </w:t>
      </w:r>
      <w:r>
        <w:t xml:space="preserve">diferenciais — limite superior do tratamento diferencial — e 82,1%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15,4%, e 84,6%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mostrar que ele é consistente com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operam em conjunto,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 multidimensional captada pela POF não eliminou o gap racial de qualidade de vida, e a renda voltou a concentrar-se no topo em 2025.</w:t>
      </w:r>
      <w:r>
        <w:rPr>
          <w:rStyle w:val="FootnoteReference"/>
        </w:rPr>
        <w:footnoteReference w:id="117"/>
      </w:r>
      <w:r>
        <w:t xml:space="preserve"> </w:t>
      </w:r>
      <w:r>
        <w:t xml:space="preserve">As duas medidas não são a mesma coisa, e a diferença importa para não se ler tendência onde há mudança de conceito.</w:t>
      </w:r>
      <w:r>
        <w:rPr>
          <w:rStyle w:val="FootnoteReference"/>
        </w:rPr>
        <w:footnoteReference w:id="118"/>
      </w:r>
      <w:r>
        <w:t xml:space="preserve"> </w:t>
      </w:r>
      <w:r>
        <w:t xml:space="preserve">No conceito adotado aqui,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477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436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</w:t>
      </w:r>
      <w:r>
        <w:t xml:space="preserve"> </w:t>
      </w:r>
      <w:r>
        <w:t xml:space="preserve">(Wilm et al., 2026)</w:t>
      </w:r>
      <w:r>
        <w:t xml:space="preserve"> </w:t>
      </w:r>
      <w:r>
        <w:t xml:space="preserve">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: situa-se</w:t>
      </w:r>
      <w:r>
        <w:t xml:space="preserve"> </w:t>
      </w:r>
      <w:r>
        <w:t xml:space="preserve">acima dele na escala e mede progresso social geral, não desigualdade racial. Fica</w:t>
      </w:r>
      <w:r>
        <w:t xml:space="preserve"> </w:t>
      </w:r>
      <w:r>
        <w:t xml:space="preserve">como agenda: com o município identificado (microdados de acesso restrito), seria</w:t>
      </w:r>
      <w:r>
        <w:t xml:space="preserve"> </w:t>
      </w:r>
      <w:r>
        <w:t xml:space="preserve">possível testar se a penalidade de bairro varia com o progresso social do município.</w:t>
      </w:r>
    </w:p>
    <w:p>
      <w:pPr>
        <w:pStyle w:val="BodyText"/>
      </w:pPr>
      <w:r>
        <w:rPr>
          <w:b/>
          <w:bCs/>
        </w:rPr>
        <w:t xml:space="preserve">O diploma quase iguala o salário, mas não abre a porta.</w:t>
      </w:r>
      <w:r>
        <w:t xml:space="preserve"> </w:t>
      </w:r>
      <w:r>
        <w:t xml:space="preserve">As duas barreiras respondem de modo diferente à escolaridade. A penalidade salarial é de 9</w:t>
      </w:r>
      <w:r>
        <w:t xml:space="preserve">,</w:t>
      </w:r>
      <w:r>
        <w:t xml:space="preserve">6% entre quem não tem fundamental completo e cai a 1</w:t>
      </w:r>
      <w:r>
        <w:t xml:space="preserve">,</w:t>
      </w:r>
      <w:r>
        <w:t xml:space="preserve">1% na pós-graduação (Figura </w:t>
      </w:r>
      <w:hyperlink w:anchor="fig:hlm_negro_educ">
        <w:r>
          <w:rPr>
            <w:rStyle w:val="Hyperlink"/>
          </w:rPr>
          <w:t xml:space="preserve">3</w:t>
        </w:r>
      </w:hyperlink>
      <w:r>
        <w:t xml:space="preserve">); a desvantagem de acesso, não: com superior completo, as chances de um trabalhador negro chegar a um cargo qualificado seguem 18% menores que as de um branco de mesmo perfil e bairro, e com pós-graduação, 23% menores (GLMM, degrau A4,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 A escolaridade se associa a quase toda a convergência salarial, mas não à de acesso. Duas cautelas: são diferenças condicionais entre pessoas comparáveis, não o efeito de estudar mais — quem chega à pós-graduação é um grupo selecionado —, e as razões de chances do A4 incluem o vínculo, o que faz delas um limite inferior da desvantagem.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39,5%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35,3%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17,9%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15,4% quando a própria posição</w:t>
      </w:r>
      <w:r>
        <w:t xml:space="preserve"> </w:t>
      </w:r>
      <w:r>
        <w:t xml:space="preserve">ocupacional é descontada; a decomposição RIF mostra que essa parcela chega a 27%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combinado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de 0,818 entre os de superior completo).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6,1%, estimado após controlar por todos os vetores</w:t>
      </w:r>
      <w:r>
        <w:t xml:space="preserve"> </w:t>
      </w:r>
      <w:r>
        <w:t xml:space="preserve">de transmissão contextual, é o limite superior do intervalo — cujo piso é o</w:t>
      </w:r>
      <w:r>
        <w:t xml:space="preserve"> </w:t>
      </w:r>
      <w:r>
        <w:t xml:space="preserve">M4, com a ocupação — dentro do qual está a penalidade direta não explicada por</w:t>
      </w:r>
      <w:r>
        <w:t xml:space="preserve"> </w:t>
      </w:r>
      <w:r>
        <w:t xml:space="preserve">diferenças observáveis. Os valores SHAP reforçam essa</w:t>
      </w:r>
      <w:r>
        <w:t xml:space="preserve"> </w:t>
      </w:r>
      <w:r>
        <w:t xml:space="preserve">interpretação: a variável racial mantém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A convergência existe, mas é lenta.</w:t>
      </w:r>
      <w:r>
        <w:t xml:space="preserve"> </w:t>
      </w:r>
      <w:r>
        <w:t xml:space="preserve">Em dez anos o gap encolheu 14</w:t>
      </w:r>
      <w:r>
        <w:t xml:space="preserve">,</w:t>
      </w:r>
      <w:r>
        <w:t xml:space="preserve">7%, e a inclinação é estatisticamente distinta de zero</w:t>
      </w:r>
      <w:r>
        <w:rPr>
          <w:rStyle w:val="FootnoteReference"/>
        </w:rPr>
        <w:footnoteReference w:id="119"/>
      </w:r>
      <w:r>
        <w:t xml:space="preserve">. Mantido o ritmo, eliminar o diferencial observado em 2016 levaria cerca de 76 anos. Nada disso trivializa os avanços recentes em políticas de cotas e de acesso ao ensino superior. Diz, sim, que reformas no campo educacional, sem intervenção simultânea nos mecanismos de segregação residencial e de acesso às ocupações, são insuficientes — que é precisamente o que a sequência de modelos deste trabalho mostrou.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 Lei 15.142/2025, que substituiu a Lei 12.990/2014 e ampliou a reserva de vagas em concursos públicos federais a pessoas negras, indígenas e quilombolas,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6,1% — e a penalidade de 5,6% que persiste dentro da mesma ocupação —</w:t>
      </w:r>
      <w:r>
        <w:t xml:space="preserve"> </w:t>
      </w:r>
      <w:r>
        <w:t xml:space="preserve">justifica reforçar.</w:t>
      </w:r>
    </w:p>
    <w:bookmarkEnd w:id="120"/>
    <w:bookmarkStart w:id="159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chances (</w:t>
      </w:r>
      <w:r>
        <w:rPr>
          <w:i/>
          <w:iCs/>
        </w:rPr>
        <w:t xml:space="preserve">odds</w:t>
      </w:r>
      <w:r>
        <w:t xml:space="preserve">) cerca de 19% menores de ocupar um cargo qualificado e</w:t>
      </w:r>
      <w:r>
        <w:t xml:space="preserve"> </w:t>
      </w:r>
      <w:r>
        <w:t xml:space="preserve">24% menores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O ritmo observado na última década reforça a urgência: há convergência estatisticamente distinguível de zero (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027</m:t>
        </m:r>
      </m:oMath>
      <w:r>
        <w:t xml:space="preserve">), mas lenta — mantido o ritmo, eliminar o diferencial levaria cerca de 76 anos.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 6,1% a menos e tem chances 19% menores de chegar a um cargo qualificado. O diploma quase iguala o salário, mas não abre a porta.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10,5% (sem efeito de bairro),</w:t>
      </w:r>
      <w:r>
        <w:t xml:space="preserve"> </w:t>
      </w:r>
      <w:r>
        <w:t xml:space="preserve">decompõe-se em três parcelas: (i) mediação de 39,5%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6,1%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4,5% pelo acesso desigual a grupos CBO de alta</w:t>
      </w:r>
      <w:r>
        <w:t xml:space="preserve"> </w:t>
      </w:r>
      <w:r>
        <w:t xml:space="preserve">remuneração; e (iii) penalidade de 5,6%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769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,</m:t>
        </m:r>
        <m:r>
          <m:t>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58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mantém importância</w:t>
      </w:r>
      <w:r>
        <w:t xml:space="preserve"> </w:t>
      </w:r>
      <w:r>
        <w:t xml:space="preserve">preditiva não desprezível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—; uma correção de seleção à Heckman, que exigiria uma variável de</w:t>
      </w:r>
      <w:r>
        <w:t xml:space="preserve"> </w:t>
      </w:r>
      <w:r>
        <w:t xml:space="preserve">exclusão crível (algo que afete estar ocupado sem afetar o salário), fica como extensão</w:t>
      </w:r>
      <w:r>
        <w:t xml:space="preserve"> </w:t>
      </w:r>
      <w:r>
        <w:t xml:space="preserve">e não é estimada aqui.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 e formalidade são desfechos da</w:t>
      </w:r>
      <w:r>
        <w:t xml:space="preserve"> </w:t>
      </w:r>
      <w:r>
        <w:t xml:space="preserve">própria discriminação; a jornada, não: com renda mensal, ela é controle necessário</w:t>
      </w:r>
      <w:r>
        <w:t xml:space="preserve"> </w:t>
      </w:r>
      <w:r>
        <w:t xml:space="preserve">e entra nas duas especificações da Oaxaca–Blinder — no modelo de acesso, só no</w:t>
      </w:r>
      <w:r>
        <w:t xml:space="preserve"> </w:t>
      </w:r>
      <w:r>
        <w:t xml:space="preserve">degrau de limite inferior.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Uma média de bairro que inclui o próprio indivíduo é</w:t>
      </w:r>
      <w:r>
        <w:t xml:space="preserve"> </w:t>
      </w:r>
      <w:r>
        <w:t xml:space="preserve">mecanicamente informativa sobre ele — a raça da pessoa entraria no % de negros do</w:t>
      </w:r>
      <w:r>
        <w:t xml:space="preserve"> </w:t>
      </w:r>
      <w:r>
        <w:t xml:space="preserve">seu bairro. Por isso todas as médias de contexto, de UPA e de UF, são calculadas sem a</w:t>
      </w:r>
      <w:r>
        <w:t xml:space="preserve"> </w:t>
      </w:r>
      <w:r>
        <w:t xml:space="preserve">própria observação (</w:t>
      </w:r>
      <w:r>
        <w:rPr>
          <w:i/>
          <w:iCs/>
        </w:rPr>
        <w:t xml:space="preserve">leave-one-out</w:t>
      </w:r>
      <w:r>
        <w:t xml:space="preserve">), e a renda média do bairro, a mais exposta ao</w:t>
      </w:r>
      <w:r>
        <w:t xml:space="preserve"> </w:t>
      </w:r>
      <w:r>
        <w:t xml:space="preserve">problema, fica fora dos modelos estatísticos e só entra como preditor no XGBoost. Isso remove o reflexo mecânico, mas choques</w:t>
      </w:r>
      <w:r>
        <w:t xml:space="preserve"> </w:t>
      </w:r>
      <w:r>
        <w:t xml:space="preserve">comuns ao bairro ainda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cerca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</w:t>
      </w:r>
      <w:r>
        <w:t xml:space="preserve">,</w:t>
      </w:r>
      <w:r>
        <w:t xml:space="preserve">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 Também fica</w:t>
      </w:r>
      <w:r>
        <w:t xml:space="preserve"> </w:t>
      </w:r>
      <w:r>
        <w:t xml:space="preserve">como agenda o uso de texto livre: a PNAD divulga ocupação e atividade já codificadas</w:t>
      </w:r>
      <w:r>
        <w:t xml:space="preserve"> </w:t>
      </w:r>
      <w:r>
        <w:t xml:space="preserve">(CBO e CNAE Domiciliar), sem o relato aberto da entrevista, de modo que técnicas de</w:t>
      </w:r>
      <w:r>
        <w:t xml:space="preserve"> </w:t>
      </w:r>
      <w:r>
        <w:t xml:space="preserve">processamento de linguagem natural não têm aqui onde se aplicar. Bases que associam</w:t>
      </w:r>
      <w:r>
        <w:t xml:space="preserve"> </w:t>
      </w:r>
      <w:r>
        <w:t xml:space="preserve">texto a indivíduos — descrições de cargo em registros administrativos, anúncios de</w:t>
      </w:r>
      <w:r>
        <w:t xml:space="preserve"> </w:t>
      </w:r>
      <w:r>
        <w:t xml:space="preserve">vaga e currículos, como nos experimentos de auditoria</w:t>
      </w:r>
      <w:r>
        <w:t xml:space="preserve"> </w:t>
      </w:r>
      <w:r>
        <w:t xml:space="preserve">(Pager, 2007)</w:t>
      </w:r>
      <w:r>
        <w:t xml:space="preserve"> </w:t>
      </w:r>
      <w:r>
        <w:t xml:space="preserve">— permitiriam</w:t>
      </w:r>
      <w:r>
        <w:t xml:space="preserve"> </w:t>
      </w:r>
      <w:r>
        <w:t xml:space="preserve">medir o conteúdo das funções e a triagem na contratação, que os códigos ocupacionais</w:t>
      </w:r>
      <w:r>
        <w:t xml:space="preserve"> </w:t>
      </w:r>
      <w:r>
        <w:t xml:space="preserve">não captam. A descrição oficial dos códigos não supriria essa lacuna: seria a</w:t>
      </w:r>
      <w:r>
        <w:t xml:space="preserve"> </w:t>
      </w:r>
      <w:r>
        <w:t xml:space="preserve">ocupação de novo, um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no modelo de rendimento e o próprio desfecho</w:t>
      </w:r>
      <w:r>
        <w:t xml:space="preserve"> </w:t>
      </w:r>
      <w:r>
        <w:t xml:space="preserve">no de acesso.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57" w:name="refs"/>
    <w:bookmarkStart w:id="121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121"/>
    <w:bookmarkStart w:id="122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122"/>
    <w:bookmarkStart w:id="123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123"/>
    <w:bookmarkStart w:id="124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124"/>
    <w:bookmarkStart w:id="125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125"/>
    <w:bookmarkStart w:id="126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126"/>
    <w:bookmarkStart w:id="127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127"/>
    <w:bookmarkStart w:id="128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128"/>
    <w:bookmarkStart w:id="130" w:name="ref-chen2016"/>
    <w:p>
      <w:pPr>
        <w:pStyle w:val="Bibliography"/>
      </w:pPr>
      <w:r>
        <w:t xml:space="preserve">CHEN, Tianqi; GUESTRIN, Carlos.</w:t>
      </w:r>
      <w:r>
        <w:t xml:space="preserve"> </w:t>
      </w:r>
      <w:hyperlink r:id="rId129">
        <w:r>
          <w:rPr>
            <w:rStyle w:val="Hyperlink"/>
          </w:rPr>
          <w:t xml:space="preserve">XGBoost</w:t>
        </w:r>
        <w:r>
          <w:rPr>
            <w:rStyle w:val="Hyperlink"/>
          </w:rPr>
          <w:t xml:space="preserve">: A Scalable Tree Boosting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</w:t>
      </w:r>
      <w:r>
        <w:t xml:space="preserve">:</w:t>
      </w:r>
      <w:r>
        <w:t xml:space="preserve"> </w:t>
      </w:r>
      <w:r>
        <w:rPr>
          <w:b/>
          <w:bCs/>
        </w:rPr>
        <w:t xml:space="preserve">Proceedings of the 22nd ACM SIGKDD International Conference on Knowledge Discovery and Data Mining</w:t>
      </w:r>
      <w:r>
        <w:t xml:space="preserve">. San Francisco: ACM, 2016. p. 785–794.</w:t>
      </w:r>
    </w:p>
    <w:bookmarkEnd w:id="130"/>
    <w:bookmarkStart w:id="131" w:name="ref-crenshaw1989"/>
    <w:p>
      <w:pPr>
        <w:pStyle w:val="Bibliography"/>
      </w:pPr>
      <w:r>
        <w:t xml:space="preserve">CRENSHAW, Kimberlé. Demarginalizing the Intersection of Race and Sex: A Black Feminist Critique of Antidiscrimination Doctrine.</w:t>
      </w:r>
      <w:r>
        <w:t xml:space="preserve"> </w:t>
      </w:r>
      <w:r>
        <w:rPr>
          <w:b/>
          <w:bCs/>
        </w:rPr>
        <w:t xml:space="preserve">University of Chicago Legal Forum</w:t>
      </w:r>
      <w:r>
        <w:t xml:space="preserve">, v. 1989, n. 1, p. 139–167, 1989.</w:t>
      </w:r>
    </w:p>
    <w:bookmarkEnd w:id="131"/>
    <w:bookmarkStart w:id="132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132"/>
    <w:bookmarkStart w:id="133" w:name="ref-favero2024"/>
    <w:p>
      <w:pPr>
        <w:pStyle w:val="Bibliography"/>
      </w:pPr>
      <w:r>
        <w:t xml:space="preserve">FÁVERO, Luiz Paulo; BELFIORE, Patrícia.</w:t>
      </w:r>
      <w:r>
        <w:t xml:space="preserve"> </w:t>
      </w:r>
      <w:r>
        <w:rPr>
          <w:b/>
          <w:bCs/>
        </w:rPr>
        <w:t xml:space="preserve">Manual de Análise de Dados: estatística e machine learning com Excel, SPSS, Stata, R e Python</w:t>
      </w:r>
      <w:r>
        <w:t xml:space="preserve">. 2. ed. Rio de Janeiro: GEN LTC, 2024.</w:t>
      </w:r>
    </w:p>
    <w:bookmarkEnd w:id="133"/>
    <w:bookmarkStart w:id="134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134"/>
    <w:bookmarkStart w:id="135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35"/>
    <w:bookmarkStart w:id="136" w:name="ref-geron2021"/>
    <w:p>
      <w:pPr>
        <w:pStyle w:val="Bibliography"/>
      </w:pPr>
      <w:r>
        <w:t xml:space="preserve">GÉRON, Aurélien.</w:t>
      </w:r>
      <w:r>
        <w:t xml:space="preserve"> </w:t>
      </w:r>
      <w:r>
        <w:rPr>
          <w:b/>
          <w:bCs/>
        </w:rPr>
        <w:t xml:space="preserve">Mãos à obra: aprendizado de máquina com Scikit-Learn, Keras &amp; TensorFlow: conceitos, ferramentas e técnicas para a construção de sistemas inteligentes</w:t>
      </w:r>
      <w:r>
        <w:t xml:space="preserve">. Tradução: Cibelle Ravaglia. 2. ed. Rio de Janeiro: Alta Books, 2021.</w:t>
      </w:r>
    </w:p>
    <w:bookmarkEnd w:id="136"/>
    <w:bookmarkStart w:id="137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37"/>
    <w:bookmarkStart w:id="138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38"/>
    <w:bookmarkStart w:id="139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39"/>
    <w:bookmarkStart w:id="140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40"/>
    <w:bookmarkStart w:id="141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41"/>
    <w:bookmarkStart w:id="142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42"/>
    <w:bookmarkStart w:id="143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43"/>
    <w:bookmarkStart w:id="144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44"/>
    <w:bookmarkStart w:id="145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45"/>
    <w:bookmarkStart w:id="146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46"/>
    <w:bookmarkStart w:id="147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47"/>
    <w:bookmarkStart w:id="148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48"/>
    <w:bookmarkStart w:id="149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49"/>
    <w:bookmarkStart w:id="150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50"/>
    <w:bookmarkStart w:id="151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51"/>
    <w:bookmarkStart w:id="152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52"/>
    <w:bookmarkStart w:id="153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53"/>
    <w:bookmarkStart w:id="155" w:name="ref-wilm2026"/>
    <w:p>
      <w:pPr>
        <w:pStyle w:val="Bibliography"/>
      </w:pPr>
      <w:r>
        <w:t xml:space="preserve">WILM, Melissa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Índice de Progresso Social Brasil 2026: resumo executivo</w:t>
      </w:r>
      <w:r>
        <w:t xml:space="preserve">. Belém: Imazon, 2026. Disponível em: &lt;</w:t>
      </w:r>
      <w:hyperlink r:id="rId154">
        <w:r>
          <w:rPr>
            <w:rStyle w:val="Hyperlink"/>
          </w:rPr>
          <w:t xml:space="preserve">https://imazon.org.br/relatorios/indice-de-progresso-social-brasil-2026</w:t>
        </w:r>
      </w:hyperlink>
      <w:r>
        <w:t xml:space="preserve">&gt;.</w:t>
      </w:r>
    </w:p>
    <w:bookmarkEnd w:id="155"/>
    <w:bookmarkStart w:id="156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56"/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</m:t>
        </m:r>
      </m:oMath>
      <w:r>
        <w:t xml:space="preserve"> </w:t>
      </w:r>
      <w:r>
        <w:t xml:space="preserve">(variância entre</w:t>
      </w:r>
      <w:r>
        <w:t xml:space="preserve"> </w:t>
      </w:r>
      <w:r>
        <w:t xml:space="preserve">bairros) 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5524</m:t>
        </m:r>
      </m:oMath>
      <w:r>
        <w:t xml:space="preserve"> </w:t>
      </w:r>
      <w:r>
        <w:t xml:space="preserve">(variância entre pessoas do mesmo bairro),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, IC 95%: [−0,0679; −0,0658].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cai de 0,1012 para</w:t>
      </w:r>
      <w:r>
        <w:t xml:space="preserve"> </w:t>
      </w:r>
      <w:r>
        <w:t xml:space="preserve">0,0454;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29.811,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de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: [−0,0639; −0,0619]. O ICC cai para 0,076 e os controles acumulados explicam</w:t>
      </w:r>
      <w:r>
        <w:t xml:space="preserve"> </w:t>
      </w:r>
      <w:r>
        <w:t xml:space="preserve">90,1% da variância entre bairros do M0; a escada completa está nas linhas</w:t>
      </w:r>
      <w:r>
        <w:t xml:space="preserve"> </w:t>
      </w:r>
      <w:r>
        <w:t xml:space="preserve">inferiores da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Estimado com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sobre a mesma população. A especificação do trabalho continua sendo a de dois níveis: 27 estados são poucos para estimar uma variância com precisão, e o efeito fixo absorve o contexto estadual sem hipótese distribucional. O ponto desta checagem é outro: o coeficiente racial não depende dessa escolha — vale −0,0629 com a UF como efeito fixo e −0,0629 com a UF como nível aleatório.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, componente de variância da inclinação</w:t>
      </w:r>
      <w:r>
        <w:t xml:space="preserve"> </w:t>
      </w:r>
      <w:r>
        <w:t xml:space="preserve">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Profundidade 10, com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6435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0006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0,6294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0,0006 da profundidade 6 de referência, sobre</w:t>
      </w:r>
      <w:r>
        <w:t xml:space="preserve"> </w:t>
      </w:r>
      <w:r>
        <w:t xml:space="preserve">6.159.418 observações de treino.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População completa,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, com 80% para</w:t>
      </w:r>
      <w:r>
        <w:t xml:space="preserve"> </w:t>
      </w:r>
      <w:r>
        <w:t xml:space="preserve">treino e 20% para teste; o mesmo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aparece no Random Forest.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15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27 variáveis no modelo sem renda de vizinhança, contra</w:t>
      </w:r>
      <w:r>
        <w:t xml:space="preserve"> </w:t>
      </w:r>
      <w:r>
        <w:t xml:space="preserve">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28 no modelo completo.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Contribuição média da variável racial à previsão, com sinal: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0241</m:t>
        </m:r>
      </m:oMath>
      <w:r>
        <w:t xml:space="preserve"> </w:t>
      </w:r>
      <w:r>
        <w:t xml:space="preserve">log-pontos entre os negros 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0299</m:t>
        </m:r>
      </m:oMath>
      <w:r>
        <w:t xml:space="preserve"> </w:t>
      </w:r>
      <w:r>
        <w:t xml:space="preserve">entre os brancos (XGBoost,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shap_negro_por_grupo.csv</w:t>
      </w:r>
      <w:r>
        <w:t xml:space="preserve">). A média de um</w:t>
      </w:r>
      <w:r>
        <w:t xml:space="preserve"> </w:t>
      </w:r>
      <w:r>
        <w:t xml:space="preserve">grupo mede o desvio em relação à previsão média da base, que mistura os dois; o</w:t>
      </w:r>
      <w:r>
        <w:t xml:space="preserve"> </w:t>
      </w:r>
      <w:r>
        <w:t xml:space="preserve">que corresponde ao coeficiente racial das regressões é o contraste entre elas.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nAGQ = 0</w:t>
      </w:r>
      <w:r>
        <w:t xml:space="preserve"> </w:t>
      </w:r>
      <w:r>
        <w:t xml:space="preserve">— os efeitos fixos são estimados</w:t>
      </w:r>
      <w:r>
        <w:t xml:space="preserve"> </w:t>
      </w:r>
      <w:r>
        <w:t xml:space="preserve">junto com os modos condicionais, aproximação mais rápida que a de Laplace e adequada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 —, sobre a população completa.</w:t>
      </w:r>
      <w:r>
        <w:t xml:space="preserve"> </w:t>
      </w:r>
      <w:r>
        <w:t xml:space="preserve">Os degraus são: A1 individual; A2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contexto do bairro; A3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vínculo (formalidade,</w:t>
      </w:r>
      <w:r>
        <w:t xml:space="preserve"> </w:t>
      </w:r>
      <w:r>
        <w:t xml:space="preserve">setor público, conta própria, doméstico), que é desfecho da própria discriminação e por</w:t>
      </w:r>
      <w:r>
        <w:t xml:space="preserve"> </w:t>
      </w:r>
      <w:r>
        <w:t xml:space="preserve">isso faz do A3 um limite inferior; A4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15</w:t>
        </w:r>
      </w:hyperlink>
      <w:r>
        <w:t xml:space="preserve">, o ajuste e a classificação.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Correlação intraclasse latente do M1:</w:t>
      </w:r>
      <w:r>
        <w:t xml:space="preserve"> </w:t>
      </w:r>
      <w:r>
        <w:t xml:space="preserve">0,087 para o cargo qualificado e 0,221 para o top 10%,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 O teste de razão de verossimilhança contra o logit sem</w:t>
      </w:r>
      <w:r>
        <w:t xml:space="preserve"> </w:t>
      </w:r>
      <w:r>
        <w:t xml:space="preserve">efeito aleatório dá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77.940 para o cargo e 80.791 para o top 10%</w:t>
      </w:r>
      <w:r>
        <w:t xml:space="preserve"> </w:t>
      </w:r>
      <w:r>
        <w:t xml:space="preserve">(1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</w:t>
      </w:r>
    </w:p>
  </w:footnote>
  <w:footnote w:id="9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0,810–0,818.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abaixo de 1 é</w:t>
      </w:r>
      <w:r>
        <w:t xml:space="preserve"> </w:t>
      </w:r>
      <w:r>
        <w:t xml:space="preserve">desvantagem; acima de 1, vantagem.</w:t>
      </w:r>
    </w:p>
  </w:footnote>
  <w:footnote w:id="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AUC de 0,878 com</w:t>
      </w:r>
      <w:r>
        <w:t xml:space="preserve"> </w:t>
      </w:r>
      <w:r>
        <w:t xml:space="preserve">efeitos aleatórios e 0,870 só com efeitos fixos, para o cargo qualificado;</w:t>
      </w:r>
      <w:r>
        <w:t xml:space="preserve"> </w:t>
      </w:r>
      <w:r>
        <w:t xml:space="preserve">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(0,30), sensibilidade 0,79 e</w:t>
      </w:r>
      <w:r>
        <w:t xml:space="preserve"> </w:t>
      </w:r>
      <w:r>
        <w:t xml:space="preserve">especificidade 0,79. O teste de Hosmer–Lemeshow rejeita a calibração</w:t>
      </w:r>
      <w:r>
        <w:t xml:space="preserve"> </w:t>
      </w:r>
      <w:r>
        <w:t xml:space="preserve">perfeita em todos os degraus — inevitável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</w:t>
      </w:r>
      <w:r>
        <w:t xml:space="preserve"> </w:t>
      </w:r>
      <w:r>
        <w:t xml:space="preserve">(Angrist; Pischke, 2009)</w:t>
      </w:r>
      <w:r>
        <w:t xml:space="preserve"> </w:t>
      </w:r>
      <w:r>
        <w:t xml:space="preserve">—,</w:t>
      </w:r>
      <w:r>
        <w:t xml:space="preserve"> </w:t>
      </w:r>
      <w:r>
        <w:t xml:space="preserve">mas a estatística cai 69% no top 20% e 54% no top 10%, embora suba no cargo qualificado ao se acrescentar o vínculo (A3).</w:t>
      </w:r>
    </w:p>
  </w:footnote>
  <w:footnote w:id="10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GLMM de acesso reespecificado com</w:t>
      </w:r>
      <w:r>
        <w:t xml:space="preserve"> </w:t>
      </w:r>
      <w:r>
        <w:rPr>
          <w:rStyle w:val="VerbatimChar"/>
        </w:rPr>
        <w:t xml:space="preserve">grupo_rg</w:t>
      </w:r>
      <w:r>
        <w:t xml:space="preserve"> </w:t>
      </w:r>
      <w:r>
        <w:t xml:space="preserve">(homem branco como</w:t>
      </w:r>
      <w:r>
        <w:t xml:space="preserve"> </w:t>
      </w:r>
      <w:r>
        <w:t xml:space="preserve">referência, mulher branca, homem negro, mulher 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ocupação qualificada (CBO 1–4),</w:t>
      </w:r>
      <w:r>
        <w:t xml:space="preserve"> </w:t>
      </w:r>
      <w:r>
        <w:t xml:space="preserve">renda no top 20% e no top 10%.</w:t>
      </w:r>
    </w:p>
  </w:footnote>
  <w:footnote w:id="1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 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04</m:t>
        </m:r>
      </m:oMath>
      <w:r>
        <w:t xml:space="preserve"> </w:t>
      </w:r>
      <w:r>
        <w:t xml:space="preserve">no top 10%): a penalidade racial é um pouco menor entre</w:t>
      </w:r>
      <w:r>
        <w:t xml:space="preserve"> </w:t>
      </w:r>
      <w:r>
        <w:t xml:space="preserve">mulheres do que entre homens, o que atenua a soma sem desfazê-la.</w:t>
      </w:r>
    </w:p>
  </w:footnote>
  <w:footnote w:id="1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Calculado sobre a população completa da PEA com renda positiva. Dos</w:t>
      </w:r>
      <w:r>
        <w:t xml:space="preserve"> </w:t>
      </w:r>
      <m:oMath>
        <m:r>
          <m:t>23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66</m:t>
        </m:r>
      </m:oMath>
      <w:r>
        <w:t xml:space="preserve"> </w:t>
      </w:r>
      <w:r>
        <w:t xml:space="preserve">(CBO: Profissionais); 0 variáveis críticas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0 variáveis altas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6 variáveis moderadas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17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Índice de Perda de Qualidade de Vida (IPQV; quanto maior, pior) de 0</w:t>
      </w:r>
      <w:r>
        <w:t xml:space="preserve">,</w:t>
      </w:r>
      <w:r>
        <w:t xml:space="preserve">183 para chefes pretos ou pardos, contra 0</w:t>
      </w:r>
      <w:r>
        <w:t xml:space="preserve">,</w:t>
      </w:r>
      <w:r>
        <w:t xml:space="preserve">122 para brancos;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 em 2025</w:t>
      </w:r>
      <w:r>
        <w:t xml:space="preserve"> </w:t>
      </w:r>
      <w:r>
        <w:t xml:space="preserve">(IBGE, 2019, 2025)</w:t>
      </w:r>
      <w:r>
        <w:t xml:space="preserve">.</w:t>
      </w:r>
    </w:p>
  </w:footnote>
  <w:footnote w:id="1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 Gini estimado neste trabalho refere-se ao rendimento do trabalho entre ocupados (em torno de 0</w:t>
      </w:r>
      <w:r>
        <w:t xml:space="preserve">,</w:t>
      </w:r>
      <w:r>
        <w:t xml:space="preserve">47), ao passo que o do IBGE é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e de todas as fontes. Os níveis são próximos, mas as medidas podem divergir em tendência: a alta de 2025 é puxada por renda não-trabalho do topo, que não transita pelo rendimento dos ocupados.</w:t>
      </w:r>
    </w:p>
  </w:footnote>
  <w:footnote w:id="1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000928</m:t>
        </m:r>
      </m:oMath>
      <w:r>
        <w:t xml:space="preserve"> </w:t>
      </w:r>
      <w:r>
        <w:t xml:space="preserve">log-ponto por ano, IC 95%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000133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001723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027</m:t>
        </m:r>
      </m:oMath>
      <w:r>
        <w:t xml:space="preserve">, por mínimos quadrados ponderados sobre 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do M3 estimado ano a ano, 2016–2025.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2026-10-04T20:40:26Z</dcterms:created>
  <dcterms:modified xsi:type="dcterms:W3CDTF">2026-10-04T20:40:26Z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