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 desigualdade racial no mercado de trabalho brasileiro é estrutural, contextual e geograficamente heterogênea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Ricardo Calheiros¹*; Edilson José Rodrigues²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¹* MBA em Data Science e Analytics, USP/Esalq. E-mail: rickinrj@gmail.com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² Orientador. MBA USP/Esalq.</w:t>
      </w:r>
    </w:p>
    <w:p/>
    <w:p>
      <w:pPr>
        <w:spacing w:before="240"/>
      </w:pPr>
      <w:r>
        <w:rPr>
          <w:rFonts w:ascii="Times New Roman" w:hAnsi="Times New Roman"/>
          <w:b/>
          <w:sz w:val="24"/>
        </w:rPr>
        <w:t>Resumo</w:t>
      </w:r>
    </w:p>
    <w:p>
      <w:pPr>
        <w:ind w:firstLine="709"/>
        <w:jc w:val="both"/>
      </w:pPr>
      <w:r>
        <w:t>A desigualdade racial no mercado de trabalho brasileiro foi investigada com a PNAD Contínua (2016–2025; 7.694.198 observações da população economicamente ativa com rendimento positivo), integrando econometria multinível, decomposições do gap e aprendizado de máquina interpretável. Os resultados indicam que a discriminação opera em camadas: uma barreira de acesso a ocupações qualificadas (GLMM logístico com intercepto aleatório de bairro, OR=0,699) que se agrava no topo da distribuição (OR de acesso ao decil superior = 0,654) e uma penalidade salarial que persiste sob controle exaustivo. Do gap agregado de 19,1%, 47,0% é mediado pelo contexto de moradia (UPA), restando um gap líquido de 10,2% e 7,0% dentro da mesma ocupação; a decomposição de Oaxaca-Blinder atribui 28,4% do gap a retornos diferenciais quando a ocupação não é tratada como dotação, e 16,2% quando é — limite inferior, pois o acesso à ocupação é ele próprio desigual. A penalidade recai de forma agravada sobre a mulher negra, com efeito interseccional de +4,6 p.p. além da soma dos eixos de raça e de gênero.</w:t>
      </w:r>
    </w:p>
    <w:p>
      <w:pPr>
        <w:jc w:val="both"/>
      </w:pPr>
      <w:r>
        <w:rPr>
          <w:rFonts w:ascii="Times New Roman" w:hAnsi="Times New Roman"/>
          <w:b/>
        </w:rPr>
        <w:t xml:space="preserve">Palavras-chave: </w:t>
      </w:r>
      <w:r>
        <w:rPr>
          <w:rFonts w:ascii="Times New Roman" w:hAnsi="Times New Roman"/>
        </w:rPr>
        <w:t>gap salarial racial; modelos hierárquicos; teto de vidro; decomposição de Oaxaca-Blinder; interseccionalidade.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Introdução</w:t>
      </w:r>
    </w:p>
    <w:p>
      <w:pPr>
        <w:ind w:firstLine="709"/>
        <w:jc w:val="both"/>
      </w:pPr>
      <w:r>
        <w:t>A persistência da desigualdade racial no mercado de trabalho brasileiro é um dos fenômenos mais documentados das ciências sociais nacionais, desde a tese do preconceito estrutural de Hasenbalg (1979) até as decomposições contemporâneas do rendimento (Henriques, 2001; Soares, 2009). Apesar do avanço educacional das últimas décadas, trabalhadores negros seguem auferindo rendimentos inferiores e ocupando, em menor proporção, as posições de maior prestígio e remuneração — um padrão que a explicação meritocrática, baseada apenas em capital humano, não dá conta de prever.</w:t>
      </w:r>
    </w:p>
    <w:p>
      <w:pPr>
        <w:ind w:firstLine="709"/>
        <w:jc w:val="both"/>
      </w:pPr>
      <w:r>
        <w:t>Esse hiato convive com um quadro recente de avanço social com desigualdade persistente: a Pesquisa de Orçamentos Familiares (POF) do IBGE registra melhora ampla na qualidade de vida entre 2008 e 2018 (queda de ~30% no Índice de Perda de Qualidade de Vida), mas sem fechar o gap racial (chefes pretos/pardos 0,183 vs. brancos 0,122) nem o territorial (Norte 0,223 / Nordeste 0,207 vs. Sul 0,114; IBGE, POF 2017–2018). No rendimento, o Gini domiciliar per capita voltou a subir em 2025 (0,491, ante 0,487 em 2024), puxado pelo topo (IBGE/PNAD Contínua, 2025). É esse padrão — progresso agregado que não dissolve a barreira racial — que este trabalho disseca no mercado de trabalho.</w:t>
      </w:r>
    </w:p>
    <w:p>
      <w:pPr>
        <w:ind w:firstLine="709"/>
        <w:jc w:val="both"/>
      </w:pPr>
      <w:r>
        <w:t>A literatura internacional sugere que a discriminação não é um evento único na contratação, mas um sistema de barreiras que se reforçam: exclusão de acesso a ocupações qualificadas (Pager, 2007), efeitos de vizinhança e segregação residencial (Wilson, 1987; Sampson, 1997) e barreiras na conversão de credenciais em ocupações qualificadas (Pager, 2007). Tratados isoladamente, esses mecanismos têm sido difíceis de quantificar de forma integrada e em escala nacional.</w:t>
      </w:r>
    </w:p>
    <w:p>
      <w:pPr>
        <w:ind w:firstLine="709"/>
        <w:jc w:val="both"/>
      </w:pPr>
      <w:r>
        <w:t>Este trabalho enfrenta essa lacuna combinando, sobre a série completa da PNAD Contínua, quatro métodos complementares — modelos lineares hierárquicos (HLM), decomposição de Oaxaca-Blinder, regressão quantílica com RIF e modelos logísticos multiníveis (GLMM) —, validados por aprendizado de máquina com valores SHAP. A convergência de métodos independentes sobre o mesmo conjunto de dados permite distinguir os mecanismos da desigualdade e testar sua robustez.</w:t>
      </w:r>
    </w:p>
    <w:p>
      <w:pPr>
        <w:ind w:firstLine="709"/>
        <w:jc w:val="both"/>
      </w:pPr>
      <w:r>
        <w:t>O objetivo deste trabalho é identificar, isolar e quantificar os mecanismos da desigualdade racial de rendimentos e de acesso ocupacional no Brasil, distinguindo a parcela de composição da parcela de discriminação e traduzindo o diagnóstico em implicações de política focadas no acesso a ocupações qualificadas.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Material e Métodos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Base de dados</w:t>
      </w:r>
    </w:p>
    <w:p>
      <w:pPr>
        <w:ind w:firstLine="709"/>
        <w:jc w:val="both"/>
      </w:pPr>
      <w:r>
        <w:t>Utilizou-se a Pesquisa Nacional por Amostra de Domicílios Contínua (PNAD Contínua/IBGE), série completa de 2016 a 2025, totalizando 7.694.198 observações da população economicamente ativa com rendimento positivo após o tratamento dos dados. As variáveis incluíram raça (preto/pardo agregados em 'negro'), gênero, idade, escolaridade, jornada, vínculo, grupo ocupacional (CBO) e indicadores de contexto agregados por unidade primária de amostragem (UPA, proxy de bairro) e por unidade da federação (UF). Os dados são de acesso público; nenhum indivíduo é identificável.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Modelos multiníveis: HLM e GLMM</w:t>
      </w:r>
    </w:p>
    <w:p>
      <w:pPr>
        <w:ind w:firstLine="709"/>
        <w:jc w:val="both"/>
      </w:pPr>
      <w:r>
        <w:t>Estimaram-se modelos lineares hierárquicos (HLM) de dois níveis para o logaritmo do rendimento — indivíduos aninhados em UPA, com a UF como conjunto de efeitos fixos, já que 27 unidades são poucas para um terceiro nível aleatório —, em estratégia step-up que decompõe o gap agregado em mediação contextual e penalidade residual (Raudenbush; Bryk, 2002). O acesso a ocupações qualificadas e ao topo da distribuição de renda foi modelado por GLMM logístico (lme4::glmer, R), com efeito aleatório de UPA. A robustez dos achados foi avaliada por E-values (VanderWeele; Ding, 2017).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Decomposição e regressão quantílica</w:t>
      </w:r>
    </w:p>
    <w:p>
      <w:pPr>
        <w:ind w:firstLine="709"/>
        <w:jc w:val="both"/>
      </w:pPr>
      <w:r>
        <w:t>A decomposição de Oaxaca-Blinder (Oaxaca, 1973; Blinder, 1973) separou o gap em componentes de dotações e de retornos. A regressão quantílica (Koenker; Bassett, 1978) avaliou a trajetória do gap ao longo da distribuição de rendimentos, caracterizando o teto de vidro.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Aprendizado de máquina e interpretabilidade</w:t>
      </w:r>
    </w:p>
    <w:p>
      <w:pPr>
        <w:ind w:firstLine="709"/>
        <w:jc w:val="both"/>
      </w:pPr>
      <w:r>
        <w:t>Random Forest (Breiman, 2001) e XGBoost (Chen; Guestrin, 2016) foram ajustados para prever o rendimento, com interpretação por valores SHAP (Lundberg; Lee, 2017), quantificando a contribuição de cada variável e suas interações de forma não-paramétrica — uma camada de triangulação e robustez frente aos modelos econométricos.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Sensibilidade e interseccionalidade</w:t>
      </w:r>
    </w:p>
    <w:p>
      <w:pPr>
        <w:ind w:firstLine="709"/>
        <w:jc w:val="both"/>
      </w:pPr>
      <w:r>
        <w:t>A robustez do resíduo racial foi avaliada por E-values (VanderWeele; Ding, 2017), que quantificam quanto um confundidor não-observado precisaria pesar para anular o efeito. A decomposição interseccional (raça × gênero) formaliza a penalidade específica da combinação dos eixos (Crenshaw, 1989), distinguindo-a da soma dos efeitos isolados.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Resultados Preliminares</w:t>
      </w:r>
    </w:p>
    <w:p>
      <w:pPr>
        <w:ind w:firstLine="709"/>
        <w:jc w:val="both"/>
      </w:pPr>
      <w:r>
        <w:t>Os resultados preliminares sustentam uma tese central: a desigualdade racial no mercado de trabalho brasileiro não é um evento pontual de contratação, mas um SISTEMA DE BARREIRAS EM CAMADAS — acesso, remuneração e interseccionalidade — com forte mediação do território, que persiste mesmo quando se controla a escolaridade. As subseções a seguir percorrem esse sistema: partem da falha da explicação meritocrática e isolam as três camadas que a substituem.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A falha da explicação meritocrática</w:t>
      </w:r>
    </w:p>
    <w:p>
      <w:pPr>
        <w:ind w:firstLine="709"/>
        <w:jc w:val="both"/>
      </w:pPr>
      <w:r>
        <w:t>Se o rendimento fosse função apenas do capital humano, controlar escolaridade, experiência e jornada deveria dissolver o gap racial — o que não ocorre. A decomposição de Oaxaca-Blinder atribui 72% do diferencial a diferenças de dotações e 28% a retornos diferenciais. O ponto decisivo, porém, está na COMPOSIÇÃO dessas dotações (Figura 1): os fatores que mais explicam o gap não são educacionais, mas CONTEXTUAIS e OCUPACIONAIS — a proporção de negros na UPA e o acesso a grupos ocupacionais de prestígio. As dotações não são, portanto, mérito neutro: são o produto das barreiras que as subseções seguintes isolam. O capital humano explica pouco; o que importa é onde se nasce e a que ocupações se tem acesso.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xaca_por_varia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1. Decomposição de Oaxaca-Blinder por variável: o gap vem sobretudo do contexto (proporção de negros na UPA) e da ocupação — não da escolaridade.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1 — A barreira de acesso e o teto de vidro</w:t>
      </w:r>
    </w:p>
    <w:p>
      <w:pPr>
        <w:ind w:firstLine="709"/>
        <w:jc w:val="both"/>
      </w:pPr>
      <w:r>
        <w:t>A primeira camada é a exclusão da PORTA DE ENTRADA. O GLMM logístico multinível estima que um trabalhador negro com a mesma escolaridade, sexo, idade, estado e bairro que um branco tem 30% menos chance de ocupar um cargo qualificado (OR=0,699; AME -5,5 p.p.). A barreira não é uniforme ao longo da hierarquia: ela se agrava no topo (Figura 2) — o odds ratio de acesso cai de 0,688 no quintil superior de renda para 0,654 no decil superior. É um teto de vidro de ACESSO: quanto mais valiosa a posição, mais opaco o filtro racial. O ICC de UPA no modelo nulo de acesso (19,8%) já antecipa que essa barreira tem raiz territorial — o fio que conecta as camadas.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m_glassceil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2. GLMM — odds ratios de acesso por desfecho: o gradiente decrescente rumo ao topo da renda caracteriza o teto de vidro de acesso (OR &lt; 1 = barreira).</w:t>
      </w:r>
    </w:p>
    <w:p>
      <w:pPr>
        <w:spacing w:before="160"/>
        <w:jc w:val="center"/>
      </w:pPr>
      <w:r>
        <w:rPr>
          <w:rFonts w:ascii="Times New Roman" w:hAnsi="Times New Roman"/>
          <w:b/>
          <w:sz w:val="20"/>
        </w:rPr>
        <w:t>Tabela 1. GLMM logístico (M2, população completa) — teto de vidro de acesso. OR &lt; 1 = menor chance de acesso para negros vs. brancos de mesmo perfil; AME em pontos percentuais; E-value ≥ 2 indica robustez a confundidor não observado.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Desfecho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 (negro)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AME (p.p.)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E-value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Cargo qualificado (CBO 1–4)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0,699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-5,5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2,21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Top 20% de renda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0,688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-4,7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2,27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Top 10% de renda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0,654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-3,0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2,43</w:t>
            </w:r>
          </w:p>
        </w:tc>
      </w:tr>
    </w:tbl>
    <w:p>
      <w:pPr>
        <w:spacing w:after="160"/>
      </w:pPr>
    </w:p>
    <w:p>
      <w:pPr>
        <w:ind w:firstLine="709"/>
        <w:jc w:val="both"/>
      </w:pPr>
      <w:r>
        <w:t>Uma leitura interseccional (quatro grupos raça×gênero, referência = homem branco) revela uma inversão. No ACESSO à categoria, a mulher negra é alçada (OR=1,33, acima do homem branco, por profissões feminizadas em CBO 1–4) e o mais penalizado é o homem negro (OR=0,65); mas no TOPO da renda o quadro inverte e a mulher negra torna-se a MAIS excluída de todos (OR=0,34 no decil superior, abaixo da mulher branca e do homem negro). A interação é sub-aditiva, mas o teto de vidro recai com força máxima sobre a mulher negra (Figura 2b).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2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o_rg_intersec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2b. Interseccionalidade raça×gênero: a mulher negra é alçada no acesso à categoria, mas a mais excluída no topo da renda (OR vs. homem branco).</w:t>
      </w:r>
    </w:p>
    <w:p>
      <w:pPr>
        <w:ind w:firstLine="709"/>
        <w:jc w:val="both"/>
      </w:pPr>
      <w:r>
        <w:t>Um indicador distribucional reforça o teto de vidro. O Gini da renda do trabalho é MAIOR entre brancos (0,485) do que entre negros (0,449) — em todos os anos da série. Isso não é equidade entre negros: é CONFINAMENTO AO PISO (renda homogeneamente baixa), o reverso distribucional da barreira de acesso ao topo. Quem é barrado do topo achata-se na base. Cabe a ressalva de que este Gini refere-se ao rendimento do TRABALHO entre ocupados — conceito distinto do Gini domiciliar per capita do IBGE (Figura 2c).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ra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2c. Gini intra-raça (renda do trabalho, ponderado): brancos têm maior desigualdade interna; negros, comprimidos no piso — o reverso do teto de vidro, não equidade.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2 — O território como eixo da desigualdade</w:t>
      </w:r>
    </w:p>
    <w:p>
      <w:pPr>
        <w:ind w:firstLine="709"/>
        <w:jc w:val="both"/>
      </w:pPr>
      <w:r>
        <w:t>Por que as dotações são desiguais? A segunda camada responde: em parte, pelo LUGAR. No modelo hierárquico, mais da metade do gap salarial é mediada pelo contexto de moradia (UPA) — um achado robusto de mediação. A raça opera, em medida relevante, ATRAVÉS do território: a segregação residencial histórica converte-se em segregação de renda atual. Ressalva metodológica: a renda média da UPA é preditor parcialmente endógeno do rendimento individual (problema do reflexo, Manski 1993), pois agrega o próprio indivíduo; por isso a interpretamos como evidência de mediação territorial, e não como 'determinante' causal isolado. É esse eixo territorial que dá unidade às demais camadas.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7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_xg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3. Importância SHAP (XGBoost, R² de teste 0,628): o contexto territorial (renda média da UPA) está entre os preditores de maior peso, sinalizando o eixo territorial da desigualdade — interpretado como mediação, não como determinante causal isolado.</w:t>
      </w:r>
    </w:p>
    <w:p>
      <w:pPr>
        <w:ind w:firstLine="709"/>
        <w:jc w:val="both"/>
      </w:pPr>
      <w:r>
        <w:t>Esse eixo territorial encontra corroboração externa no Índice de Progresso Social (IPS) municipal (Imazon e parceiros, 2026): as regiões de menor progresso social (Norte e Nordeste) coincidem com as de maior penalidade racial em nossos modelos. Ressalva metodológica: a integração fina com o proxy de bairro (UPA) é inviável — a PNAD não divulga o município e o IPS é municipal, mais agregado que a UPA —, de modo que o IPS entra como evidência convergente do caráter territorial, não como fonte de dados integrada.</w:t>
      </w:r>
    </w:p>
    <w:p>
      <w:pPr>
        <w:spacing w:before="160"/>
        <w:jc w:val="center"/>
      </w:pPr>
      <w:r>
        <w:rPr>
          <w:rFonts w:ascii="Times New Roman" w:hAnsi="Times New Roman"/>
          <w:b/>
          <w:sz w:val="20"/>
        </w:rPr>
        <w:t>Tabela 2. Decomposição do gap por mediação (HLM de dois níveis — indivíduos em UPA, com efeitos fixos de UF; PNAD Contínua 2016–2025, população completa). Cada modelo acrescenta controles ao anterior; o gap encolhe de 19,1% (agregado) para 7,0% (M4), com 65,9% mediado por contexto de moradia e ocupação.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Modelo (controles acumulados)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β negro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Gap (%)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Mediação acum. (%)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Agregado (individual + UF, sem bairro)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-0,2123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-19,1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 (+ intercepto aleatório de UPA)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-0,1124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-10,6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47,0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M2 (+ contexto da UPA)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-0,1076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-10,2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49,3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M3 (+ efeitos fixos de UF)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-0,1077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-10,2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49,3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M4 (+ ocupação e formalidade)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-0,0724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-7,0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65,9</w:t>
            </w:r>
          </w:p>
        </w:tc>
      </w:tr>
    </w:tbl>
    <w:p>
      <w:pPr>
        <w:spacing w:after="160"/>
      </w:pPr>
    </w:p>
    <w:p>
      <w:pPr>
        <w:spacing w:before="160"/>
        <w:jc w:val="center"/>
      </w:pPr>
      <w:r>
        <w:rPr>
          <w:rFonts w:ascii="Times New Roman" w:hAnsi="Times New Roman"/>
          <w:b/>
          <w:sz w:val="20"/>
        </w:rPr>
        <w:t>Tabela 3. Decomposição de Oaxaca-Blinder em duas especificações (população completa; erros-padrão por bootstrap em blocos de UPA). Dotações + Retornos = 100% do gap. (A) trata apenas capital humano e contexto como dotações; (B) acrescenta ocupação, formalidade e jornada. Ressalva (Oaxaca &amp; Ransom, 1999): incluir a ocupação como dotação subestima a discriminação, pois a segregação ocupacional é ela própria discriminatória — daí a complementaridade com o GLMM de acesso (Tabela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(A) sem ocupação (%)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(B) com ocupação (%)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Dotações — (A) capital humano e contexto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71,6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83,8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Retornos — parcela não explicada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28,4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16,2</w:t>
            </w:r>
          </w:p>
        </w:tc>
      </w:tr>
    </w:tbl>
    <w:p>
      <w:pPr>
        <w:spacing w:after="160"/>
      </w:pP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3 — A penalidade interseccional</w:t>
      </w:r>
    </w:p>
    <w:p>
      <w:pPr>
        <w:ind w:firstLine="709"/>
        <w:jc w:val="both"/>
      </w:pPr>
      <w:r>
        <w:t>As duas primeiras camadas — acesso e território — combinam-se de forma agravada na interseção de raça e gênero. A decomposição interseccional mostra que a Mulher Negra acumula a maior desvantagem (gap de 80,6% vs. o Homem Branco) e, além disso, uma penalidade EXTRA de 4,6 pontos percentuais que não se reduz à soma das penalidades de raça e de gênero isoladas — a marca da interseccionalidade (Crenshaw, 1989). A interação é sub-aditiva: o efeito próprio da combinação existe e é menor que o dobro das penalidades isoladas. As camadas reforçam-se mutuamente: a barreira de acesso e o eixo territorial pesam de modo desigual sobre os diferentes grupos.</w:t>
      </w:r>
    </w:p>
    <w:p>
      <w:pPr>
        <w:spacing w:before="160"/>
        <w:jc w:val="center"/>
      </w:pPr>
      <w:r>
        <w:rPr>
          <w:rFonts w:ascii="Times New Roman" w:hAnsi="Times New Roman"/>
          <w:b/>
          <w:sz w:val="20"/>
        </w:rPr>
        <w:t>Tabela 4. Decomposição interseccional (raça × gênero) do gap vs. o Homem Branco (população completa; erro-padrão por bootstrap em blocos de UPA). Dotações + Retornos = 100% do gap. A Mulher Negra acumula o maior gap (80,6%) e uma penalidade extra de 4,6 p.p. não redutível à soma dos eixos de raça e gênero (Crenshaw, 1989).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Grupo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Gap vs HB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Dotações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Retornos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Penal. extra (p.p.)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Mulher Branca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19,7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-51,9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151,9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Homem Negro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56,3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73,9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26,1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Mulher Negra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80,6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35,3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64,7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4,6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946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o_rg_intersec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4. Decomposição interseccional (raça × gênero): gap de renda vs. o Homem Branco; a Mulher Negra acumula as duas penalidades, com um resíduo interseccional próprio.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Limitações e escopo de validade</w:t>
      </w:r>
    </w:p>
    <w:p>
      <w:pPr>
        <w:ind w:firstLine="709"/>
        <w:jc w:val="both"/>
      </w:pPr>
      <w:r>
        <w:t>Natureza inferencial vs. preditiva. Os modelos HLM, Oaxaca-Blinder, regressão quantílica e o GLMM logístico de acesso produzem estimativas de ASSOCIAÇÃO CONDICIONAL — o diferencial racial que persiste sob controle de observáveis —, e não prova causal contrafactual. O XGBoost e os valores SHAP têm finalidade PREDITIVA e interpretativa: medem a contribuição de cada variável para a previsão do rendimento, não o efeito causal de manipulá-la. A linguagem causal foi deliberadamente evitada.</w:t>
      </w:r>
    </w:p>
    <w:p>
      <w:pPr>
        <w:ind w:firstLine="709"/>
        <w:jc w:val="both"/>
      </w:pPr>
      <w:r>
        <w:t>Cobertura da escolaridade. A escolaridade detalhada está registrada para cerca de 31% da PEA no painel público; os níveis entram como dummies de conclusão acompanhadas de um indicador explícito de não-registro (educ_missing), de modo que a categoria-base não confunda baixa escolaridade com dado ausente. O coeficiente racial é estável a essa especificação (variação inferior a 1%).</w:t>
      </w:r>
    </w:p>
    <w:p>
      <w:pPr>
        <w:ind w:firstLine="709"/>
        <w:jc w:val="both"/>
      </w:pPr>
      <w:r>
        <w:t>Especificação da decomposição de Oaxaca-Blinder. A repartição entre composição e discriminação depende de quais controles se tratam como dotações, e por isso as duas especificações são reportadas lado a lado: sem a ocupação, a parcela não explicada é 28,4%; com ela, 16,2%. Como alerta Oaxaca e Ransom (1999), tratar a ocupação como dotação tende a subestimar a discriminação total, já que a segregação ocupacional é, ela própria, discriminatória — a segunda leitura é, portanto, um limite inferior descritivo, e daí a complementaridade com o GLMM de acesso.</w:t>
      </w:r>
    </w:p>
    <w:p>
      <w:pPr>
        <w:ind w:firstLine="709"/>
        <w:jc w:val="both"/>
      </w:pPr>
      <w:r>
        <w:t>Bad controls. Pelo mesmo motivo, ocupação, formalidade e jornada são desfechos da própria discriminação (Angrist; Pischke, 2009, cap. 3). Os modelos que os incluem (M4 e a especificação B) são apresentados como limite inferior; os que não os incluem (M3 e a especificação A), como o gap condicional a capital humano e bairro.</w:t>
      </w:r>
    </w:p>
    <w:p>
      <w:pPr>
        <w:ind w:firstLine="709"/>
        <w:jc w:val="both"/>
      </w:pPr>
      <w:r>
        <w:t>Condicionamento em rendimento positivo. Todos os modelos de rendimento são estimados entre ocupados com renda positiva, o que é condicionar no desfecho. A direção provável do viés é de subestimação, caso os trabalhadores negros que permanecem ocupados sejam positivamente selecionados em atributos não observados; o GLMM de acesso trata diretamente a outra metade do problema.</w:t>
      </w:r>
    </w:p>
    <w:p>
      <w:pPr>
        <w:ind w:firstLine="709"/>
        <w:jc w:val="both"/>
      </w:pPr>
      <w:r>
        <w:t>Inferência. Como a PNAD amostra por conglomerados, todos os modelos reportam erro-padrão agrupado por UPA ou modelam o bairro como efeito aleatório; as decomposições usam bootstrap em blocos de UPA. No agrupamento por UF, com 27 clusters, usa-se t com G−1 graus de liberdade. As estimativas são não ponderadas — descrevem a regressão na amostra —, e a robustez ponderada pelo peso V1028 altera o gap em menos de meio ponto percentual.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Considerações Preliminares</w:t>
      </w:r>
    </w:p>
    <w:p>
      <w:pPr>
        <w:ind w:firstLine="709"/>
        <w:jc w:val="both"/>
      </w:pPr>
      <w:r>
        <w:t>Tomados em conjunto, os resultados convergem para a tese central: a desigualdade racial no trabalho brasileiro é um SISTEMA DE BARREIRAS EM CAMADAS — acesso, remuneração e interseccionalidade — com forte mediação do TERRITÓRIO: o contexto de moradia responde por 47,0% do gap agregado. Boa parte do diferencial é composição (Oaxaca-Blinder: 71,6% de dotações na especificação sem ocupação), mas a composição é ela mesma produto da discriminação no acesso às ocupações (GLMM: OR=0,699, com gradiente até 0,654 no decil superior) e convive com penalidade salarial que persiste sob controle exaustivo — 10,2% de gap líquido e 7,0% dentro da mesma ocupação — maior na base da distribuição em termos de retornos (sticky floor). A consequência prescritiva é direta: políticas unidimensionais são insuficientes; a intervenção deve ser multidimensional e centrada no acesso a ocupações qualificadas. As próximas etapas incluem o refinamento das análises de robustez e a consolidação das recomendações.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after="120" w:line="240" w:lineRule="auto"/>
        <w:jc w:val="both"/>
      </w:pPr>
      <w:r>
        <w:rPr>
          <w:sz w:val="22"/>
        </w:rPr>
        <w:t>BLINDER, A. S. Wage discrimination: reduced form and structural estimates. Journal of Human Resources, v. 8, n. 4, p. 436-455, 1973.</w:t>
      </w:r>
    </w:p>
    <w:p>
      <w:pPr>
        <w:spacing w:after="120" w:line="240" w:lineRule="auto"/>
        <w:jc w:val="both"/>
      </w:pPr>
      <w:r>
        <w:rPr>
          <w:sz w:val="22"/>
        </w:rPr>
        <w:t>BREIMAN, L. Random forests. Machine Learning, v. 45, n. 1, p. 5-32, 2001.</w:t>
      </w:r>
    </w:p>
    <w:p>
      <w:pPr>
        <w:spacing w:after="120" w:line="240" w:lineRule="auto"/>
        <w:jc w:val="both"/>
      </w:pPr>
      <w:r>
        <w:rPr>
          <w:sz w:val="22"/>
        </w:rPr>
        <w:t>CHEN, T.; GUESTRIN, C. XGBoost: a scalable tree boosting system. In: KDD, 2016. p. 785-794.</w:t>
      </w:r>
    </w:p>
    <w:p>
      <w:pPr>
        <w:spacing w:after="120" w:line="240" w:lineRule="auto"/>
        <w:jc w:val="both"/>
      </w:pPr>
      <w:r>
        <w:rPr>
          <w:sz w:val="22"/>
        </w:rPr>
        <w:t>CRENSHAW, K. Demarginalizing the intersection of race and sex. University of Chicago Legal Forum, v. 1989, n. 1, p. 139-167, 1989.</w:t>
      </w:r>
    </w:p>
    <w:p>
      <w:pPr>
        <w:spacing w:after="120" w:line="240" w:lineRule="auto"/>
        <w:jc w:val="both"/>
      </w:pPr>
      <w:r>
        <w:rPr>
          <w:sz w:val="22"/>
        </w:rPr>
        <w:t>FIRPO, S.; FORTIN, N. M.; LEMIEUX, T. Decomposing wage distributions using recentered influence function regressions. Econometrics, v. 6, n. 2, p. 28, 2018.</w:t>
      </w:r>
    </w:p>
    <w:p>
      <w:pPr>
        <w:spacing w:after="120" w:line="240" w:lineRule="auto"/>
        <w:jc w:val="both"/>
      </w:pPr>
      <w:r>
        <w:rPr>
          <w:sz w:val="22"/>
        </w:rPr>
        <w:t>HASENBALG, C. Discriminação e desigualdades raciais no Brasil. Rio de Janeiro: Graal, 1979.</w:t>
      </w:r>
    </w:p>
    <w:p>
      <w:pPr>
        <w:spacing w:after="120" w:line="240" w:lineRule="auto"/>
        <w:jc w:val="both"/>
      </w:pPr>
      <w:r>
        <w:rPr>
          <w:sz w:val="22"/>
        </w:rPr>
        <w:t>HENRIQUES, R. Desigualdade racial no Brasil: evolução das condições de vida na década de 90. Rio de Janeiro: IPEA, 2001. (Texto para discussão, 807).</w:t>
      </w:r>
    </w:p>
    <w:p>
      <w:pPr>
        <w:spacing w:after="120" w:line="240" w:lineRule="auto"/>
        <w:jc w:val="both"/>
      </w:pPr>
      <w:r>
        <w:rPr>
          <w:sz w:val="22"/>
        </w:rPr>
        <w:t>INSTITUTO BRASILEIRO DE GEOGRAFIA E ESTATÍSTICA (IBGE). PNAD Contínua: Rendimento de Todas as Fontes 2025. Rio de Janeiro: IBGE, 2025.</w:t>
      </w:r>
    </w:p>
    <w:p>
      <w:pPr>
        <w:spacing w:after="120" w:line="240" w:lineRule="auto"/>
        <w:jc w:val="both"/>
      </w:pPr>
      <w:r>
        <w:rPr>
          <w:sz w:val="22"/>
        </w:rPr>
        <w:t>INSTITUTO BRASILEIRO DE GEOGRAFIA E ESTATÍSTICA (IBGE). Pesquisa Nacional por Amostra de Domicílios Contínua. Rio de Janeiro: IBGE, 2016-2025.</w:t>
      </w:r>
    </w:p>
    <w:p>
      <w:pPr>
        <w:spacing w:after="120" w:line="240" w:lineRule="auto"/>
        <w:jc w:val="both"/>
      </w:pPr>
      <w:r>
        <w:rPr>
          <w:sz w:val="22"/>
        </w:rPr>
        <w:t>INSTITUTO BRASILEIRO DE GEOGRAFIA E ESTATÍSTICA (IBGE). Pesquisa de Orçamentos Familiares 2017-2018: análise da qualidade de vida. Rio de Janeiro: IBGE, 2019.</w:t>
      </w:r>
    </w:p>
    <w:p>
      <w:pPr>
        <w:spacing w:after="120" w:line="240" w:lineRule="auto"/>
        <w:jc w:val="both"/>
      </w:pPr>
      <w:r>
        <w:rPr>
          <w:sz w:val="22"/>
        </w:rPr>
        <w:t>KOENKER, R.; BASSETT, G. Regression quantiles. Econometrica, v. 46, n. 1, p. 33-50, 1978.</w:t>
      </w:r>
    </w:p>
    <w:p>
      <w:pPr>
        <w:spacing w:after="120" w:line="240" w:lineRule="auto"/>
        <w:jc w:val="both"/>
      </w:pPr>
      <w:r>
        <w:rPr>
          <w:sz w:val="22"/>
        </w:rPr>
        <w:t>LUNDBERG, S. M.; LEE, S. A unified approach to interpreting model predictions. In: NeurIPS, 2017. p. 4765-4774.</w:t>
      </w:r>
    </w:p>
    <w:p>
      <w:pPr>
        <w:spacing w:after="120" w:line="240" w:lineRule="auto"/>
        <w:jc w:val="both"/>
      </w:pPr>
      <w:r>
        <w:rPr>
          <w:sz w:val="22"/>
        </w:rPr>
        <w:t>OAXACA, R. L.; RANSOM, M. R. Identification in detailed wage decompositions. Review of Economics and Statistics, v. 81, n. 1, p. 154-157, 1999.</w:t>
      </w:r>
    </w:p>
    <w:p>
      <w:pPr>
        <w:spacing w:after="120" w:line="240" w:lineRule="auto"/>
        <w:jc w:val="both"/>
      </w:pPr>
      <w:r>
        <w:rPr>
          <w:sz w:val="22"/>
        </w:rPr>
        <w:t>OAXACA, R. Male-female wage differentials in urban labor markets. International Economic Review, v. 14, n. 3, p. 693-709, 1973.</w:t>
      </w:r>
    </w:p>
    <w:p>
      <w:pPr>
        <w:spacing w:after="120" w:line="240" w:lineRule="auto"/>
        <w:jc w:val="both"/>
      </w:pPr>
      <w:r>
        <w:rPr>
          <w:sz w:val="22"/>
        </w:rPr>
        <w:t>PAGER, D. Marked: race, crime, and finding work in an era of mass incarceration. Chicago: University of Chicago Press, 2007.</w:t>
      </w:r>
    </w:p>
    <w:p>
      <w:pPr>
        <w:spacing w:after="120" w:line="240" w:lineRule="auto"/>
        <w:jc w:val="both"/>
      </w:pPr>
      <w:r>
        <w:rPr>
          <w:sz w:val="22"/>
        </w:rPr>
        <w:t>RAUDENBUSH, S. W.; BRYK, A. S. Hierarchical linear models: applications and data analysis methods. 2. ed. Thousand Oaks: Sage, 2002.</w:t>
      </w:r>
    </w:p>
    <w:p>
      <w:pPr>
        <w:spacing w:after="120" w:line="240" w:lineRule="auto"/>
        <w:jc w:val="both"/>
      </w:pPr>
      <w:r>
        <w:rPr>
          <w:sz w:val="22"/>
        </w:rPr>
        <w:t>SAMPSON, R. J.; RAUDENBUSH, S. W.; EARLS, F. Neighborhoods and violent crime. Science, v. 277, p. 918-924, 1997.</w:t>
      </w:r>
    </w:p>
    <w:p>
      <w:pPr>
        <w:spacing w:after="120" w:line="240" w:lineRule="auto"/>
        <w:jc w:val="both"/>
      </w:pPr>
      <w:r>
        <w:rPr>
          <w:sz w:val="22"/>
        </w:rPr>
        <w:t>SOARES, S. S. D. Perfil da discriminação no mercado de trabalho: raça, sexo e salários no Brasil 1992-2006. Rio de Janeiro: IPEA, 2009. (Texto para discussão, 1395).</w:t>
      </w:r>
    </w:p>
    <w:p>
      <w:pPr>
        <w:spacing w:after="120" w:line="240" w:lineRule="auto"/>
        <w:jc w:val="both"/>
      </w:pPr>
      <w:r>
        <w:rPr>
          <w:sz w:val="22"/>
        </w:rPr>
        <w:t>VANDERWEELE, T. J.; DING, P. Sensitivity analysis in observational research: introducing the E-value. Annals of Internal Medicine, v. 167, n. 4, p. 268-274, 2017.</w:t>
      </w:r>
    </w:p>
    <w:p>
      <w:pPr>
        <w:spacing w:after="120" w:line="240" w:lineRule="auto"/>
        <w:jc w:val="both"/>
      </w:pPr>
      <w:r>
        <w:rPr>
          <w:sz w:val="22"/>
        </w:rPr>
        <w:t>WILSON, W. J. The truly disadvantaged: the inner city, the underclass, and public policy. Chicago: University of Chicago Press, 1987.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Declaração de uso de inteligência artificial</w:t>
      </w:r>
    </w:p>
    <w:p>
      <w:pPr>
        <w:ind w:firstLine="709"/>
        <w:jc w:val="both"/>
      </w:pPr>
      <w:r>
        <w:t>Na elaboração deste trabalho foram utilizadas ferramentas de inteligência artificial (Claude Code, da Anthropic) como apoio à implementação e depuração de código (Python e R), à geração de figuras e tabelas e à formatação dos documentos. A concepção da pesquisa, a escolha das metodologias, a interpretação dos resultados e a redação final são de responsabilidade do autor, que revisou, validou e responde por todo o conteúdo.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