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Uma abordagem multinível e de decomposição salarial — 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10,2% a menos que um branco — e a barreira mais dura não é o salário, é a porta: 30% menos chance de chegar a um cargo qualificado. O mercado de trabalho brasileiro não é racialmente neutro, e educação sozinha não corrige isso.”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19,1%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cai quase à metade: 47,0%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10,2%</w:t>
      </w:r>
      <w:r>
        <w:rPr>
          <w:rFonts w:ascii="Calibri" w:hAnsi="Calibri"/>
          <w:b w:val="0"/>
          <w:i w:val="0"/>
          <w:sz w:val="22"/>
        </w:rPr>
        <w:t>. Dentro da mesma ocupação ainda persistem 7,0%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40.969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47,0% mediado pelo bairro; gap líquido 10,2%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28,4% do gap são retornos diferenciais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(8,0%→11,6%); retornos maiores na base (35,1% no q10)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0,699 para cargo qualificado; 0,654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11ª posição entre 29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a barreira maior está no acesso à ocupação. Política de educação isolada tem retorno marginal decrescente; é preciso agir simultaneamente sobre acesso (Lei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0,369 — 37%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2,2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e da penalidade extra.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247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−0,2123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−19,1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−0,1124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−10,6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47,0%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−0,1076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−10,2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49,3%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−0,1077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−10,2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49,3%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−0,0724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−7,0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65,9%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0,3370, σ² = 0,5759 → ICC = 0,369. Traduza: 37%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−0,2189 (EP 0,0017)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0,171; LR contra o M3 = 38.657. A penalidade varia entre bairros, e a covariância negativa (−0,0245)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0,33698 por ML e 0,33699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Metade do gap racial desaparece ao comparar pessoas do mesmo bairro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15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30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71,6%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28,4%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ocupação, formalidade e horas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83,8%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16,2%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7.694.198 em 40.969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422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derruba pela metade a discriminação medida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−8,0%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35,1%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−7,1%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31,2%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−7,8%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27,3%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−9,9%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24,5%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−11,6%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12,9%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−0,0403, Z = −16,95, p &lt; 0,001. O erro-padrão vem de bootstrap m-out-of-n em blocos de UPA (1.229 de 40.969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0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 piso pegajoso são o mesmo fenômeno visto de dois ângulos.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ICC UPA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0,699 (0,696–0,702)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0,198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0,831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0,688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−4,7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0,281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0,844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0,654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−3,0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0,350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2,4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30% menor que a de um branco do mesmo bairro e perfil; no décimo superior da renda, 35% menor. O gradiente (0,699 → 0,688 → 0,654)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5,5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0,831 com efeito aleatório contra 0,790 só com efeitos fixos; corte de Youden 0,30 (sensibilidade 0,82, especificidade 0,68). O teste LR contra o logit pooled é 411.007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89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8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99,0% da estimativa fosse viés para invalidar a inferência; a correlação parcial exigida do confundidor (ITCV = 0,069)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M2) = 2,2: um confundidor não medido precisaria estar associado a ser negro e ao acesso com OR de pelo menos 2,2 — acima do observado para escolaridade superior.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19 covariáveis comparadas entre brancos e negros, 14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−1,18)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22,25 (Educ.: não registrada); 2 de 24 preditores acima de 10, ambos do bloco educacional — colinearidade por construção.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1,37.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402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0,569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0,570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0,0015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0,628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0,637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0,0090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0,598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0,608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0,0092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(6.155.355 de treino, 1.538.839 de teste): R² = 0,628 ± 0,0007.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0,603.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R$ 538 por mês (37,3% do rendimento), com correção de smearing de Duan (1,178)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11ª posição entre 29 preditores no XGBoost (|SHAP| = 0,0314). Sem a renda média do bairro entre as features, a contribuição da raça é 0,0307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668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6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 e jornada dominam a previsão de renda; a raça aparece na 11ª posição entre 29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4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19,7%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−51,9%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151,9%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1.423.994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56,3%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73,9%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26,1%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2.664.739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80,6%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35,3%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64,7%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1.769.943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Penalidade extra da mulher negra: 4,6 pontos percentuais além da soma das penalidades de raça e de gênero isoladas — o efeito interseccional puro (Crenshaw, 1989).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94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na categoria, mas não chega ao topo.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0,3370 / (0,3370 + 0,5759) = 0,369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ln(W̄_B) − ln(W̄_N) = (X̄_B − X̄_N)′β̂_B  +  X̄_N′(β̂_B − β̂_N)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color w:val="616161"/>
          <w:sz w:val="20"/>
        </w:rPr>
        <w:t xml:space="preserve">                      └── dotações ──┘   └──── retornos ────┘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0,699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0,699:  E = 2,21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99,0% de viés, ou um confundidor com OR de 2,2,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Ocupação, formalidade e horas são desfechos da própria discriminação: incluí-las (M4, especificação B da Oaxaca-Blinder) dá 7,0% — um limite inferior descritivo, a discriminação dentro da ocupação. Sem elas (M3, especificação A) o gap é 10,2%.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(0,0314 contra 0,0307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menos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gap, com esse N, tem p = 0,077 e não se distingue de zero; a conclusão conservadora é que a década não produziu convergência mensurável.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40.969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problema, e a correção de Heckman, estimada na versão estendida, indicou seleção não nula com o coeficiente racial estável em sinal e ordem de grandeza.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0,699 quer dizer 30%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30% menos chance, no sentido de odds. Em probabilidade, o efeito marginal médio é de 5,5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11ª posição entre 29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0,0090; N é muitas ordens de grandeza maior que a complexidade do modelo regularizado; e o R² de teste é estável entre a validação cruzada de 5 folds (0,628 ± 0,0007)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Nem uma nem outra, e é esse o achado: a penalidade dela (80,6% vs. o homem branco) é maior que a soma das penalidades isoladas de raça e de gênero, mas por 4,6 pontos percentuais, não pelo dobro. A interação é sub-aditiva: existe efeito interseccional puro, e ele é menor do que a leitura mais dramática sugeriria. Dizer o número exato é mais forte que dizer “dupla discriminação”.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a cobertura da escolaridade detalhada, registrada para cerca de 31% da PEA no painel público; por isso os níveis entram como dummies de conclusão com indicador explícito de não-registro, e os retornos educacionais são lidos com cautela.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19,1% agregado → 47,0% mediado pelo bairro → 10,2% líquido → 7,0%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0,699 no acesso e 0,654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0,369 — 37%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