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xml:space="preserve">;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r>
        <w:rPr>
          <w:rFonts w:ascii="Arial" w:hAnsi="Arial"/>
          <w:sz w:val="20"/>
        </w:rPr>
        <w:t xml:space="preserve"> </w:t>
      </w:r>
      <w:r>
        <w:rPr>
          <w:rFonts w:ascii="Arial" w:hAnsi="Arial"/>
          <w:sz w:val="20"/>
        </w:rPr>
        <w:t xml:space="preserve">E-mail: orientador@usp.br</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 xml:space="preserve">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Concluiu-se que a desigualdade racial opera em duas frentes que respondem de modo diferente à escolaridade: a penalidade salarial é maior entre os menos escolarizados e pequena entre os pós-graduados, enquanto a desvantagem no acesso a cargos qualificados persiste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xml:space="preserve">: diferencial racial de rendimentos;</w:t>
      </w:r>
      <w:r>
        <w:rPr>
          <w:rFonts w:ascii="Arial" w:hAnsi="Arial"/>
          <w:sz w:val="22"/>
        </w:rPr>
        <w:t xml:space="preserve"> </w:t>
      </w:r>
      <w:r>
        <w:rPr>
          <w:rFonts w:ascii="Arial" w:hAnsi="Arial"/>
          <w:sz w:val="22"/>
        </w:rPr>
        <w:t xml:space="preserve">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 xml:space="preserve">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It was concluded that racial inequality operates on two fronts that respond differently to schooling: the wage penalty is largest among the least educated and small among postgraduates, while the disadvantage in access to qualified jobs persists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xml:space="preserve">: racial earnings gap; residential segregation; glass</w:t>
      </w:r>
      <w:r>
        <w:rPr>
          <w:rFonts w:ascii="Arial" w:hAnsi="Arial"/>
          <w:sz w:val="22"/>
        </w:rPr>
        <w:t xml:space="preserve"> </w:t>
      </w:r>
      <w:r>
        <w:rPr>
          <w:rFonts w:ascii="Arial" w:hAnsi="Arial"/>
          <w:sz w:val="22"/>
        </w:rPr>
        <w:t xml:space="preserve">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(IBGE, 2023)</w:t>
      </w:r>
      <w:r>
        <w:rPr>
          <w:rFonts w:ascii="Arial" w:hAnsi="Arial"/>
          <w:sz w:val="22"/>
        </w:rPr>
        <w:t xml:space="preserve">. A</w:t>
      </w:r>
      <w:r>
        <w:rPr>
          <w:rFonts w:ascii="Arial" w:hAnsi="Arial"/>
          <w:sz w:val="22"/>
        </w:rPr>
        <w:t xml:space="preserve"> </w:t>
      </w:r>
      <w:r>
        <w:rPr>
          <w:rFonts w:ascii="Arial" w:hAnsi="Arial"/>
          <w:sz w:val="22"/>
        </w:rPr>
        <w:t xml:space="preserve">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 xml:space="preserve">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 xml:space="preserve">ele é desvio moral de pessoas; na institucional, está nas regras e práticas das</w:t>
      </w:r>
      <w:r>
        <w:rPr>
          <w:rFonts w:ascii="Arial" w:hAnsi="Arial"/>
          <w:sz w:val="22"/>
        </w:rPr>
        <w:t xml:space="preserve"> </w:t>
      </w:r>
      <w:r>
        <w:rPr>
          <w:rFonts w:ascii="Arial" w:hAnsi="Arial"/>
          <w:sz w:val="22"/>
        </w:rPr>
        <w:t xml:space="preserve">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 xml:space="preserve">de igualadas as características individuais; a sua mediação por estruturas — o</w:t>
      </w:r>
      <w:r>
        <w:rPr>
          <w:rFonts w:ascii="Arial" w:hAnsi="Arial"/>
          <w:sz w:val="22"/>
        </w:rPr>
        <w:t xml:space="preserve"> </w:t>
      </w:r>
      <w:r>
        <w:rPr>
          <w:rFonts w:ascii="Arial" w:hAnsi="Arial"/>
          <w:sz w:val="22"/>
        </w:rPr>
        <w:t xml:space="preserve">bairro de moradia e a porta das ocupações; e a sua acumulação onde se decide a</w:t>
      </w:r>
      <w:r>
        <w:rPr>
          <w:rFonts w:ascii="Arial" w:hAnsi="Arial"/>
          <w:sz w:val="22"/>
        </w:rPr>
        <w:t xml:space="preserve"> </w:t>
      </w:r>
      <w:r>
        <w:rPr>
          <w:rFonts w:ascii="Arial" w:hAnsi="Arial"/>
          <w:sz w:val="22"/>
        </w:rPr>
        <w:t xml:space="preserve">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xml:space="preserve">;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 xml:space="preserve">(Henriques,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 xml:space="preserve">mediada pelo bairro de moradia (H1); que a penalidade se agrava no topo da</w:t>
      </w:r>
      <w:r>
        <w:rPr>
          <w:rFonts w:ascii="Arial" w:hAnsi="Arial"/>
          <w:sz w:val="22"/>
        </w:rPr>
        <w:t xml:space="preserve"> </w:t>
      </w:r>
      <w:r>
        <w:rPr>
          <w:rFonts w:ascii="Arial" w:hAnsi="Arial"/>
          <w:sz w:val="22"/>
        </w:rPr>
        <w:t xml:space="preserve">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 xml:space="preserve">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 xml:space="preserve">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 xml:space="preserve">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 xml:space="preserve">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 xml:space="preserve">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 — a tabela que mostra de que é feita a comparação (Angrist &amp; Pischke, cap. 3).</w:t>
      </w:r>
      <w:r>
        <w:rPr>
          <w:rFonts w:ascii="Arial" w:hAnsi="Arial"/>
          <w:sz w:val="22"/>
        </w:rPr>
        <w:t xml:space="preserve"> </w:t>
      </w:r>
      <w:r>
        <w:rPr>
          <w:rFonts w:ascii="Arial" w:hAnsi="Arial"/>
          <w:sz w:val="22"/>
        </w:rPr>
        <w:t xml:space="preserve">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xml:space="preserve">;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 xml:space="preserve">em módulo indicam desequilíbrio relevante. População completa da PEA com renda</w:t>
      </w:r>
      <w:r>
        <w:rPr>
          <w:rFonts w:ascii="Arial" w:hAnsi="Arial"/>
          <w:sz w:val="22"/>
        </w:rPr>
        <w:t xml:space="preserve"> </w:t>
      </w:r>
      <w:r>
        <w:rPr>
          <w:rFonts w:ascii="Arial" w:hAnsi="Arial"/>
          <w:sz w:val="22"/>
        </w:rPr>
        <w:t xml:space="preserve">positiva (</w:t>
      </w:r>
      <m:oMath>
        <m:r>
          <m:t>N</m:t>
        </m:r>
        <m:r>
          <m:rPr>
            <m:sty m:val="p"/>
          </m:rPr>
          <m:t>=</m:t>
        </m:r>
        <m:r>
          <m:t>7.699</m:t>
        </m:r>
        <m:r>
          <m:t>.278</m:t>
        </m:r>
      </m:oMath>
      <w:r>
        <w:rPr>
          <w:rFonts w:ascii="Arial" w:hAnsi="Arial"/>
          <w:sz w:val="22"/>
        </w:rPr>
        <w:t xml:space="preserve">; 3.271.443 brancos e 4.427.835 negros).</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Suporte comum:</w:t>
      </w:r>
      <w:r>
        <w:rPr>
          <w:rFonts w:ascii="Arial" w:hAnsi="Arial"/>
          <w:sz w:val="22"/>
        </w:rPr>
        <w:t xml:space="preserve"> </w:t>
      </w:r>
      <w:r>
        <w:rPr>
          <w:rFonts w:ascii="Arial" w:hAnsi="Arial"/>
          <w:sz w:val="22"/>
        </w:rPr>
        <w:t xml:space="preserve">97,2% das UPAs têm</w:t>
      </w:r>
      <w:r>
        <w:rPr>
          <w:rFonts w:ascii="Arial" w:hAnsi="Arial"/>
          <w:sz w:val="22"/>
        </w:rPr>
        <w:t xml:space="preserve"> </w:t>
      </w:r>
      <w:r>
        <w:rPr>
          <w:rFonts w:ascii="Arial" w:hAnsi="Arial"/>
          <w:sz w:val="22"/>
        </w:rPr>
        <w:t xml:space="preserve">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 xml:space="preserve">estão em células com os dois grupos) — a comparação não depende de extrapolar para</w:t>
      </w:r>
      <w:r>
        <w:rPr>
          <w:rFonts w:ascii="Arial" w:hAnsi="Arial"/>
          <w:sz w:val="22"/>
        </w:rPr>
        <w:t xml:space="preserve"> </w:t>
      </w:r>
      <w:r>
        <w:rPr>
          <w:rFonts w:ascii="Arial" w:hAnsi="Arial"/>
          <w:sz w:val="22"/>
        </w:rPr>
        <w:t xml:space="preserve">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w:t>
      </w:r>
    </w:p>
    <w:p>
      <w:pPr>
        <w:pStyle w:val="BodyText"/>
      </w:pPr>
      <m:oMathPara>
        <m:oMathParaPr>
          <m:jc m:val="center"/>
        </m:oMathPara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r>
            <m:t> </m:t>
          </m:r>
          <m:sSub>
            <m:e>
              <m:r>
                <m:t>X</m:t>
              </m:r>
            </m:e>
            <m:sub>
              <m:r>
                <m:t>i</m:t>
              </m:r>
              <m:r>
                <m:t>j</m:t>
              </m:r>
            </m:sub>
          </m:sSub>
          <m:r>
            <m:rPr>
              <m:sty m:val="p"/>
            </m:rPr>
            <m:t>+</m:t>
          </m:r>
          <m:sSub>
            <m:e>
              <m:r>
                <m:t>β</m:t>
              </m:r>
            </m:e>
            <m:sub>
              <m:r>
                <m:t>4</m:t>
              </m:r>
            </m:sub>
          </m:sSub>
          <m:r>
            <m:t> </m:t>
          </m:r>
          <m:sSubSup>
            <m:e>
              <m:r>
                <m:t>X</m:t>
              </m:r>
            </m:e>
            <m:sub>
              <m:r>
                <m:t>i</m:t>
              </m:r>
              <m:r>
                <m:t>j</m:t>
              </m:r>
            </m:sub>
            <m:sup>
              <m:r>
                <m:t>2</m:t>
              </m:r>
            </m:sup>
          </m:sSubSup>
          <m:r>
            <m:rPr>
              <m:sty m:val="p"/>
            </m:rPr>
            <m:t>+</m:t>
          </m:r>
          <m:nary>
            <m:naryPr>
              <m:chr m:val="∑"/>
              <m:limLoc m:val="undOvr"/>
              <m:subHide m:val="off"/>
              <m:supHide m:val="on"/>
            </m:naryPr>
            <m:sub>
              <m:r>
                <m:t>e</m:t>
              </m:r>
            </m:sub>
            <m:sup>
              <m:r>
                <m:t>​</m:t>
              </m:r>
            </m:sup>
            <m:e>
              <m:sSub>
                <m:e>
                  <m:r>
                    <m:t>β</m:t>
                  </m:r>
                </m:e>
                <m:sub>
                  <m:r>
                    <m:t>e</m:t>
                  </m:r>
                </m:sub>
              </m:sSub>
            </m:e>
          </m:nary>
          <m:r>
            <m:t> </m:t>
          </m:r>
          <m:sSub>
            <m:e>
              <m:r>
                <m:rPr>
                  <m:nor/>
                  <m:sty m:val="p"/>
                </m:rPr>
                <m:t>Educ</m:t>
              </m:r>
            </m:e>
            <m:sub>
              <m:r>
                <m:t>e</m:t>
              </m:r>
              <m:r>
                <m:rPr>
                  <m:sty m:val="p"/>
                </m:rPr>
                <m:t>,</m:t>
              </m:r>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(1)</m:t>
          </m:r>
        </m:oMath>
      </m:oMathPara>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w:t>
      </w:r>
      <w:r>
        <w:rPr>
          <w:rFonts w:ascii="Arial" w:hAnsi="Arial"/>
          <w:sz w:val="22"/>
        </w:rPr>
        <w:t xml:space="preserve"> </w:t>
      </w:r>
      <w:r>
        <w:rPr>
          <w:rFonts w:ascii="Arial" w:hAnsi="Arial"/>
          <w:sz w:val="22"/>
        </w:rPr>
        <w:t xml:space="preserve">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(2)</m:t>
          </m:r>
        </m:oMath>
      </m:oMathPara>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 xml:space="preserve">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Bryk (2002)</w:t>
      </w:r>
      <w:r>
        <w:rPr>
          <w:rFonts w:ascii="Arial" w:hAnsi="Arial"/>
          <w:sz w:val="22"/>
        </w:rPr>
        <w:t xml:space="preserve">, os modelos</w:t>
      </w:r>
      <w:r>
        <w:rPr>
          <w:rFonts w:ascii="Arial" w:hAnsi="Arial"/>
          <w:sz w:val="22"/>
        </w:rPr>
        <w:t xml:space="preserve"> </w:t>
      </w:r>
      <w:r>
        <w:rPr>
          <w:rFonts w:ascii="Arial" w:hAnsi="Arial"/>
          <w:sz w:val="22"/>
        </w:rPr>
        <w:t xml:space="preserve">são estimados em degraus aninhados: M0 (nulo: só o intercepto aleatório, que dá o ICC);</w:t>
      </w:r>
      <w:r>
        <w:rPr>
          <w:rFonts w:ascii="Arial" w:hAnsi="Arial"/>
          <w:sz w:val="22"/>
        </w:rPr>
        <w:t xml:space="preserve"> </w:t>
      </w:r>
      <w:r>
        <w:rPr>
          <w:rFonts w:ascii="Arial" w:hAnsi="Arial"/>
          <w:sz w:val="22"/>
        </w:rPr>
        <w:t xml:space="preserve">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xml:space="preserve">;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 xml:space="preserve">estimados por máxima verossimilhança (ML), necessária para comparar efeitos fixos entre</w:t>
      </w:r>
      <w:r>
        <w:rPr>
          <w:rFonts w:ascii="Arial" w:hAnsi="Arial"/>
          <w:sz w:val="22"/>
        </w:rPr>
        <w:t xml:space="preserve"> </w:t>
      </w:r>
      <w:r>
        <w:rPr>
          <w:rFonts w:ascii="Arial" w:hAnsi="Arial"/>
          <w:sz w:val="22"/>
        </w:rPr>
        <w:t xml:space="preserve">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 xml:space="preserve">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(Blinder, 1973; 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 xml:space="preserve">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Gelbach; Miller,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Bryk, 2002)</w:t>
      </w:r>
      <w:r>
        <w:rPr>
          <w:rFonts w:ascii="Arial" w:hAnsi="Arial"/>
          <w:sz w:val="22"/>
        </w:rPr>
        <w:t xml:space="preserve">,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xml:space="preserve">—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 xml:space="preserve">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Pischke, 2009)</w:t>
      </w:r>
      <w:r>
        <w:rPr>
          <w:rFonts w:ascii="Arial" w:hAnsi="Arial"/>
          <w:sz w:val="22"/>
        </w:rPr>
        <w:t xml:space="preserve">;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 xml:space="preserve">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xml:space="preserve">,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 Cada linha traz o que foi</w:t>
      </w:r>
      <w:r>
        <w:rPr>
          <w:rFonts w:ascii="Arial" w:hAnsi="Arial"/>
          <w:sz w:val="22"/>
        </w:rPr>
        <w:t xml:space="preserve"> </w:t>
      </w:r>
      <w:r>
        <w:rPr>
          <w:rFonts w:ascii="Arial" w:hAnsi="Arial"/>
          <w:sz w:val="22"/>
        </w:rPr>
        <w:t xml:space="preserve">verificado, o resultado e a providência tomada. Valores extraídos dos</w:t>
      </w:r>
      <w:r>
        <w:rPr>
          <w:rFonts w:ascii="Arial" w:hAnsi="Arial"/>
          <w:sz w:val="22"/>
        </w:rPr>
        <w:t xml:space="preserve"> </w:t>
      </w:r>
      <w:r>
        <w:rPr>
          <w:rFonts w:ascii="Arial" w:hAnsi="Arial"/>
          <w:sz w:val="22"/>
        </w:rPr>
        <w:t xml:space="preserve">mesmos csv que alimentam as demais tabelas.</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tcPr>
          <w:p>
            <w:pPr>
              <w:pStyle w:val="Compact"/>
              <w:keepNext/>
              <w:spacing w:line="240" w:lineRule="auto" w:after="0"/>
              <w:ind w:firstLine="0"/>
              <w:jc w:val="left"/>
            </w:pPr>
            <w:r>
              <w:rPr>
                <w:rFonts w:ascii="Arial" w:hAnsi="Arial"/>
                <w:b w:val="0"/>
                <w:sz w:val="22"/>
              </w:rPr>
              <w:t xml:space="preserve">Heterocedasticidade (Breusch–Pagan)</w:t>
            </w:r>
          </w:p>
        </w:tc>
        <w:tc>
          <w:tcPr>
            <w:tcW w:type="dxa" w:w="2821"/>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tcPr>
          <w:p>
            <w:pPr>
              <w:pStyle w:val="Compact"/>
              <w:keepNext/>
              <w:spacing w:line="240" w:lineRule="auto" w:after="0"/>
              <w:ind w:firstLine="0"/>
              <w:jc w:val="left"/>
            </w:pPr>
            <w:r>
              <w:rPr>
                <w:rFonts w:ascii="Arial" w:hAnsi="Arial"/>
                <w:b w:val="0"/>
                <w:sz w:val="22"/>
              </w:rPr>
              <w:t xml:space="preserve">erro-padrão agrupado por UPA e bootstrap em blocos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Forma funcional (RESET)</w:t>
            </w:r>
          </w:p>
        </w:tc>
        <w:tc>
          <w:tcPr>
            <w:tcW w:type="dxa" w:w="2821"/>
          </w:tcPr>
          <w:p>
            <w:pPr>
              <w:pStyle w:val="Compact"/>
              <w:keepNext/>
              <w:spacing w:line="240" w:lineRule="auto" w:after="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tcPr>
          <w:p>
            <w:pPr>
              <w:pStyle w:val="Compact"/>
              <w:keepNext/>
              <w:spacing w:line="240" w:lineRule="auto" w:after="0"/>
              <w:ind w:firstLine="0"/>
              <w:jc w:val="left"/>
            </w:pPr>
            <w:r>
              <w:rPr>
                <w:rFonts w:ascii="Arial" w:hAnsi="Arial"/>
                <w:b w:val="0"/>
                <w:sz w:val="22"/>
              </w:rPr>
              <w:t xml:space="preserve">rejeição sem relevância prática; forma mantida</w:t>
            </w:r>
          </w:p>
        </w:tc>
      </w:tr>
      <w:tr>
        <w:trPr>
          <w:cantSplit/>
        </w:trPr>
        <w:tc>
          <w:tcPr>
            <w:tcW w:type="dxa" w:w="2680"/>
          </w:tcPr>
          <w:p>
            <w:pPr>
              <w:pStyle w:val="Compact"/>
              <w:keepNext/>
              <w:spacing w:line="240" w:lineRule="auto" w:after="0"/>
              <w:ind w:firstLine="0"/>
              <w:jc w:val="left"/>
            </w:pPr>
            <w:r>
              <w:rPr>
                <w:rFonts w:ascii="Arial" w:hAnsi="Arial"/>
                <w:b w:val="0"/>
                <w:sz w:val="22"/>
              </w:rPr>
              <w:t xml:space="preserve">Multicolinearidade (VIF)</w:t>
            </w:r>
          </w:p>
        </w:tc>
        <w:tc>
          <w:tcPr>
            <w:tcW w:type="dxa" w:w="2821"/>
          </w:tcPr>
          <w:p>
            <w:pPr>
              <w:pStyle w:val="Compact"/>
              <w:keepNext/>
              <w:spacing w:line="240" w:lineRule="auto" w:after="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tcPr>
          <w:p>
            <w:pPr>
              <w:pStyle w:val="Compact"/>
              <w:keepNext/>
              <w:spacing w:line="240" w:lineRule="auto" w:after="0"/>
              <w:ind w:firstLine="0"/>
              <w:jc w:val="left"/>
            </w:pPr>
            <w:r>
              <w:rPr>
                <w:rFonts w:ascii="Arial" w:hAnsi="Arial"/>
                <w:b w:val="0"/>
                <w:sz w:val="22"/>
              </w:rPr>
              <w:t xml:space="preserve">sem colinearidade relevante; o coeficiente de interesse não é afetado</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Estrutura multinível (teste de razão de verossimilhança)</w:t>
            </w:r>
          </w:p>
        </w:tc>
        <w:tc>
          <w:tcPr>
            <w:tcW w:type="dxa" w:w="2821"/>
          </w:tcPr>
          <w:p>
            <w:pPr>
              <w:pStyle w:val="Compact"/>
              <w:keepNext/>
              <w:spacing w:line="240" w:lineRule="auto" w:after="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tcPr>
          <w:p>
            <w:pPr>
              <w:pStyle w:val="Compact"/>
              <w:keepNext/>
              <w:spacing w:line="240" w:lineRule="auto" w:after="0"/>
              <w:ind w:firstLine="0"/>
              <w:jc w:val="left"/>
            </w:pPr>
            <w:r>
              <w:rPr>
                <w:rFonts w:ascii="Arial" w:hAnsi="Arial"/>
                <w:b w:val="0"/>
                <w:sz w:val="22"/>
              </w:rPr>
              <w:t xml:space="preserve">nível de bairro justificado (limiar de 5%)</w:t>
            </w:r>
          </w:p>
        </w:tc>
      </w:tr>
      <w:tr>
        <w:trPr>
          <w:cantSplit/>
        </w:trPr>
        <w:tc>
          <w:tcPr>
            <w:tcW w:type="dxa" w:w="2680"/>
          </w:tcPr>
          <w:p>
            <w:pPr>
              <w:pStyle w:val="Compact"/>
              <w:keepNext/>
              <w:spacing w:line="240" w:lineRule="auto" w:after="0"/>
              <w:ind w:firstLine="0"/>
              <w:jc w:val="left"/>
            </w:pPr>
            <w:r>
              <w:rPr>
                <w:rFonts w:ascii="Arial" w:hAnsi="Arial"/>
                <w:b w:val="0"/>
                <w:sz w:val="22"/>
              </w:rPr>
              <w:t xml:space="preserve">Método de estimação (ML vs. REML)</w:t>
            </w:r>
          </w:p>
        </w:tc>
        <w:tc>
          <w:tcPr>
            <w:tcW w:type="dxa" w:w="2821"/>
          </w:tcPr>
          <w:p>
            <w:pPr>
              <w:pStyle w:val="Compact"/>
              <w:keepNext/>
              <w:spacing w:line="240" w:lineRule="auto" w:after="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tcPr>
          <w:p>
            <w:pPr>
              <w:pStyle w:val="Compact"/>
              <w:keepNext/>
              <w:spacing w:line="240" w:lineRule="auto" w:after="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(Konfound/ITCV)</w:t>
            </w:r>
          </w:p>
        </w:tc>
        <w:tc>
          <w:tcPr>
            <w:tcW w:type="dxa" w:w="2821"/>
          </w:tcPr>
          <w:p>
            <w:pPr>
              <w:pStyle w:val="Compact"/>
              <w:keepNext/>
              <w:spacing w:line="240" w:lineRule="auto" w:after="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tcPr>
          <w:p>
            <w:pPr>
              <w:pStyle w:val="Compact"/>
              <w:keepNext/>
              <w:spacing w:line="240" w:lineRule="auto" w:after="0"/>
              <w:ind w:firstLine="0"/>
              <w:jc w:val="left"/>
            </w:pPr>
            <w:r>
              <w:rPr>
                <w:rFonts w:ascii="Arial" w:hAnsi="Arial"/>
                <w:b w:val="0"/>
                <w:sz w:val="22"/>
              </w:rPr>
              <w:t xml:space="preserve">achado robusto a confundimento plausível</w:t>
            </w:r>
          </w:p>
        </w:tc>
      </w:tr>
      <w:tr>
        <w:trPr>
          <w:cantSplit/>
        </w:trPr>
        <w:tc>
          <w:tcPr>
            <w:tcW w:type="dxa" w:w="2680"/>
          </w:tcPr>
          <w:p>
            <w:pPr>
              <w:pStyle w:val="Compact"/>
              <w:keepNext/>
              <w:spacing w:line="240" w:lineRule="auto" w:after="0"/>
              <w:ind w:firstLine="0"/>
              <w:jc w:val="left"/>
            </w:pPr>
            <w:r>
              <w:rPr>
                <w:rFonts w:ascii="Arial" w:hAnsi="Arial"/>
                <w:b w:val="0"/>
                <w:sz w:val="22"/>
              </w:rPr>
              <w:t xml:space="preserve">Confundidor não observado (E-value)</w:t>
            </w:r>
          </w:p>
        </w:tc>
        <w:tc>
          <w:tcPr>
            <w:tcW w:type="dxa" w:w="2821"/>
          </w:tcPr>
          <w:p>
            <w:pPr>
              <w:pStyle w:val="Compact"/>
              <w:keepNext/>
              <w:spacing w:line="240" w:lineRule="auto" w:after="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tcPr>
          <w:p>
            <w:pPr>
              <w:pStyle w:val="Compact"/>
              <w:keepNext/>
              <w:spacing w:line="240" w:lineRule="auto" w:after="0"/>
              <w:ind w:firstLine="0"/>
              <w:jc w:val="left"/>
            </w:pPr>
            <w:r>
              <w:rPr>
                <w:rFonts w:ascii="Arial" w:hAnsi="Arial"/>
                <w:b w:val="0"/>
                <w:sz w:val="22"/>
              </w:rPr>
              <w:t xml:space="preserve">um confundidor precisaria dessa força com raça e desfecho</w:t>
            </w:r>
          </w:p>
        </w:tc>
      </w:tr>
      <w:tr>
        <w:trPr>
          <w:cantSplit/>
        </w:trPr>
        <w:tc>
          <w:tcPr>
            <w:tcW w:type="dxa" w:w="2680"/>
          </w:tcPr>
          <w:p>
            <w:pPr>
              <w:pStyle w:val="Compact"/>
              <w:keepNext/>
              <w:spacing w:line="240" w:lineRule="auto" w:after="0"/>
              <w:ind w:firstLine="0"/>
              <w:jc w:val="left"/>
            </w:pPr>
            <w:r>
              <w:rPr>
                <w:rFonts w:ascii="Arial" w:hAnsi="Arial"/>
                <w:b w:val="0"/>
                <w:sz w:val="22"/>
              </w:rPr>
              <w:t xml:space="preserve">Sobreajuste (treino vs. teste)</w:t>
            </w:r>
          </w:p>
        </w:tc>
        <w:tc>
          <w:tcPr>
            <w:tcW w:type="dxa" w:w="2821"/>
          </w:tcPr>
          <w:p>
            <w:pPr>
              <w:pStyle w:val="Compact"/>
              <w:keepNext/>
              <w:spacing w:line="240" w:lineRule="auto" w:after="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tcPr>
          <w:p>
            <w:pPr>
              <w:pStyle w:val="Compact"/>
              <w:keepNext/>
              <w:spacing w:line="240" w:lineRule="auto" w:after="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tcPr>
          <w:p>
            <w:pPr>
              <w:pStyle w:val="Compact"/>
              <w:keepNext/>
              <w:spacing w:line="240" w:lineRule="auto" w:after="0"/>
              <w:ind w:firstLine="0"/>
              <w:jc w:val="left"/>
            </w:pPr>
            <w:r>
              <w:rPr>
                <w:rFonts w:ascii="Arial" w:hAnsi="Arial"/>
                <w:b w:val="0"/>
                <w:sz w:val="22"/>
              </w:rPr>
              <w:t xml:space="preserve">Ganho do ML sobre o linear</w:t>
            </w:r>
          </w:p>
        </w:tc>
        <w:tc>
          <w:tcPr>
            <w:tcW w:type="dxa" w:w="2821"/>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tcPr>
          <w:p>
            <w:pPr>
              <w:pStyle w:val="Compact"/>
              <w:keepNext/>
              <w:spacing w:line="240" w:lineRule="auto" w:after="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tcPr>
          <w:p>
            <w:pPr>
              <w:pStyle w:val="Compact"/>
              <w:keepNext/>
              <w:spacing w:line="240" w:lineRule="auto" w:after="0"/>
              <w:ind w:firstLine="0"/>
              <w:jc w:val="left"/>
            </w:pPr>
            <w:r>
              <w:rPr>
                <w:rFonts w:ascii="Arial" w:hAnsi="Arial"/>
                <w:b w:val="0"/>
                <w:sz w:val="22"/>
              </w:rPr>
              <w:t xml:space="preserve">Peso amostral (V1028) no acesso, no topo e na decomposição</w:t>
            </w:r>
          </w:p>
        </w:tc>
        <w:tc>
          <w:tcPr>
            <w:tcW w:type="dxa" w:w="2821"/>
          </w:tcPr>
          <w:p>
            <w:pPr>
              <w:pStyle w:val="Compact"/>
              <w:keepNext/>
              <w:spacing w:line="240" w:lineRule="auto" w:after="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tcPr>
          <w:p>
            <w:pPr>
              <w:pStyle w:val="Compact"/>
              <w:keepNext/>
              <w:spacing w:line="240" w:lineRule="auto" w:after="0"/>
              <w:ind w:firstLine="0"/>
              <w:jc w:val="left"/>
            </w:pPr>
            <w:r>
              <w:rPr>
                <w:rFonts w:ascii="Arial" w:hAnsi="Arial"/>
                <w:b w:val="0"/>
                <w:sz w:val="22"/>
              </w:rPr>
              <w:t xml:space="preserve">logit com efeito fixo de estado e erro agrupado por UPA; conclusão inalterada</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tcPr>
          <w:p>
            <w:pPr>
              <w:pStyle w:val="Compact"/>
              <w:keepNext/>
              <w:spacing w:line="240" w:lineRule="auto" w:after="0"/>
              <w:ind w:firstLine="0"/>
              <w:jc w:val="left"/>
            </w:pPr>
            <w:r>
              <w:rPr>
                <w:rFonts w:ascii="Arial" w:hAnsi="Arial"/>
                <w:b w:val="0"/>
                <w:sz w:val="22"/>
              </w:rPr>
              <w:t xml:space="preserve">hiperparâmetros escolhidos em partição de validação e confirmados por CV</w:t>
            </w:r>
          </w:p>
        </w:tc>
      </w:tr>
      <w:tr>
        <w:trPr>
          <w:cantSplit/>
        </w:trPr>
        <w:tc>
          <w:tcPr>
            <w:tcW w:type="dxa" w:w="2680"/>
          </w:tcPr>
          <w:p>
            <w:pPr>
              <w:pStyle w:val="Compact"/>
              <w:keepNext/>
              <w:spacing w:line="240" w:lineRule="auto" w:after="0"/>
              <w:ind w:firstLine="0"/>
              <w:jc w:val="left"/>
            </w:pPr>
            <w:r>
              <w:rPr>
                <w:rFonts w:ascii="Arial" w:hAnsi="Arial"/>
                <w:b w:val="0"/>
                <w:sz w:val="22"/>
              </w:rPr>
              <w:t xml:space="preserve">Balanceamento e suporte comum</w:t>
            </w:r>
          </w:p>
        </w:tc>
        <w:tc>
          <w:tcPr>
            <w:tcW w:type="dxa" w:w="2821"/>
          </w:tcPr>
          <w:p>
            <w:pPr>
              <w:pStyle w:val="Compact"/>
              <w:keepNext/>
              <w:spacing w:line="240" w:lineRule="auto" w:after="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tcPr>
          <w:p>
            <w:pPr>
              <w:pStyle w:val="Compact"/>
              <w:keepNext/>
              <w:spacing w:line="240" w:lineRule="auto" w:after="0"/>
              <w:ind w:firstLine="0"/>
              <w:jc w:val="left"/>
            </w:pPr>
            <w:r>
              <w:rPr>
                <w:rFonts w:ascii="Arial" w:hAnsi="Arial"/>
                <w:b w:val="0"/>
                <w:sz w:val="22"/>
              </w:rPr>
              <w:t xml:space="preserve">desequilíbrio concentrado no contexto de bairro, absorvido pelo nível 2</w:t>
            </w:r>
          </w:p>
        </w:tc>
      </w:tr>
      <w:tr>
        <w:trPr>
          <w:cantSplit/>
        </w:trPr>
        <w:tc>
          <w:tcPr>
            <w:tcW w:type="dxa" w:w="2680"/>
          </w:tcPr>
          <w:p>
            <w:pPr>
              <w:pStyle w:val="Compact"/>
              <w:keepNext/>
              <w:spacing w:line="240" w:lineRule="auto" w:after="0"/>
              <w:ind w:firstLine="0"/>
              <w:jc w:val="left"/>
            </w:pPr>
            <w:r>
              <w:rPr>
                <w:rFonts w:ascii="Arial" w:hAnsi="Arial"/>
                <w:b w:val="0"/>
                <w:sz w:val="22"/>
              </w:rPr>
              <w:t xml:space="preserve">Especificação do nível de estado</w:t>
            </w:r>
          </w:p>
        </w:tc>
        <w:tc>
          <w:tcPr>
            <w:tcW w:type="dxa" w:w="2821"/>
          </w:tcPr>
          <w:p>
            <w:pPr>
              <w:pStyle w:val="Compact"/>
              <w:keepNext/>
              <w:spacing w:line="240" w:lineRule="auto" w:after="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tcPr>
          <w:p>
            <w:pPr>
              <w:pStyle w:val="Compact"/>
              <w:keepNext/>
              <w:spacing w:line="240" w:lineRule="auto" w:after="0"/>
              <w:ind w:firstLine="0"/>
              <w:jc w:val="left"/>
            </w:pPr>
            <w:r>
              <w:rPr>
                <w:rFonts w:ascii="Arial" w:hAnsi="Arial"/>
                <w:b w:val="0"/>
                <w:sz w:val="22"/>
              </w:rPr>
              <w:t xml:space="preserve">igual ao da UF como efeito fixo; resultado não depende da escolha</w:t>
            </w:r>
          </w:p>
        </w:tc>
      </w:tr>
      <w:tr>
        <w:trPr>
          <w:cantSplit/>
        </w:trPr>
        <w:tc>
          <w:tcPr>
            <w:tcW w:type="dxa" w:w="2680"/>
          </w:tcPr>
          <w:p>
            <w:pPr>
              <w:pStyle w:val="Compact"/>
              <w:keepNext/>
              <w:spacing w:line="240" w:lineRule="auto" w:after="0"/>
              <w:ind w:firstLine="0"/>
              <w:jc w:val="left"/>
            </w:pPr>
            <w:r>
              <w:rPr>
                <w:rFonts w:ascii="Arial" w:hAnsi="Arial"/>
                <w:b w:val="0"/>
                <w:sz w:val="22"/>
              </w:rPr>
              <w:t xml:space="preserve">Vazamento das médias de contexto</w:t>
            </w:r>
          </w:p>
        </w:tc>
        <w:tc>
          <w:tcPr>
            <w:tcW w:type="dxa" w:w="2821"/>
          </w:tcPr>
          <w:p>
            <w:pPr>
              <w:pStyle w:val="Compact"/>
              <w:keepNext/>
              <w:spacing w:line="240" w:lineRule="auto" w:after="0"/>
              <w:ind w:firstLine="0"/>
              <w:jc w:val="left"/>
            </w:pPr>
            <w:r>
              <w:rPr>
                <w:rFonts w:ascii="Arial" w:hAnsi="Arial"/>
                <w:b w:val="0"/>
                <w:sz w:val="22"/>
              </w:rPr>
              <w:t xml:space="preserve">médias do bairro e do estado calculadas sem a própria observação</w:t>
            </w:r>
          </w:p>
        </w:tc>
        <w:tc>
          <w:tcPr>
            <w:tcW w:type="dxa" w:w="3570"/>
          </w:tcPr>
          <w:p>
            <w:pPr>
              <w:pStyle w:val="Compact"/>
              <w:keepNext/>
              <w:spacing w:line="240" w:lineRule="auto" w:after="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erro-padrão agrupado por UPA em todos os modelos</w:t>
            </w:r>
          </w:p>
        </w:tc>
      </w:tr>
    </w:tbl>
    <w:bookmarkEnd w:id="30"/>
    <w:p>
      <w:pPr>
        <w:pStyle w:val="BodyText"/>
        <w:spacing w:line="240" w:lineRule="auto" w:before="40" w:after="240"/>
        <w:ind w:firstLine="0"/>
        <w:jc w:val="both"/>
      </w:pPr>
      <w:r>
        <w:rPr>
          <w:rFonts w:ascii="Arial" w:hAnsi="Arial"/>
          <w:sz w:val="22"/>
        </w:rPr>
        <w:t xml:space="preserve">Fonte: Resultados originais da pesquisa.</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 xml:space="preserve">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 xml:space="preserve">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9"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 xml:space="preserve">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6"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4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5"/>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6"/>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7"/>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8"/>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 xml:space="preserve">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39"/>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p>
    <w:bookmarkStart w:id="41" w:name="tab:simetria"/>
    <w:p>
      <w:pPr>
        <w:pStyle w:val="TableCaption"/>
        <w:keepNext/>
        <w:keepLines/>
        <w:spacing w:line="240" w:lineRule="auto" w:before="240" w:after="40"/>
        <w:ind w:firstLine="0"/>
        <w:jc w:val="both"/>
      </w:pPr>
      <w:r>
        <w:rPr>
          <w:rFonts w:ascii="Arial" w:hAnsi="Arial"/>
          <w:sz w:val="22"/>
        </w:rPr>
        <w:t xml:space="preserve">Tabela 3. Simetria dos controles entre os dois modelos. Os blocos predeterminados são</w:t>
      </w:r>
      <w:r>
        <w:rPr>
          <w:rFonts w:ascii="Arial" w:hAnsi="Arial"/>
          <w:sz w:val="22"/>
        </w:rPr>
        <w:t xml:space="preserve"> </w:t>
      </w:r>
      <w:r>
        <w:rPr>
          <w:rFonts w:ascii="Arial" w:hAnsi="Arial"/>
          <w:sz w:val="22"/>
        </w:rPr>
        <w:t xml:space="preserve">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tbl>
      <w:tblPr>
        <w:tblStyle w:val="Table"/>
        <w:tblW w:type="auto" w:w="0"/>
        <w:tblLayout w:type="fixed"/>
        <w:tblLook w:firstRow="1" w:lastRow="0" w:firstColumn="0" w:lastColumn="0" w:noHBand="0" w:noVBand="0" w:val="0020"/>
        <w:tblCaption w:val="Tabela 3.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tcPr>
          <w:p>
            <w:pPr>
              <w:pStyle w:val="Compact"/>
              <w:keepNext/>
              <w:spacing w:line="240" w:lineRule="auto" w:after="0"/>
              <w:ind w:firstLine="0"/>
              <w:jc w:val="left"/>
            </w:pPr>
            <w:r>
              <w:rPr>
                <w:rFonts w:ascii="Arial" w:hAnsi="Arial"/>
                <w:b w:val="0"/>
                <w:sz w:val="22"/>
              </w:rPr>
              <w:t xml:space="preserve">Predeterminados</w:t>
            </w:r>
          </w:p>
        </w:tc>
        <w:tc>
          <w:tcPr>
            <w:tcW w:type="dxa" w:w="3564"/>
          </w:tcPr>
          <w:p>
            <w:pPr>
              <w:pStyle w:val="Compact"/>
              <w:keepNext/>
              <w:spacing w:line="240" w:lineRule="auto" w:after="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Contexto do bairro</w:t>
            </w:r>
          </w:p>
        </w:tc>
        <w:tc>
          <w:tcPr>
            <w:tcW w:type="dxa" w:w="3564"/>
          </w:tcPr>
          <w:p>
            <w:pPr>
              <w:pStyle w:val="Compact"/>
              <w:keepNext/>
              <w:spacing w:line="240" w:lineRule="auto" w:after="0"/>
              <w:ind w:firstLine="0"/>
              <w:jc w:val="left"/>
            </w:pPr>
            <w:r>
              <w:rPr>
                <w:rFonts w:ascii="Arial" w:hAnsi="Arial"/>
                <w:b w:val="0"/>
                <w:sz w:val="22"/>
              </w:rPr>
              <w:t xml:space="preserve">% negro, desemprego e escolaridade média da UPA</w:t>
            </w:r>
          </w:p>
        </w:tc>
        <w:tc>
          <w:tcPr>
            <w:tcW w:type="dxa" w:w="3337"/>
          </w:tcPr>
          <w:p>
            <w:pPr>
              <w:pStyle w:val="Compact"/>
              <w:keepNext/>
              <w:spacing w:line="240" w:lineRule="auto" w:after="0"/>
              <w:ind w:firstLine="0"/>
              <w:jc w:val="left"/>
            </w:pPr>
            <w:r>
              <w:rPr>
                <w:rFonts w:ascii="Arial" w:hAnsi="Arial"/>
                <w:b w:val="0"/>
                <w:sz w:val="22"/>
              </w:rPr>
              <w:t xml:space="preserve">os mesmos</w:t>
            </w:r>
          </w:p>
        </w:tc>
      </w:tr>
      <w:tr>
        <w:trPr>
          <w:cantSplit/>
        </w:trPr>
        <w:tc>
          <w:tcPr>
            <w:tcW w:type="dxa" w:w="2169"/>
          </w:tcPr>
          <w:p>
            <w:pPr>
              <w:pStyle w:val="Compact"/>
              <w:keepNext/>
              <w:spacing w:line="240" w:lineRule="auto" w:after="0"/>
              <w:ind w:firstLine="0"/>
              <w:jc w:val="left"/>
            </w:pPr>
            <w:r>
              <w:rPr>
                <w:rFonts w:ascii="Arial" w:hAnsi="Arial"/>
                <w:b w:val="0"/>
                <w:sz w:val="22"/>
              </w:rPr>
              <w:t xml:space="preserve">Jornada</w:t>
            </w:r>
          </w:p>
        </w:tc>
        <w:tc>
          <w:tcPr>
            <w:tcW w:type="dxa" w:w="3564"/>
          </w:tcPr>
          <w:p>
            <w:pPr>
              <w:pStyle w:val="Compact"/>
              <w:keepNext/>
              <w:spacing w:line="240" w:lineRule="auto" w:after="0"/>
              <w:ind w:firstLine="0"/>
              <w:jc w:val="left"/>
            </w:pPr>
            <w:r>
              <w:rPr>
                <w:rFonts w:ascii="Arial" w:hAnsi="Arial"/>
                <w:b w:val="0"/>
                <w:sz w:val="22"/>
              </w:rPr>
              <w:t xml:space="preserve">controle necessário: o desfecho é rendimento mensal</w:t>
            </w:r>
          </w:p>
        </w:tc>
        <w:tc>
          <w:tcPr>
            <w:tcW w:type="dxa" w:w="3337"/>
          </w:tcPr>
          <w:p>
            <w:pPr>
              <w:pStyle w:val="Compact"/>
              <w:keepNext/>
              <w:spacing w:line="240" w:lineRule="auto" w:after="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1"/>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 xml:space="preserve">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2"/>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6" w:name="fig:hlm_blups"/>
    <w:p>
      <w:pPr>
        <w:pStyle w:val="CaptionedFigure"/>
        <w:keepNext/>
        <w:keepLines/>
      </w:pPr>
      <w:r>
        <w:rPr>
          <w:rFonts w:ascii="Arial" w:hAnsi="Arial"/>
          <w:sz w:val="22"/>
        </w:rPr>
        <w:drawing>
          <wp:inline>
            <wp:extent cx="5753100" cy="2573415"/>
            <wp:effectExtent b="0" l="0" r="0" t="0"/>
            <wp:docPr descr="" title="" id="44" name="Picture"/>
            <a:graphic>
              <a:graphicData uri="http://schemas.openxmlformats.org/drawingml/2006/picture">
                <pic:pic>
                  <pic:nvPicPr>
                    <pic:cNvPr descr="outputs/figures/hlm_efeitos_uf_blup_upa.png" id="45" name="Picture"/>
                    <pic:cNvPicPr>
                      <a:picLocks noChangeArrowheads="1" noChangeAspect="1"/>
                    </pic:cNvPicPr>
                  </pic:nvPicPr>
                  <pic:blipFill>
                    <a:blip r:embed="rId43"/>
                    <a:stretch>
                      <a:fillRect/>
                    </a:stretch>
                  </pic:blipFill>
                  <pic:spPr bwMode="auto">
                    <a:xfrm>
                      <a:off x="0" y="0"/>
                      <a:ext cx="5753100" cy="25734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À esquerda, os</w:t>
      </w:r>
      <w:r>
        <w:rPr>
          <w:rFonts w:ascii="Arial" w:hAnsi="Arial"/>
          <w:sz w:val="22"/>
        </w:rPr>
        <w:t xml:space="preserve"> </w:t>
      </w:r>
      <w:r>
        <w:rPr>
          <w:rFonts w:ascii="Arial" w:hAnsi="Arial"/>
          <w:sz w:val="22"/>
        </w:rPr>
        <w:t xml:space="preserve">efeitos fixos de UF do M3 com IC 95% (referência: primeira UF); à direita,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 cada ponto à esquerda é um estado;</w:t>
      </w:r>
      <w:r>
        <w:rPr>
          <w:rFonts w:ascii="Arial" w:hAnsi="Arial"/>
          <w:sz w:val="22"/>
        </w:rPr>
        <w:t xml:space="preserve"> </w:t>
      </w:r>
      <w:r>
        <w:rPr>
          <w:rFonts w:ascii="Arial" w:hAnsi="Arial"/>
          <w:sz w:val="22"/>
        </w:rPr>
        <w:t xml:space="preserve">a largura do histograma à direita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0" w:name="fig:hlm_rs"/>
    <w:p>
      <w:pPr>
        <w:pStyle w:val="CaptionedFigure"/>
        <w:keepNext/>
        <w:keepLines/>
      </w:pPr>
      <w:r>
        <w:rPr>
          <w:rFonts w:ascii="Arial" w:hAnsi="Arial"/>
          <w:sz w:val="22"/>
        </w:rPr>
        <w:drawing>
          <wp:inline>
            <wp:extent cx="5753100" cy="2510443"/>
            <wp:effectExtent b="0" l="0" r="0" t="0"/>
            <wp:docPr descr="" title="" id="48" name="Picture"/>
            <a:graphic>
              <a:graphicData uri="http://schemas.openxmlformats.org/drawingml/2006/picture">
                <pic:pic>
                  <pic:nvPicPr>
                    <pic:cNvPr descr="outputs/figures/hlm_rs_retas_upa.png" id="49" name="Picture"/>
                    <pic:cNvPicPr>
                      <a:picLocks noChangeArrowheads="1" noChangeAspect="1"/>
                    </pic:cNvPicPr>
                  </pic:nvPicPr>
                  <pic:blipFill>
                    <a:blip r:embed="rId47"/>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à esquerda, a reta ajustada</w:t>
      </w:r>
      <w:r>
        <w:rPr>
          <w:rFonts w:ascii="Arial" w:hAnsi="Arial"/>
          <w:sz w:val="22"/>
        </w:rPr>
        <w:t xml:space="preserve"> </w:t>
      </w:r>
      <w:r>
        <w:rPr>
          <w:rFonts w:ascii="Arial" w:hAnsi="Arial"/>
          <w:sz w:val="22"/>
        </w:rPr>
        <w:t xml:space="preserve">de cada bairro (amostra de 250 UPAs com brancos e negros) e, em azul, a média; à direita,</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à esquerda,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À direita,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 xml:space="preserve">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bookmarkStart w:id="54" w:name="fig:hlm_negro_educ"/>
    <w:p>
      <w:pPr>
        <w:pStyle w:val="CaptionedFigure"/>
        <w:keepNext/>
        <w:keepLines/>
      </w:pPr>
      <w:r>
        <w:rPr>
          <w:rFonts w:ascii="Arial" w:hAnsi="Arial"/>
          <w:sz w:val="22"/>
        </w:rPr>
        <w:drawing>
          <wp:inline>
            <wp:extent cx="5177790" cy="3634073"/>
            <wp:effectExtent b="0" l="0" r="0" t="0"/>
            <wp:docPr descr="" title="" id="52" name="Picture"/>
            <a:graphic>
              <a:graphicData uri="http://schemas.openxmlformats.org/drawingml/2006/picture">
                <pic:pic>
                  <pic:nvPicPr>
                    <pic:cNvPr descr="outputs/figures/hlm_negro_por_educ_retas.png" id="53" name="Picture"/>
                    <pic:cNvPicPr>
                      <a:picLocks noChangeArrowheads="1" noChangeAspect="1"/>
                    </pic:cNvPicPr>
                  </pic:nvPicPr>
                  <pic:blipFill>
                    <a:blip r:embed="rId51"/>
                    <a:stretch>
                      <a:fillRect/>
                    </a:stretch>
                  </pic:blipFill>
                  <pic:spPr bwMode="auto">
                    <a:xfrm>
                      <a:off x="0" y="0"/>
                      <a:ext cx="5177790" cy="36340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54"/>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3: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 xml:space="preserve">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7)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Start w:id="55" w:name="tab:hlm_resultados"/>
    <w:p>
      <w:pPr>
        <w:pStyle w:val="TableCaption"/>
        <w:keepNext/>
        <w:keepLines/>
        <w:spacing w:line="240" w:lineRule="auto" w:before="240" w:after="40"/>
        <w:ind w:firstLine="0"/>
        <w:jc w:val="both"/>
      </w:pPr>
      <w:r>
        <w:rPr>
          <w:rFonts w:ascii="Arial" w:hAnsi="Arial"/>
          <w:sz w:val="22"/>
        </w:rPr>
        <w:t xml:space="preserve">Tabela 4. HLM de dois níveis (indivíduo em UPA) com efeitos fixos de UF — estratégia</w:t>
      </w:r>
      <w:r>
        <w:rPr>
          <w:rFonts w:ascii="Arial" w:hAnsi="Arial"/>
          <w:sz w:val="22"/>
        </w:rPr>
        <w:t xml:space="preserve"> </w:t>
      </w:r>
      <w:r>
        <w:rPr>
          <w:rFonts w:ascii="Arial" w:hAnsi="Arial"/>
          <w:sz w:val="22"/>
        </w:rPr>
        <w:t xml:space="preserve">step-up</w:t>
      </w:r>
      <w:r>
        <w:rPr>
          <w:rFonts w:ascii="Arial" w:hAnsi="Arial"/>
          <w:sz w:val="22"/>
        </w:rPr>
        <w:t xml:space="preserve">, PNAD Contínua 2016–2025, população completa (</w:t>
      </w:r>
      <m:oMath>
        <m:r>
          <m:t>N</m:t>
        </m:r>
        <m:r>
          <m:rPr>
            <m:sty m:val="p"/>
          </m:rPr>
          <m:t>=</m:t>
        </m:r>
        <m:r>
          <m:t>7.694</m:t>
        </m:r>
        <m:r>
          <m:t>.080</m:t>
        </m:r>
      </m:oMath>
      <w:r>
        <w:rPr>
          <w:rFonts w:ascii="Arial" w:hAnsi="Arial"/>
          <w:sz w:val="22"/>
        </w:rPr>
        <w:t xml:space="preserve">; 40.728 UPAs; 27 UFs). Coeficientes com erro-padrão do modelo entre parênteses (a correlação intra-UPA já está no efeito aleatório). Estimação por máxima verossimilhança (ML), para os testes LR entre degraus; REML coincide.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quase todo coeficiente é significante; a inferência relevante está nos intervalos de confiança, não nos asteriscos</w:t>
      </w:r>
      <w:r>
        <w:rPr>
          <w:rFonts w:ascii="Arial" w:hAnsi="Arial"/>
          <w:sz w:val="22"/>
        </w:rPr>
        <w:t xml:space="preserve"> </w:t>
      </w:r>
      <w:r>
        <w:rPr>
          <w:rFonts w:ascii="Arial" w:hAnsi="Arial"/>
          <w:sz w:val="22"/>
        </w:rPr>
        <w:t xml:space="preserve">(Angrist; Pischke, 2009, cap. 8)</w:t>
      </w:r>
      <w:r>
        <w:rPr>
          <w:rFonts w:ascii="Arial" w:hAnsi="Arial"/>
          <w:sz w:val="22"/>
        </w:rPr>
        <w:t xml:space="preserve">.</w:t>
      </w:r>
    </w:p>
    <w:tbl>
      <w:tblPr>
        <w:tblStyle w:val="Table"/>
        <w:tblW w:type="auto" w:w="0"/>
        <w:tblLayout w:type="fixed"/>
        <w:tblLook w:firstRow="1" w:lastRow="0" w:firstColumn="0" w:lastColumn="0" w:noHBand="0" w:noVBand="0" w:val="0020"/>
        <w:tblCaption w:val="Tabela 4.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tcPr>
          <w:p>
            <w:pPr>
              <w:pStyle w:val="Compact"/>
              <w:spacing w:line="240" w:lineRule="auto" w:after="0"/>
              <w:ind w:firstLine="0"/>
              <w:jc w:val="left"/>
            </w:pPr>
            <w:r>
              <w:rPr>
                <w:rFonts w:ascii="Arial" w:hAnsi="Arial"/>
                <w:b w:val="0"/>
                <w:sz w:val="20"/>
              </w:rPr>
              <w:t xml:space="preserve">Intercepto</w:t>
            </w:r>
          </w:p>
        </w:tc>
        <w:tc>
          <w:tcPr>
            <w:tcW w:type="dxa" w:w="1415"/>
          </w:tcPr>
          <w:p>
            <w:pPr>
              <w:pStyle w:val="Compact"/>
              <w:spacing w:line="240" w:lineRule="auto" w:after="0"/>
              <w:ind w:firstLine="0"/>
              <w:jc w:val="right"/>
            </w:pPr>
            <w:r>
              <w:rPr>
                <w:rFonts w:ascii="Arial" w:hAnsi="Arial"/>
                <w:b w:val="0"/>
                <w:sz w:val="20"/>
              </w:rPr>
              <w:t xml:space="preserve">7,5778 (0,0028)</w:t>
            </w:r>
          </w:p>
        </w:tc>
        <w:tc>
          <w:tcPr>
            <w:tcW w:type="dxa" w:w="1437"/>
          </w:tcPr>
          <w:p>
            <w:pPr>
              <w:pStyle w:val="Compact"/>
              <w:spacing w:line="240" w:lineRule="auto" w:after="0"/>
              <w:ind w:firstLine="0"/>
              <w:jc w:val="right"/>
            </w:pPr>
            <w:r>
              <w:rPr>
                <w:rFonts w:ascii="Arial" w:hAnsi="Arial"/>
                <w:b w:val="0"/>
                <w:sz w:val="20"/>
              </w:rPr>
              <w:t xml:space="preserve">4,8436 (0,0039)</w:t>
            </w:r>
          </w:p>
        </w:tc>
        <w:tc>
          <w:tcPr>
            <w:tcW w:type="dxa" w:w="1437"/>
          </w:tcPr>
          <w:p>
            <w:pPr>
              <w:pStyle w:val="Compact"/>
              <w:spacing w:line="240" w:lineRule="auto" w:after="0"/>
              <w:ind w:firstLine="0"/>
              <w:jc w:val="right"/>
            </w:pPr>
            <w:r>
              <w:rPr>
                <w:rFonts w:ascii="Arial" w:hAnsi="Arial"/>
                <w:b w:val="0"/>
                <w:sz w:val="20"/>
              </w:rPr>
              <w:t xml:space="preserve">5,0132 (0,0034)</w:t>
            </w:r>
          </w:p>
        </w:tc>
        <w:tc>
          <w:tcPr>
            <w:tcW w:type="dxa" w:w="1437"/>
          </w:tcPr>
          <w:p>
            <w:pPr>
              <w:pStyle w:val="Compact"/>
              <w:spacing w:line="240" w:lineRule="auto" w:after="0"/>
              <w:ind w:firstLine="0"/>
              <w:jc w:val="right"/>
            </w:pPr>
            <w:r>
              <w:rPr>
                <w:rFonts w:ascii="Arial" w:hAnsi="Arial"/>
                <w:b w:val="0"/>
                <w:sz w:val="20"/>
              </w:rPr>
              <w:t xml:space="preserve">5,2269 (0,0078)</w:t>
            </w:r>
          </w:p>
        </w:tc>
        <w:tc>
          <w:tcPr>
            <w:tcW w:type="dxa" w:w="1450"/>
          </w:tcPr>
          <w:p>
            <w:pPr>
              <w:pStyle w:val="Compact"/>
              <w:spacing w:line="240" w:lineRule="auto" w:after="0"/>
              <w:ind w:firstLine="0"/>
              <w:jc w:val="right"/>
            </w:pPr>
            <w:r>
              <w:rPr>
                <w:rFonts w:ascii="Arial" w:hAnsi="Arial"/>
                <w:b w:val="0"/>
                <w:sz w:val="20"/>
              </w:rPr>
              <w:t xml:space="preserve">5,4140 (0,0074)</w:t>
            </w:r>
          </w:p>
        </w:tc>
      </w:tr>
      <w:tr>
        <w:trPr>
          <w:cantSplit/>
        </w:trPr>
        <w:tc>
          <w:tcPr>
            <w:tcW w:type="dxa" w:w="1895"/>
          </w:tcPr>
          <w:p>
            <w:pPr>
              <w:pStyle w:val="Compact"/>
              <w:spacing w:line="240" w:lineRule="auto" w:after="0"/>
              <w:ind w:firstLine="0"/>
              <w:jc w:val="left"/>
            </w:pPr>
            <w:r>
              <w:rPr>
                <w:rFonts w:ascii="Arial" w:hAnsi="Arial"/>
                <w:b w:val="0"/>
                <w:bCs/>
                <w:sz w:val="20"/>
              </w:rPr>
              <w:t xml:space="preserve">Raça (negro)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−0,0669 (0,0005)</w:t>
            </w:r>
          </w:p>
        </w:tc>
        <w:tc>
          <w:tcPr>
            <w:tcW w:type="dxa" w:w="1437"/>
          </w:tcPr>
          <w:p>
            <w:pPr>
              <w:pStyle w:val="Compact"/>
              <w:spacing w:line="240" w:lineRule="auto" w:after="0"/>
              <w:ind w:firstLine="0"/>
              <w:jc w:val="right"/>
            </w:pPr>
            <w:r>
              <w:rPr>
                <w:rFonts w:ascii="Arial" w:hAnsi="Arial"/>
                <w:b w:val="0"/>
                <w:sz w:val="20"/>
              </w:rPr>
              <w:t xml:space="preserve">−0,0637 (0,0005)</w:t>
            </w:r>
          </w:p>
        </w:tc>
        <w:tc>
          <w:tcPr>
            <w:tcW w:type="dxa" w:w="1437"/>
          </w:tcPr>
          <w:p>
            <w:pPr>
              <w:pStyle w:val="Compact"/>
              <w:spacing w:line="240" w:lineRule="auto" w:after="0"/>
              <w:ind w:firstLine="0"/>
              <w:jc w:val="right"/>
            </w:pPr>
            <w:r>
              <w:rPr>
                <w:rFonts w:ascii="Arial" w:hAnsi="Arial"/>
                <w:b w:val="0"/>
                <w:sz w:val="20"/>
              </w:rPr>
              <w:t xml:space="preserve">−0,0629 (0,0005)</w:t>
            </w:r>
          </w:p>
        </w:tc>
        <w:tc>
          <w:tcPr>
            <w:tcW w:type="dxa" w:w="1450"/>
          </w:tcPr>
          <w:p>
            <w:pPr>
              <w:pStyle w:val="Compact"/>
              <w:spacing w:line="240" w:lineRule="auto" w:after="0"/>
              <w:ind w:firstLine="0"/>
              <w:jc w:val="right"/>
            </w:pPr>
            <w:r>
              <w:rPr>
                <w:rFonts w:ascii="Arial" w:hAnsi="Arial"/>
                <w:b w:val="0"/>
                <w:sz w:val="20"/>
              </w:rPr>
              <w:t xml:space="preserve">−0,0579 (0,0005)</w:t>
            </w:r>
          </w:p>
        </w:tc>
      </w:tr>
      <w:tr>
        <w:trPr>
          <w:cantSplit/>
        </w:trPr>
        <w:tc>
          <w:tcPr>
            <w:tcW w:type="dxa" w:w="1895"/>
          </w:tcPr>
          <w:p>
            <w:pPr>
              <w:pStyle w:val="Compact"/>
              <w:spacing w:line="240" w:lineRule="auto" w:after="0"/>
              <w:ind w:firstLine="0"/>
              <w:jc w:val="left"/>
            </w:pPr>
            <w:r>
              <w:rPr>
                <w:rFonts w:ascii="Arial" w:hAnsi="Arial"/>
                <w:b w:val="0"/>
                <w:sz w:val="20"/>
              </w:rPr>
              <w:t xml:space="preserve">Sexo feminino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−0,2594 (0,0005)</w:t>
            </w:r>
          </w:p>
        </w:tc>
        <w:tc>
          <w:tcPr>
            <w:tcW w:type="dxa" w:w="1437"/>
          </w:tcPr>
          <w:p>
            <w:pPr>
              <w:pStyle w:val="Compact"/>
              <w:spacing w:line="240" w:lineRule="auto" w:after="0"/>
              <w:ind w:firstLine="0"/>
              <w:jc w:val="right"/>
            </w:pPr>
            <w:r>
              <w:rPr>
                <w:rFonts w:ascii="Arial" w:hAnsi="Arial"/>
                <w:b w:val="0"/>
                <w:sz w:val="20"/>
              </w:rPr>
              <w:t xml:space="preserve">−0,2590 (0,0005)</w:t>
            </w:r>
          </w:p>
        </w:tc>
        <w:tc>
          <w:tcPr>
            <w:tcW w:type="dxa" w:w="1437"/>
          </w:tcPr>
          <w:p>
            <w:pPr>
              <w:pStyle w:val="Compact"/>
              <w:spacing w:line="240" w:lineRule="auto" w:after="0"/>
              <w:ind w:firstLine="0"/>
              <w:jc w:val="right"/>
            </w:pPr>
            <w:r>
              <w:rPr>
                <w:rFonts w:ascii="Arial" w:hAnsi="Arial"/>
                <w:b w:val="0"/>
                <w:sz w:val="20"/>
              </w:rPr>
              <w:t xml:space="preserve">−0,2592 (0,0005)</w:t>
            </w:r>
          </w:p>
        </w:tc>
        <w:tc>
          <w:tcPr>
            <w:tcW w:type="dxa" w:w="1450"/>
          </w:tcPr>
          <w:p>
            <w:pPr>
              <w:pStyle w:val="Compact"/>
              <w:spacing w:line="240" w:lineRule="auto" w:after="0"/>
              <w:ind w:firstLine="0"/>
              <w:jc w:val="right"/>
            </w:pPr>
            <w:r>
              <w:rPr>
                <w:rFonts w:ascii="Arial" w:hAnsi="Arial"/>
                <w:b w:val="0"/>
                <w:sz w:val="20"/>
              </w:rPr>
              <w:t xml:space="preserve">−0,2394 (0,0005)</w:t>
            </w:r>
          </w:p>
        </w:tc>
      </w:tr>
      <w:tr>
        <w:trPr>
          <w:cantSplit/>
        </w:trPr>
        <w:tc>
          <w:tcPr>
            <w:tcW w:type="dxa" w:w="1895"/>
          </w:tcPr>
          <w:p>
            <w:pPr>
              <w:pStyle w:val="Compact"/>
              <w:spacing w:line="240" w:lineRule="auto" w:after="0"/>
              <w:ind w:firstLine="0"/>
              <w:jc w:val="left"/>
            </w:pPr>
            <w:r>
              <w:rPr>
                <w:rFonts w:ascii="Arial" w:hAnsi="Arial"/>
                <w:b w:val="0"/>
                <w:sz w:val="20"/>
              </w:rPr>
              <w:t xml:space="preserve">Idade (centrada)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0,0079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37"/>
          </w:tcPr>
          <w:p>
            <w:pPr>
              <w:pStyle w:val="Compact"/>
              <w:spacing w:line="240" w:lineRule="auto" w:after="0"/>
              <w:ind w:firstLine="0"/>
              <w:jc w:val="right"/>
            </w:pPr>
            <w:r>
              <w:rPr>
                <w:rFonts w:ascii="Arial" w:hAnsi="Arial"/>
                <w:b w:val="0"/>
                <w:sz w:val="20"/>
              </w:rPr>
              <w:t xml:space="preserve">0,0078 (&lt;0,0001)</w:t>
            </w:r>
          </w:p>
        </w:tc>
        <w:tc>
          <w:tcPr>
            <w:tcW w:type="dxa" w:w="1450"/>
          </w:tcPr>
          <w:p>
            <w:pPr>
              <w:pStyle w:val="Compact"/>
              <w:spacing w:line="240" w:lineRule="auto" w:after="0"/>
              <w:ind w:firstLine="0"/>
              <w:jc w:val="right"/>
            </w:pPr>
            <w:r>
              <w:rPr>
                <w:rFonts w:ascii="Arial" w:hAnsi="Arial"/>
                <w:b w:val="0"/>
                <w:sz w:val="20"/>
              </w:rPr>
              <w:t xml:space="preserve">0,0088 (&lt;0,0001)</w:t>
            </w:r>
          </w:p>
        </w:tc>
      </w:tr>
      <w:tr>
        <w:trPr>
          <w:cantSplit/>
        </w:trPr>
        <w:tc>
          <w:tcPr>
            <w:tcW w:type="dxa" w:w="1895"/>
          </w:tcPr>
          <w:p>
            <w:pPr>
              <w:pStyle w:val="Compact"/>
              <w:spacing w:line="240" w:lineRule="auto" w:after="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37"/>
          </w:tcPr>
          <w:p>
            <w:pPr>
              <w:pStyle w:val="Compact"/>
              <w:spacing w:line="240" w:lineRule="auto" w:after="0"/>
              <w:ind w:firstLine="0"/>
              <w:jc w:val="right"/>
            </w:pPr>
            <w:r>
              <w:rPr>
                <w:rFonts w:ascii="Arial" w:hAnsi="Arial"/>
                <w:b w:val="0"/>
                <w:sz w:val="20"/>
              </w:rPr>
              <w:t xml:space="preserve">−0,0004 (&lt;0,0001)</w:t>
            </w:r>
          </w:p>
        </w:tc>
        <w:tc>
          <w:tcPr>
            <w:tcW w:type="dxa" w:w="1450"/>
          </w:tcPr>
          <w:p>
            <w:pPr>
              <w:pStyle w:val="Compact"/>
              <w:spacing w:line="240" w:lineRule="auto" w:after="0"/>
              <w:ind w:firstLine="0"/>
              <w:jc w:val="right"/>
            </w:pPr>
            <w:r>
              <w:rPr>
                <w:rFonts w:ascii="Arial" w:hAnsi="Arial"/>
                <w:b w:val="0"/>
                <w:sz w:val="20"/>
              </w:rPr>
              <w:t xml:space="preserve">−0,0004 (&lt;0,0001)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Educ.: fundamental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0,1884 (0,0007)</w:t>
            </w:r>
          </w:p>
        </w:tc>
        <w:tc>
          <w:tcPr>
            <w:tcW w:type="dxa" w:w="1437"/>
          </w:tcPr>
          <w:p>
            <w:pPr>
              <w:pStyle w:val="Compact"/>
              <w:spacing w:line="240" w:lineRule="auto" w:after="0"/>
              <w:ind w:firstLine="0"/>
              <w:jc w:val="right"/>
            </w:pPr>
            <w:r>
              <w:rPr>
                <w:rFonts w:ascii="Arial" w:hAnsi="Arial"/>
                <w:b w:val="0"/>
                <w:sz w:val="20"/>
              </w:rPr>
              <w:t xml:space="preserve">0,1880 (0,0007)</w:t>
            </w:r>
          </w:p>
        </w:tc>
        <w:tc>
          <w:tcPr>
            <w:tcW w:type="dxa" w:w="1437"/>
          </w:tcPr>
          <w:p>
            <w:pPr>
              <w:pStyle w:val="Compact"/>
              <w:spacing w:line="240" w:lineRule="auto" w:after="0"/>
              <w:ind w:firstLine="0"/>
              <w:jc w:val="right"/>
            </w:pPr>
            <w:r>
              <w:rPr>
                <w:rFonts w:ascii="Arial" w:hAnsi="Arial"/>
                <w:b w:val="0"/>
                <w:sz w:val="20"/>
              </w:rPr>
              <w:t xml:space="preserve">0,1877 (0,0007)</w:t>
            </w:r>
          </w:p>
        </w:tc>
        <w:tc>
          <w:tcPr>
            <w:tcW w:type="dxa" w:w="1450"/>
          </w:tcPr>
          <w:p>
            <w:pPr>
              <w:pStyle w:val="Compact"/>
              <w:spacing w:line="240" w:lineRule="auto" w:after="0"/>
              <w:ind w:firstLine="0"/>
              <w:jc w:val="right"/>
            </w:pPr>
            <w:r>
              <w:rPr>
                <w:rFonts w:ascii="Arial" w:hAnsi="Arial"/>
                <w:b w:val="0"/>
                <w:sz w:val="20"/>
              </w:rPr>
              <w:t xml:space="preserve">0,1464 (0,0007)</w:t>
            </w:r>
          </w:p>
        </w:tc>
      </w:tr>
      <w:tr>
        <w:trPr>
          <w:cantSplit/>
        </w:trPr>
        <w:tc>
          <w:tcPr>
            <w:tcW w:type="dxa" w:w="1895"/>
          </w:tcPr>
          <w:p>
            <w:pPr>
              <w:pStyle w:val="Compact"/>
              <w:spacing w:line="240" w:lineRule="auto" w:after="0"/>
              <w:ind w:firstLine="0"/>
              <w:jc w:val="left"/>
            </w:pPr>
            <w:r>
              <w:rPr>
                <w:rFonts w:ascii="Arial" w:hAnsi="Arial"/>
                <w:b w:val="0"/>
                <w:sz w:val="20"/>
              </w:rPr>
              <w:t xml:space="preserve">Educ.: médio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0,1965 (0,0007)</w:t>
            </w:r>
          </w:p>
        </w:tc>
        <w:tc>
          <w:tcPr>
            <w:tcW w:type="dxa" w:w="1437"/>
          </w:tcPr>
          <w:p>
            <w:pPr>
              <w:pStyle w:val="Compact"/>
              <w:spacing w:line="240" w:lineRule="auto" w:after="0"/>
              <w:ind w:firstLine="0"/>
              <w:jc w:val="right"/>
            </w:pPr>
            <w:r>
              <w:rPr>
                <w:rFonts w:ascii="Arial" w:hAnsi="Arial"/>
                <w:b w:val="0"/>
                <w:sz w:val="20"/>
              </w:rPr>
              <w:t xml:space="preserve">0,1956 (0,0007)</w:t>
            </w:r>
          </w:p>
        </w:tc>
        <w:tc>
          <w:tcPr>
            <w:tcW w:type="dxa" w:w="1437"/>
          </w:tcPr>
          <w:p>
            <w:pPr>
              <w:pStyle w:val="Compact"/>
              <w:spacing w:line="240" w:lineRule="auto" w:after="0"/>
              <w:ind w:firstLine="0"/>
              <w:jc w:val="right"/>
            </w:pPr>
            <w:r>
              <w:rPr>
                <w:rFonts w:ascii="Arial" w:hAnsi="Arial"/>
                <w:b w:val="0"/>
                <w:sz w:val="20"/>
              </w:rPr>
              <w:t xml:space="preserve">0,1958 (0,0007)</w:t>
            </w:r>
          </w:p>
        </w:tc>
        <w:tc>
          <w:tcPr>
            <w:tcW w:type="dxa" w:w="1450"/>
          </w:tcPr>
          <w:p>
            <w:pPr>
              <w:pStyle w:val="Compact"/>
              <w:spacing w:line="240" w:lineRule="auto" w:after="0"/>
              <w:ind w:firstLine="0"/>
              <w:jc w:val="right"/>
            </w:pPr>
            <w:r>
              <w:rPr>
                <w:rFonts w:ascii="Arial" w:hAnsi="Arial"/>
                <w:b w:val="0"/>
                <w:sz w:val="20"/>
              </w:rPr>
              <w:t xml:space="preserve">0,1013 (0,0007)</w:t>
            </w:r>
          </w:p>
        </w:tc>
      </w:tr>
      <w:tr>
        <w:trPr>
          <w:cantSplit/>
        </w:trPr>
        <w:tc>
          <w:tcPr>
            <w:tcW w:type="dxa" w:w="1895"/>
          </w:tcPr>
          <w:p>
            <w:pPr>
              <w:pStyle w:val="Compact"/>
              <w:spacing w:line="240" w:lineRule="auto" w:after="0"/>
              <w:ind w:firstLine="0"/>
              <w:jc w:val="left"/>
            </w:pPr>
            <w:r>
              <w:rPr>
                <w:rFonts w:ascii="Arial" w:hAnsi="Arial"/>
                <w:b w:val="0"/>
                <w:sz w:val="20"/>
              </w:rPr>
              <w:t xml:space="preserve">Educ.: superior completo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0,5133 (0,0007)</w:t>
            </w:r>
          </w:p>
        </w:tc>
        <w:tc>
          <w:tcPr>
            <w:tcW w:type="dxa" w:w="1437"/>
          </w:tcPr>
          <w:p>
            <w:pPr>
              <w:pStyle w:val="Compact"/>
              <w:spacing w:line="240" w:lineRule="auto" w:after="0"/>
              <w:ind w:firstLine="0"/>
              <w:jc w:val="right"/>
            </w:pPr>
            <w:r>
              <w:rPr>
                <w:rFonts w:ascii="Arial" w:hAnsi="Arial"/>
                <w:b w:val="0"/>
                <w:sz w:val="20"/>
              </w:rPr>
              <w:t xml:space="preserve">0,5107 (0,0007)</w:t>
            </w:r>
          </w:p>
        </w:tc>
        <w:tc>
          <w:tcPr>
            <w:tcW w:type="dxa" w:w="1437"/>
          </w:tcPr>
          <w:p>
            <w:pPr>
              <w:pStyle w:val="Compact"/>
              <w:spacing w:line="240" w:lineRule="auto" w:after="0"/>
              <w:ind w:firstLine="0"/>
              <w:jc w:val="right"/>
            </w:pPr>
            <w:r>
              <w:rPr>
                <w:rFonts w:ascii="Arial" w:hAnsi="Arial"/>
                <w:b w:val="0"/>
                <w:sz w:val="20"/>
              </w:rPr>
              <w:t xml:space="preserve">0,5112 (0,0007)</w:t>
            </w:r>
          </w:p>
        </w:tc>
        <w:tc>
          <w:tcPr>
            <w:tcW w:type="dxa" w:w="1450"/>
          </w:tcPr>
          <w:p>
            <w:pPr>
              <w:pStyle w:val="Compact"/>
              <w:spacing w:line="240" w:lineRule="auto" w:after="0"/>
              <w:ind w:firstLine="0"/>
              <w:jc w:val="right"/>
            </w:pPr>
            <w:r>
              <w:rPr>
                <w:rFonts w:ascii="Arial" w:hAnsi="Arial"/>
                <w:b w:val="0"/>
                <w:sz w:val="20"/>
              </w:rPr>
              <w:t xml:space="preserve">0,2937 (0,0008)</w:t>
            </w:r>
          </w:p>
        </w:tc>
      </w:tr>
      <w:tr>
        <w:trPr>
          <w:cantSplit/>
        </w:trPr>
        <w:tc>
          <w:tcPr>
            <w:tcW w:type="dxa" w:w="1895"/>
          </w:tcPr>
          <w:p>
            <w:pPr>
              <w:pStyle w:val="Compact"/>
              <w:spacing w:line="240" w:lineRule="auto" w:after="0"/>
              <w:ind w:firstLine="0"/>
              <w:jc w:val="left"/>
            </w:pPr>
            <w:r>
              <w:rPr>
                <w:rFonts w:ascii="Arial" w:hAnsi="Arial"/>
                <w:b w:val="0"/>
                <w:sz w:val="20"/>
              </w:rPr>
              <w:t xml:space="preserve">Educ.: pós-graduação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0,3359 (0,0011)</w:t>
            </w:r>
          </w:p>
        </w:tc>
        <w:tc>
          <w:tcPr>
            <w:tcW w:type="dxa" w:w="1437"/>
          </w:tcPr>
          <w:p>
            <w:pPr>
              <w:pStyle w:val="Compact"/>
              <w:spacing w:line="240" w:lineRule="auto" w:after="0"/>
              <w:ind w:firstLine="0"/>
              <w:jc w:val="right"/>
            </w:pPr>
            <w:r>
              <w:rPr>
                <w:rFonts w:ascii="Arial" w:hAnsi="Arial"/>
                <w:b w:val="0"/>
                <w:sz w:val="20"/>
              </w:rPr>
              <w:t xml:space="preserve">0,3341 (0,0011)</w:t>
            </w:r>
          </w:p>
        </w:tc>
        <w:tc>
          <w:tcPr>
            <w:tcW w:type="dxa" w:w="1437"/>
          </w:tcPr>
          <w:p>
            <w:pPr>
              <w:pStyle w:val="Compact"/>
              <w:spacing w:line="240" w:lineRule="auto" w:after="0"/>
              <w:ind w:firstLine="0"/>
              <w:jc w:val="right"/>
            </w:pPr>
            <w:r>
              <w:rPr>
                <w:rFonts w:ascii="Arial" w:hAnsi="Arial"/>
                <w:b w:val="0"/>
                <w:sz w:val="20"/>
              </w:rPr>
              <w:t xml:space="preserve">0,3350 (0,0011)</w:t>
            </w:r>
          </w:p>
        </w:tc>
        <w:tc>
          <w:tcPr>
            <w:tcW w:type="dxa" w:w="1450"/>
          </w:tcPr>
          <w:p>
            <w:pPr>
              <w:pStyle w:val="Compact"/>
              <w:spacing w:line="240" w:lineRule="auto" w:after="0"/>
              <w:ind w:firstLine="0"/>
              <w:jc w:val="right"/>
            </w:pPr>
            <w:r>
              <w:rPr>
                <w:rFonts w:ascii="Arial" w:hAnsi="Arial"/>
                <w:b w:val="0"/>
                <w:sz w:val="20"/>
              </w:rPr>
              <w:t xml:space="preserve">0,2445 (0,0011)</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log(horas)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0,6536 (0,0006)</w:t>
            </w:r>
          </w:p>
        </w:tc>
        <w:tc>
          <w:tcPr>
            <w:tcW w:type="dxa" w:w="1437"/>
          </w:tcPr>
          <w:p>
            <w:pPr>
              <w:pStyle w:val="Compact"/>
              <w:spacing w:line="240" w:lineRule="auto" w:after="0"/>
              <w:ind w:firstLine="0"/>
              <w:jc w:val="right"/>
            </w:pPr>
            <w:r>
              <w:rPr>
                <w:rFonts w:ascii="Arial" w:hAnsi="Arial"/>
                <w:b w:val="0"/>
                <w:sz w:val="20"/>
              </w:rPr>
              <w:t xml:space="preserve">0,6539 (0,0006)</w:t>
            </w:r>
          </w:p>
        </w:tc>
        <w:tc>
          <w:tcPr>
            <w:tcW w:type="dxa" w:w="1437"/>
          </w:tcPr>
          <w:p>
            <w:pPr>
              <w:pStyle w:val="Compact"/>
              <w:spacing w:line="240" w:lineRule="auto" w:after="0"/>
              <w:ind w:firstLine="0"/>
              <w:jc w:val="right"/>
            </w:pPr>
            <w:r>
              <w:rPr>
                <w:rFonts w:ascii="Arial" w:hAnsi="Arial"/>
                <w:b w:val="0"/>
                <w:sz w:val="20"/>
              </w:rPr>
              <w:t xml:space="preserve">0,6534 (0,0006)</w:t>
            </w:r>
          </w:p>
        </w:tc>
        <w:tc>
          <w:tcPr>
            <w:tcW w:type="dxa" w:w="1450"/>
          </w:tcPr>
          <w:p>
            <w:pPr>
              <w:pStyle w:val="Compact"/>
              <w:spacing w:line="240" w:lineRule="auto" w:after="0"/>
              <w:ind w:firstLine="0"/>
              <w:jc w:val="right"/>
            </w:pPr>
            <w:r>
              <w:rPr>
                <w:rFonts w:ascii="Arial" w:hAnsi="Arial"/>
                <w:b w:val="0"/>
                <w:sz w:val="20"/>
              </w:rPr>
              <w:t xml:space="preserve">0,5801 (0,0006)</w:t>
            </w:r>
          </w:p>
        </w:tc>
      </w:tr>
      <w:tr>
        <w:trPr>
          <w:cantSplit/>
        </w:trPr>
        <w:tc>
          <w:tcPr>
            <w:tcW w:type="dxa" w:w="1895"/>
          </w:tcPr>
          <w:p>
            <w:pPr>
              <w:pStyle w:val="Compact"/>
              <w:spacing w:line="240" w:lineRule="auto" w:after="0"/>
              <w:ind w:firstLine="0"/>
              <w:jc w:val="left"/>
            </w:pPr>
            <w:r>
              <w:rPr>
                <w:rFonts w:ascii="Arial" w:hAnsi="Arial"/>
                <w:b w:val="0"/>
                <w:sz w:val="20"/>
              </w:rPr>
              <w:t xml:space="preserve">Urbano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0,3419 (0,0037)</w:t>
            </w:r>
          </w:p>
        </w:tc>
        <w:tc>
          <w:tcPr>
            <w:tcW w:type="dxa" w:w="1437"/>
          </w:tcPr>
          <w:p>
            <w:pPr>
              <w:pStyle w:val="Compact"/>
              <w:spacing w:line="240" w:lineRule="auto" w:after="0"/>
              <w:ind w:firstLine="0"/>
              <w:jc w:val="right"/>
            </w:pPr>
            <w:r>
              <w:rPr>
                <w:rFonts w:ascii="Arial" w:hAnsi="Arial"/>
                <w:b w:val="0"/>
                <w:sz w:val="20"/>
              </w:rPr>
              <w:t xml:space="preserve">0,0927 (0,0032)</w:t>
            </w:r>
          </w:p>
        </w:tc>
        <w:tc>
          <w:tcPr>
            <w:tcW w:type="dxa" w:w="1437"/>
          </w:tcPr>
          <w:p>
            <w:pPr>
              <w:pStyle w:val="Compact"/>
              <w:spacing w:line="240" w:lineRule="auto" w:after="0"/>
              <w:ind w:firstLine="0"/>
              <w:jc w:val="right"/>
            </w:pPr>
            <w:r>
              <w:rPr>
                <w:rFonts w:ascii="Arial" w:hAnsi="Arial"/>
                <w:b w:val="0"/>
                <w:sz w:val="20"/>
              </w:rPr>
              <w:t xml:space="preserve">0,0492 (0,0027)</w:t>
            </w:r>
          </w:p>
        </w:tc>
        <w:tc>
          <w:tcPr>
            <w:tcW w:type="dxa" w:w="1450"/>
          </w:tcPr>
          <w:p>
            <w:pPr>
              <w:pStyle w:val="Compact"/>
              <w:spacing w:line="240" w:lineRule="auto" w:after="0"/>
              <w:ind w:firstLine="0"/>
              <w:jc w:val="right"/>
            </w:pPr>
            <w:r>
              <w:rPr>
                <w:rFonts w:ascii="Arial" w:hAnsi="Arial"/>
                <w:b w:val="0"/>
                <w:sz w:val="20"/>
              </w:rPr>
              <w:t xml:space="preserve">0,0071 (0,0025)</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−0,1272 (0,0013)</w:t>
            </w:r>
          </w:p>
        </w:tc>
        <w:tc>
          <w:tcPr>
            <w:tcW w:type="dxa" w:w="1437"/>
          </w:tcPr>
          <w:p>
            <w:pPr>
              <w:pStyle w:val="Compact"/>
              <w:spacing w:line="240" w:lineRule="auto" w:after="0"/>
              <w:ind w:firstLine="0"/>
              <w:jc w:val="right"/>
            </w:pPr>
            <w:r>
              <w:rPr>
                <w:rFonts w:ascii="Arial" w:hAnsi="Arial"/>
                <w:b w:val="0"/>
                <w:sz w:val="20"/>
              </w:rPr>
              <w:t xml:space="preserve">−0,0528 (0,0018)</w:t>
            </w:r>
          </w:p>
        </w:tc>
        <w:tc>
          <w:tcPr>
            <w:tcW w:type="dxa" w:w="1450"/>
          </w:tcPr>
          <w:p>
            <w:pPr>
              <w:pStyle w:val="Compact"/>
              <w:spacing w:line="240" w:lineRule="auto" w:after="0"/>
              <w:ind w:firstLine="0"/>
              <w:jc w:val="right"/>
            </w:pPr>
            <w:r>
              <w:rPr>
                <w:rFonts w:ascii="Arial" w:hAnsi="Arial"/>
                <w:b w:val="0"/>
                <w:sz w:val="20"/>
              </w:rPr>
              <w:t xml:space="preserve">−0,0576 (0,0017)</w:t>
            </w:r>
          </w:p>
        </w:tc>
      </w:tr>
      <w:tr>
        <w:trPr>
          <w:cantSplit/>
        </w:trPr>
        <w:tc>
          <w:tcPr>
            <w:tcW w:type="dxa" w:w="1895"/>
          </w:tcPr>
          <w:p>
            <w:pPr>
              <w:pStyle w:val="Compac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−0,0183 (0,0012)</w:t>
            </w:r>
          </w:p>
        </w:tc>
        <w:tc>
          <w:tcPr>
            <w:tcW w:type="dxa" w:w="1437"/>
          </w:tcPr>
          <w:p>
            <w:pPr>
              <w:pStyle w:val="Compact"/>
              <w:spacing w:line="240" w:lineRule="auto" w:after="0"/>
              <w:ind w:firstLine="0"/>
              <w:jc w:val="right"/>
            </w:pPr>
            <w:r>
              <w:rPr>
                <w:rFonts w:ascii="Arial" w:hAnsi="Arial"/>
                <w:b w:val="0"/>
                <w:sz w:val="20"/>
              </w:rPr>
              <w:t xml:space="preserve">−0,0007 (0,0010)</w:t>
            </w:r>
          </w:p>
        </w:tc>
        <w:tc>
          <w:tcPr>
            <w:tcW w:type="dxa" w:w="1450"/>
          </w:tcPr>
          <w:p>
            <w:pPr>
              <w:pStyle w:val="Compact"/>
              <w:spacing w:line="240" w:lineRule="auto" w:after="0"/>
              <w:ind w:firstLine="0"/>
              <w:jc w:val="right"/>
            </w:pPr>
            <w:r>
              <w:rPr>
                <w:rFonts w:ascii="Arial" w:hAnsi="Arial"/>
                <w:b w:val="0"/>
                <w:sz w:val="20"/>
              </w:rPr>
              <w:t xml:space="preserve">−0,0051 (0,0010)</w:t>
            </w:r>
          </w:p>
        </w:tc>
      </w:tr>
      <w:tr>
        <w:trPr>
          <w:cantSplit/>
        </w:trPr>
        <w:tc>
          <w:tcPr>
            <w:tcW w:type="dxa" w:w="1895"/>
          </w:tcPr>
          <w:p>
            <w:pPr>
              <w:pStyle w:val="Compac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0,1577 (0,0014)</w:t>
            </w:r>
          </w:p>
        </w:tc>
        <w:tc>
          <w:tcPr>
            <w:tcW w:type="dxa" w:w="1437"/>
          </w:tcPr>
          <w:p>
            <w:pPr>
              <w:pStyle w:val="Compact"/>
              <w:spacing w:line="240" w:lineRule="auto" w:after="0"/>
              <w:ind w:firstLine="0"/>
              <w:jc w:val="right"/>
            </w:pPr>
            <w:r>
              <w:rPr>
                <w:rFonts w:ascii="Arial" w:hAnsi="Arial"/>
                <w:b w:val="0"/>
                <w:sz w:val="20"/>
              </w:rPr>
              <w:t xml:space="preserve">0,1694 (0,0013)</w:t>
            </w:r>
          </w:p>
        </w:tc>
        <w:tc>
          <w:tcPr>
            <w:tcW w:type="dxa" w:w="1450"/>
          </w:tcPr>
          <w:p>
            <w:pPr>
              <w:pStyle w:val="Compact"/>
              <w:spacing w:line="240" w:lineRule="auto" w:after="0"/>
              <w:ind w:firstLine="0"/>
              <w:jc w:val="right"/>
            </w:pPr>
            <w:r>
              <w:rPr>
                <w:rFonts w:ascii="Arial" w:hAnsi="Arial"/>
                <w:b w:val="0"/>
                <w:sz w:val="20"/>
              </w:rPr>
              <w:t xml:space="preserve">0,1427 (0,0012)</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w:r>
              <w:rPr>
                <w:rFonts w:ascii="Arial" w:hAnsi="Arial"/>
                <w:b w:val="0"/>
                <w:sz w:val="20"/>
              </w:rPr>
              <w:t xml:space="preserve">Emprego formal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0,1585 (0,0006)</w:t>
            </w:r>
          </w:p>
        </w:tc>
      </w:tr>
      <w:tr>
        <w:trPr>
          <w:cantSplit/>
        </w:trPr>
        <w:tc>
          <w:tcPr>
            <w:tcW w:type="dxa" w:w="1895"/>
          </w:tcPr>
          <w:p>
            <w:pPr>
              <w:pStyle w:val="Compact"/>
              <w:spacing w:line="240" w:lineRule="auto" w:after="0"/>
              <w:ind w:firstLine="0"/>
              <w:jc w:val="left"/>
            </w:pPr>
            <w:r>
              <w:rPr>
                <w:rFonts w:ascii="Arial" w:hAnsi="Arial"/>
                <w:b w:val="0"/>
                <w:sz w:val="20"/>
              </w:rPr>
              <w:t xml:space="preserve">Conta própria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−0,1658 (0,0006)</w:t>
            </w:r>
          </w:p>
        </w:tc>
      </w:tr>
      <w:tr>
        <w:trPr>
          <w:cantSplit/>
        </w:trPr>
        <w:tc>
          <w:tcPr>
            <w:tcW w:type="dxa" w:w="1895"/>
          </w:tcPr>
          <w:p>
            <w:pPr>
              <w:pStyle w:val="Compact"/>
              <w:spacing w:line="240" w:lineRule="auto" w:after="0"/>
              <w:ind w:firstLine="0"/>
              <w:jc w:val="left"/>
            </w:pPr>
            <w:r>
              <w:rPr>
                <w:rFonts w:ascii="Arial" w:hAnsi="Arial"/>
                <w:b w:val="0"/>
                <w:sz w:val="20"/>
              </w:rPr>
              <w:t xml:space="preserve">Trab. doméstico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−0,1052 (0,0010)</w:t>
            </w:r>
          </w:p>
        </w:tc>
      </w:tr>
      <w:tr>
        <w:trPr>
          <w:cantSplit/>
        </w:trPr>
        <w:tc>
          <w:tcPr>
            <w:tcW w:type="dxa" w:w="1895"/>
          </w:tcPr>
          <w:p>
            <w:pPr>
              <w:pStyle w:val="Compact"/>
              <w:spacing w:line="240" w:lineRule="auto" w:after="0"/>
              <w:ind w:firstLine="0"/>
              <w:jc w:val="left"/>
            </w:pPr>
            <w:r>
              <w:rPr>
                <w:rFonts w:ascii="Arial" w:hAnsi="Arial"/>
                <w:b w:val="0"/>
                <w:sz w:val="20"/>
              </w:rPr>
              <w:t xml:space="preserve">CBO: dirigente</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0,6250 (0,0013)</w:t>
            </w:r>
          </w:p>
        </w:tc>
      </w:tr>
      <w:tr>
        <w:trPr>
          <w:cantSplit/>
        </w:trPr>
        <w:tc>
          <w:tcPr>
            <w:tcW w:type="dxa" w:w="1895"/>
          </w:tcPr>
          <w:p>
            <w:pPr>
              <w:pStyle w:val="Compact"/>
              <w:spacing w:line="240" w:lineRule="auto" w:after="0"/>
              <w:ind w:firstLine="0"/>
              <w:jc w:val="left"/>
            </w:pPr>
            <w:r>
              <w:rPr>
                <w:rFonts w:ascii="Arial" w:hAnsi="Arial"/>
                <w:b w:val="0"/>
                <w:sz w:val="20"/>
              </w:rPr>
              <w:t xml:space="preserve">CBO: profissional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0,5608 (0,0011)</w:t>
            </w:r>
          </w:p>
        </w:tc>
      </w:tr>
      <w:tr>
        <w:trPr>
          <w:cantSplit/>
        </w:trPr>
        <w:tc>
          <w:tcPr>
            <w:tcW w:type="dxa" w:w="1895"/>
          </w:tcPr>
          <w:p>
            <w:pPr>
              <w:pStyle w:val="Compact"/>
              <w:spacing w:line="240" w:lineRule="auto" w:after="0"/>
              <w:ind w:firstLine="0"/>
              <w:jc w:val="left"/>
            </w:pPr>
            <w:r>
              <w:rPr>
                <w:rFonts w:ascii="Arial" w:hAnsi="Arial"/>
                <w:b w:val="0"/>
                <w:sz w:val="20"/>
              </w:rPr>
              <w:t xml:space="preserve">CBO: técnico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0,4001 (0,0010)</w:t>
            </w:r>
          </w:p>
        </w:tc>
      </w:tr>
      <w:tr>
        <w:trPr>
          <w:cantSplit/>
        </w:trPr>
        <w:tc>
          <w:tcPr>
            <w:tcW w:type="dxa" w:w="1895"/>
          </w:tcPr>
          <w:p>
            <w:pPr>
              <w:pStyle w:val="Compact"/>
              <w:spacing w:line="240" w:lineRule="auto" w:after="0"/>
              <w:ind w:firstLine="0"/>
              <w:jc w:val="left"/>
            </w:pPr>
            <w:r>
              <w:rPr>
                <w:rFonts w:ascii="Arial" w:hAnsi="Arial"/>
                <w:b w:val="0"/>
                <w:sz w:val="20"/>
              </w:rPr>
              <w:t xml:space="preserve">CBO: administrativo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0,1771 (0,0010)</w:t>
            </w:r>
          </w:p>
        </w:tc>
      </w:tr>
      <w:tr>
        <w:trPr>
          <w:cantSplit/>
        </w:trPr>
        <w:tc>
          <w:tcPr>
            <w:tcW w:type="dxa" w:w="1895"/>
          </w:tcPr>
          <w:p>
            <w:pPr>
              <w:pStyle w:val="Compact"/>
              <w:spacing w:line="240" w:lineRule="auto" w:after="0"/>
              <w:ind w:firstLine="0"/>
              <w:jc w:val="left"/>
            </w:pPr>
            <w:r>
              <w:rPr>
                <w:rFonts w:ascii="Arial" w:hAnsi="Arial"/>
                <w:b w:val="0"/>
                <w:sz w:val="20"/>
              </w:rPr>
              <w:t xml:space="preserve">CBO: serviços</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0,1517 (0,0007)</w:t>
            </w:r>
          </w:p>
        </w:tc>
      </w:tr>
      <w:tr>
        <w:trPr>
          <w:cantSplit/>
        </w:trPr>
        <w:tc>
          <w:tcPr>
            <w:tcW w:type="dxa" w:w="1895"/>
          </w:tcPr>
          <w:p>
            <w:pPr>
              <w:pStyle w:val="Compact"/>
              <w:spacing w:line="240" w:lineRule="auto" w:after="0"/>
              <w:ind w:firstLine="0"/>
              <w:jc w:val="left"/>
            </w:pPr>
            <w:r>
              <w:rPr>
                <w:rFonts w:ascii="Arial" w:hAnsi="Arial"/>
                <w:b w:val="0"/>
                <w:sz w:val="20"/>
              </w:rPr>
              <w:t xml:space="preserve">CBO: agropecuária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0,0844 (0,0010)</w:t>
            </w:r>
          </w:p>
        </w:tc>
      </w:tr>
      <w:tr>
        <w:trPr>
          <w:cantSplit/>
        </w:trPr>
        <w:tc>
          <w:tcPr>
            <w:tcW w:type="dxa" w:w="1895"/>
          </w:tcPr>
          <w:p>
            <w:pPr>
              <w:pStyle w:val="Compact"/>
              <w:spacing w:line="240" w:lineRule="auto" w:after="0"/>
              <w:ind w:firstLine="0"/>
              <w:jc w:val="left"/>
            </w:pPr>
            <w:r>
              <w:rPr>
                <w:rFonts w:ascii="Arial" w:hAnsi="Arial"/>
                <w:b w:val="0"/>
                <w:sz w:val="20"/>
              </w:rPr>
              <w:t xml:space="preserve">CBO: operário</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0,1839 (0,0008)</w:t>
            </w:r>
          </w:p>
        </w:tc>
      </w:tr>
      <w:tr>
        <w:trPr>
          <w:cantSplit/>
        </w:trPr>
        <w:tc>
          <w:tcPr>
            <w:tcW w:type="dxa" w:w="1895"/>
          </w:tcPr>
          <w:p>
            <w:pPr>
              <w:pStyle w:val="Compact"/>
              <w:spacing w:line="240" w:lineRule="auto" w:after="0"/>
              <w:ind w:firstLine="0"/>
              <w:jc w:val="left"/>
            </w:pPr>
            <w:r>
              <w:rPr>
                <w:rFonts w:ascii="Arial" w:hAnsi="Arial"/>
                <w:b w:val="0"/>
                <w:sz w:val="20"/>
              </w:rPr>
              <w:t xml:space="preserve">CBO: operador</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0,2152 (0,0009)</w:t>
            </w:r>
          </w:p>
        </w:tc>
      </w:tr>
      <w:tr>
        <w:trPr>
          <w:cantSplit/>
        </w:trPr>
        <w:tc>
          <w:tcPr>
            <w:tcW w:type="dxa" w:w="1895"/>
          </w:tcPr>
          <w:p>
            <w:pPr>
              <w:pStyle w:val="Compact"/>
              <w:spacing w:line="240" w:lineRule="auto" w:after="0"/>
              <w:ind w:firstLine="0"/>
              <w:jc w:val="left"/>
            </w:pPr>
            <w:r>
              <w:rPr>
                <w:rFonts w:ascii="Arial" w:hAnsi="Arial"/>
                <w:b w:val="0"/>
                <w:sz w:val="20"/>
              </w:rPr>
              <w:t xml:space="preserve">CBO: FFAA</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w:t>
            </w:r>
          </w:p>
        </w:tc>
        <w:tc>
          <w:tcPr>
            <w:tcW w:type="dxa" w:w="1450"/>
          </w:tcPr>
          <w:p>
            <w:pPr>
              <w:pStyle w:val="Compact"/>
              <w:spacing w:line="240" w:lineRule="auto" w:after="0"/>
              <w:ind w:firstLine="0"/>
              <w:jc w:val="right"/>
            </w:pPr>
            <w:r>
              <w:rPr>
                <w:rFonts w:ascii="Arial" w:hAnsi="Arial"/>
                <w:b w:val="0"/>
                <w:sz w:val="20"/>
              </w:rPr>
              <w:t xml:space="preserve">0,7871 (0,0023)</w:t>
            </w:r>
          </w:p>
        </w:tc>
      </w:tr>
      <w:tr>
        <w:trPr>
          <w:cantSplit/>
        </w:trPr>
        <w:tc>
          <w:tcPr>
            <w:tcW w:type="dxa" w:w="1895"/>
          </w:tcPr>
          <w:p>
            <w:pPr>
              <w:pStyle w:val="Compact"/>
              <w:spacing w:line="240" w:lineRule="auto" w:after="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left"/>
            </w:pPr>
            <w:r>
              <w:rPr>
                <w:rFonts w:ascii="Arial" w:hAnsi="Arial"/>
                <w:b w:val="0"/>
                <w:sz w:val="20"/>
              </w:rPr>
              <w:t xml:space="preserve">[−0,0679; −0,0658]</w:t>
            </w:r>
          </w:p>
        </w:tc>
        <w:tc>
          <w:tcPr>
            <w:tcW w:type="dxa" w:w="1437"/>
          </w:tcPr>
          <w:p>
            <w:pPr>
              <w:pStyle w:val="Compact"/>
              <w:spacing w:line="240" w:lineRule="auto" w:after="0"/>
              <w:ind w:firstLine="0"/>
              <w:jc w:val="left"/>
            </w:pPr>
            <w:r>
              <w:rPr>
                <w:rFonts w:ascii="Arial" w:hAnsi="Arial"/>
                <w:b w:val="0"/>
                <w:sz w:val="20"/>
              </w:rPr>
              <w:t xml:space="preserve">[−0,0647; −0,0627]</w:t>
            </w:r>
          </w:p>
        </w:tc>
        <w:tc>
          <w:tcPr>
            <w:tcW w:type="dxa" w:w="1437"/>
          </w:tcPr>
          <w:p>
            <w:pPr>
              <w:pStyle w:val="Compact"/>
              <w:spacing w:line="240" w:lineRule="auto" w:after="0"/>
              <w:ind w:firstLine="0"/>
              <w:jc w:val="left"/>
            </w:pPr>
            <w:r>
              <w:rPr>
                <w:rFonts w:ascii="Arial" w:hAnsi="Arial"/>
                <w:b w:val="0"/>
                <w:sz w:val="20"/>
              </w:rPr>
              <w:t xml:space="preserve">[−0,0639; −0,0619]</w:t>
            </w:r>
          </w:p>
        </w:tc>
        <w:tc>
          <w:tcPr>
            <w:tcW w:type="dxa" w:w="1450"/>
          </w:tcPr>
          <w:p>
            <w:pPr>
              <w:pStyle w:val="Compact"/>
              <w:spacing w:line="240" w:lineRule="auto" w:after="0"/>
              <w:ind w:firstLine="0"/>
              <w:jc w:val="left"/>
            </w:pPr>
            <w:r>
              <w:rPr>
                <w:rFonts w:ascii="Arial" w:hAnsi="Arial"/>
                <w:b w:val="0"/>
                <w:sz w:val="20"/>
              </w:rPr>
              <w:t xml:space="preserve">[−0,0588; −0,0569]</w:t>
            </w:r>
          </w:p>
        </w:tc>
      </w:tr>
      <w:tr>
        <w:trPr>
          <w:cantSplit/>
        </w:trPr>
        <w:tc>
          <w:tcPr>
            <w:tcW w:type="dxa" w:w="1895"/>
          </w:tcPr>
          <w:p>
            <w:pPr>
              <w:pStyle w:val="Compact"/>
              <w:spacing w:line="240" w:lineRule="auto" w:after="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−6,5</w:t>
            </w:r>
          </w:p>
        </w:tc>
        <w:tc>
          <w:tcPr>
            <w:tcW w:type="dxa" w:w="1437"/>
          </w:tcPr>
          <w:p>
            <w:pPr>
              <w:pStyle w:val="Compact"/>
              <w:spacing w:line="240" w:lineRule="auto" w:after="0"/>
              <w:ind w:firstLine="0"/>
              <w:jc w:val="right"/>
            </w:pPr>
            <w:r>
              <w:rPr>
                <w:rFonts w:ascii="Arial" w:hAnsi="Arial"/>
                <w:b w:val="0"/>
                <w:sz w:val="20"/>
              </w:rPr>
              <w:t xml:space="preserve">−6,2</w:t>
            </w:r>
          </w:p>
        </w:tc>
        <w:tc>
          <w:tcPr>
            <w:tcW w:type="dxa" w:w="1437"/>
          </w:tcPr>
          <w:p>
            <w:pPr>
              <w:pStyle w:val="Compact"/>
              <w:spacing w:line="240" w:lineRule="auto" w:after="0"/>
              <w:ind w:firstLine="0"/>
              <w:jc w:val="right"/>
            </w:pPr>
            <w:r>
              <w:rPr>
                <w:rFonts w:ascii="Arial" w:hAnsi="Arial"/>
                <w:b w:val="0"/>
                <w:sz w:val="20"/>
              </w:rPr>
              <w:t xml:space="preserve">−6,1</w:t>
            </w:r>
          </w:p>
        </w:tc>
        <w:tc>
          <w:tcPr>
            <w:tcW w:type="dxa" w:w="1450"/>
          </w:tcPr>
          <w:p>
            <w:pPr>
              <w:pStyle w:val="Compact"/>
              <w:spacing w:line="240" w:lineRule="auto" w:after="0"/>
              <w:ind w:firstLine="0"/>
              <w:jc w:val="right"/>
            </w:pPr>
            <w:r>
              <w:rPr>
                <w:rFonts w:ascii="Arial" w:hAnsi="Arial"/>
                <w:b w:val="0"/>
                <w:sz w:val="20"/>
              </w:rPr>
              <w:t xml:space="preserve">−5,6</w:t>
            </w:r>
          </w:p>
        </w:tc>
      </w:tr>
      <w:tr>
        <w:trPr>
          <w:cantSplit/>
        </w:trPr>
        <w:tc>
          <w:tcPr>
            <w:tcW w:type="dxa" w:w="1895"/>
          </w:tcPr>
          <w:p>
            <w:pPr>
              <w:pStyle w:val="Compact"/>
              <w:spacing w:line="240" w:lineRule="auto" w:after="0"/>
              <w:ind w:firstLine="0"/>
              <w:jc w:val="left"/>
            </w:pPr>
            <w:r>
              <w:rPr>
                <w:rFonts w:ascii="Arial" w:hAnsi="Arial"/>
                <w:b w:val="0"/>
                <w:sz w:val="20"/>
              </w:rPr>
              <w:t xml:space="preserve">Efeitos fixos de UF</w:t>
            </w:r>
          </w:p>
        </w:tc>
        <w:tc>
          <w:tcPr>
            <w:tcW w:type="dxa" w:w="1415"/>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não</w:t>
            </w:r>
          </w:p>
        </w:tc>
        <w:tc>
          <w:tcPr>
            <w:tcW w:type="dxa" w:w="1437"/>
          </w:tcPr>
          <w:p>
            <w:pPr>
              <w:pStyle w:val="Compact"/>
              <w:spacing w:line="240" w:lineRule="auto" w:after="0"/>
              <w:ind w:firstLine="0"/>
              <w:jc w:val="left"/>
            </w:pPr>
            <w:r>
              <w:rPr>
                <w:rFonts w:ascii="Arial" w:hAnsi="Arial"/>
                <w:b w:val="0"/>
                <w:sz w:val="20"/>
              </w:rPr>
              <w:t xml:space="preserve">sim</w:t>
            </w:r>
          </w:p>
        </w:tc>
        <w:tc>
          <w:tcPr>
            <w:tcW w:type="dxa" w:w="1450"/>
          </w:tcPr>
          <w:p>
            <w:pPr>
              <w:pStyle w:val="Compact"/>
              <w:spacing w:line="240" w:lineRule="auto" w:after="0"/>
              <w:ind w:firstLine="0"/>
              <w:jc w:val="left"/>
            </w:pPr>
            <w:r>
              <w:rPr>
                <w:rFonts w:ascii="Arial" w:hAnsi="Arial"/>
                <w:b w:val="0"/>
                <w:sz w:val="20"/>
              </w:rPr>
              <w:t xml:space="preserve">sim</w:t>
            </w:r>
          </w:p>
        </w:tc>
      </w:tr>
      <w:tr>
        <w:trPr>
          <w:cantSplit/>
        </w:trPr>
        <w:tc>
          <w:tcPr>
            <w:tcW w:type="dxa" w:w="1895"/>
          </w:tcPr>
          <w:p>
            <w:pPr>
              <w:pStyle w:val="Compact"/>
              <w:spacing w:line="240" w:lineRule="auto" w:after="0"/>
              <w:ind w:firstLine="0"/>
              <w:jc w:val="left"/>
            </w:pPr>
          </w:p>
        </w:tc>
        <w:tc>
          <w:tcPr>
            <w:tcW w:type="dxa" w:w="1415"/>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37"/>
          </w:tcPr>
          <w:p>
            <w:pPr>
              <w:pStyle w:val="Compact"/>
              <w:spacing w:line="240" w:lineRule="auto" w:after="0"/>
              <w:ind w:firstLine="0"/>
              <w:jc w:val="left"/>
            </w:pPr>
          </w:p>
        </w:tc>
        <w:tc>
          <w:tcPr>
            <w:tcW w:type="dxa" w:w="1450"/>
          </w:tcPr>
          <w:p>
            <w:pPr>
              <w:pStyle w:val="Compact"/>
              <w:spacing w:line="240" w:lineRule="auto" w:after="0"/>
              <w:ind w:firstLine="0"/>
              <w:jc w:val="left"/>
            </w:pPr>
          </w:p>
        </w:tc>
      </w:tr>
      <w:tr>
        <w:trPr>
          <w:cantSplit/>
        </w:trPr>
        <w:tc>
          <w:tcPr>
            <w:tcW w:type="dxa" w:w="1895"/>
          </w:tcPr>
          <w:p>
            <w:pPr>
              <w:pStyle w:val="Compact"/>
              <w:spacing w:line="240" w:lineRule="auto" w:after="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tcPr>
          <w:p>
            <w:pPr>
              <w:pStyle w:val="Compact"/>
              <w:spacing w:line="240" w:lineRule="auto" w:after="0"/>
              <w:ind w:firstLine="0"/>
              <w:jc w:val="right"/>
            </w:pPr>
            <w:r>
              <w:rPr>
                <w:rFonts w:ascii="Arial" w:hAnsi="Arial"/>
                <w:b w:val="0"/>
                <w:sz w:val="20"/>
              </w:rPr>
              <w:t xml:space="preserve">0,3018</w:t>
            </w:r>
          </w:p>
        </w:tc>
        <w:tc>
          <w:tcPr>
            <w:tcW w:type="dxa" w:w="1437"/>
          </w:tcPr>
          <w:p>
            <w:pPr>
              <w:pStyle w:val="Compact"/>
              <w:spacing w:line="240" w:lineRule="auto" w:after="0"/>
              <w:ind w:firstLine="0"/>
              <w:jc w:val="right"/>
            </w:pPr>
            <w:r>
              <w:rPr>
                <w:rFonts w:ascii="Arial" w:hAnsi="Arial"/>
                <w:b w:val="0"/>
                <w:sz w:val="20"/>
              </w:rPr>
              <w:t xml:space="preserve">0,1012</w:t>
            </w:r>
          </w:p>
        </w:tc>
        <w:tc>
          <w:tcPr>
            <w:tcW w:type="dxa" w:w="1437"/>
          </w:tcPr>
          <w:p>
            <w:pPr>
              <w:pStyle w:val="Compact"/>
              <w:spacing w:line="240" w:lineRule="auto" w:after="0"/>
              <w:ind w:firstLine="0"/>
              <w:jc w:val="right"/>
            </w:pPr>
            <w:r>
              <w:rPr>
                <w:rFonts w:ascii="Arial" w:hAnsi="Arial"/>
                <w:b w:val="0"/>
                <w:sz w:val="20"/>
              </w:rPr>
              <w:t xml:space="preserve">0,0454</w:t>
            </w:r>
          </w:p>
        </w:tc>
        <w:tc>
          <w:tcPr>
            <w:tcW w:type="dxa" w:w="1437"/>
          </w:tcPr>
          <w:p>
            <w:pPr>
              <w:pStyle w:val="Compact"/>
              <w:spacing w:line="240" w:lineRule="auto" w:after="0"/>
              <w:ind w:firstLine="0"/>
              <w:jc w:val="right"/>
            </w:pPr>
            <w:r>
              <w:rPr>
                <w:rFonts w:ascii="Arial" w:hAnsi="Arial"/>
                <w:b w:val="0"/>
                <w:sz w:val="20"/>
              </w:rPr>
              <w:t xml:space="preserve">0,0297</w:t>
            </w:r>
          </w:p>
        </w:tc>
        <w:tc>
          <w:tcPr>
            <w:tcW w:type="dxa" w:w="1450"/>
          </w:tcPr>
          <w:p>
            <w:pPr>
              <w:pStyle w:val="Compact"/>
              <w:spacing w:line="240" w:lineRule="auto" w:after="0"/>
              <w:ind w:firstLine="0"/>
              <w:jc w:val="right"/>
            </w:pPr>
            <w:r>
              <w:rPr>
                <w:rFonts w:ascii="Arial" w:hAnsi="Arial"/>
                <w:b w:val="0"/>
                <w:sz w:val="20"/>
              </w:rPr>
              <w:t xml:space="preserve">0,0263</w:t>
            </w:r>
          </w:p>
        </w:tc>
      </w:tr>
      <w:tr>
        <w:trPr>
          <w:cantSplit/>
        </w:trPr>
        <w:tc>
          <w:tcPr>
            <w:tcW w:type="dxa" w:w="1895"/>
          </w:tcPr>
          <w:p>
            <w:pPr>
              <w:pStyle w:val="Compact"/>
              <w:spacing w:line="240" w:lineRule="auto" w:after="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tcPr>
          <w:p>
            <w:pPr>
              <w:pStyle w:val="Compact"/>
              <w:spacing w:line="240" w:lineRule="auto" w:after="0"/>
              <w:ind w:firstLine="0"/>
              <w:jc w:val="right"/>
            </w:pPr>
            <w:r>
              <w:rPr>
                <w:rFonts w:ascii="Arial" w:hAnsi="Arial"/>
                <w:b w:val="0"/>
                <w:sz w:val="20"/>
              </w:rPr>
              <w:t xml:space="preserve">0,5524</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0,3619</w:t>
            </w:r>
          </w:p>
        </w:tc>
        <w:tc>
          <w:tcPr>
            <w:tcW w:type="dxa" w:w="1437"/>
          </w:tcPr>
          <w:p>
            <w:pPr>
              <w:pStyle w:val="Compact"/>
              <w:spacing w:line="240" w:lineRule="auto" w:after="0"/>
              <w:ind w:firstLine="0"/>
              <w:jc w:val="right"/>
            </w:pPr>
            <w:r>
              <w:rPr>
                <w:rFonts w:ascii="Arial" w:hAnsi="Arial"/>
                <w:b w:val="0"/>
                <w:sz w:val="20"/>
              </w:rPr>
              <w:t xml:space="preserve">0,3620</w:t>
            </w:r>
          </w:p>
        </w:tc>
        <w:tc>
          <w:tcPr>
            <w:tcW w:type="dxa" w:w="1450"/>
          </w:tcPr>
          <w:p>
            <w:pPr>
              <w:pStyle w:val="Compact"/>
              <w:spacing w:line="240" w:lineRule="auto" w:after="0"/>
              <w:ind w:firstLine="0"/>
              <w:jc w:val="right"/>
            </w:pPr>
            <w:r>
              <w:rPr>
                <w:rFonts w:ascii="Arial" w:hAnsi="Arial"/>
                <w:b w:val="0"/>
                <w:sz w:val="20"/>
              </w:rPr>
              <w:t xml:space="preserve">0,3237</w:t>
            </w:r>
          </w:p>
        </w:tc>
      </w:tr>
      <w:tr>
        <w:trPr>
          <w:cantSplit/>
        </w:trPr>
        <w:tc>
          <w:tcPr>
            <w:tcW w:type="dxa" w:w="1895"/>
          </w:tcPr>
          <w:p>
            <w:pPr>
              <w:pStyle w:val="Compact"/>
              <w:spacing w:line="240" w:lineRule="auto" w:after="0"/>
              <w:ind w:firstLine="0"/>
              <w:jc w:val="left"/>
            </w:pPr>
            <w:r>
              <w:rPr>
                <w:rFonts w:ascii="Arial" w:hAnsi="Arial"/>
                <w:b w:val="0"/>
                <w:sz w:val="20"/>
              </w:rPr>
              <w:t xml:space="preserve">ICC</w:t>
            </w:r>
            <m:oMath>
              <m:sSub>
                <m:e>
                  <m:r>
                    <m:t>​</m:t>
                  </m:r>
                </m:e>
                <m:sub>
                  <m:r>
                    <m:rPr>
                      <m:nor/>
                      <m:sty m:val="p"/>
                    </m:rPr>
                    <m:t>UPA</m:t>
                  </m:r>
                </m:sub>
              </m:sSub>
            </m:oMath>
          </w:p>
        </w:tc>
        <w:tc>
          <w:tcPr>
            <w:tcW w:type="dxa" w:w="1415"/>
          </w:tcPr>
          <w:p>
            <w:pPr>
              <w:pStyle w:val="Compact"/>
              <w:spacing w:line="240" w:lineRule="auto" w:after="0"/>
              <w:ind w:firstLine="0"/>
              <w:jc w:val="right"/>
            </w:pPr>
            <w:r>
              <w:rPr>
                <w:rFonts w:ascii="Arial" w:hAnsi="Arial"/>
                <w:b w:val="0"/>
                <w:sz w:val="20"/>
              </w:rPr>
              <w:t xml:space="preserve">0,353</w:t>
            </w:r>
          </w:p>
        </w:tc>
        <w:tc>
          <w:tcPr>
            <w:tcW w:type="dxa" w:w="1437"/>
          </w:tcPr>
          <w:p>
            <w:pPr>
              <w:pStyle w:val="Compact"/>
              <w:spacing w:line="240" w:lineRule="auto" w:after="0"/>
              <w:ind w:firstLine="0"/>
              <w:jc w:val="right"/>
            </w:pPr>
            <w:r>
              <w:rPr>
                <w:rFonts w:ascii="Arial" w:hAnsi="Arial"/>
                <w:b w:val="0"/>
                <w:sz w:val="20"/>
              </w:rPr>
              <w:t xml:space="preserve">0,219</w:t>
            </w:r>
          </w:p>
        </w:tc>
        <w:tc>
          <w:tcPr>
            <w:tcW w:type="dxa" w:w="1437"/>
          </w:tcPr>
          <w:p>
            <w:pPr>
              <w:pStyle w:val="Compact"/>
              <w:spacing w:line="240" w:lineRule="auto" w:after="0"/>
              <w:ind w:firstLine="0"/>
              <w:jc w:val="right"/>
            </w:pPr>
            <w:r>
              <w:rPr>
                <w:rFonts w:ascii="Arial" w:hAnsi="Arial"/>
                <w:b w:val="0"/>
                <w:sz w:val="20"/>
              </w:rPr>
              <w:t xml:space="preserve">0,111</w:t>
            </w:r>
          </w:p>
        </w:tc>
        <w:tc>
          <w:tcPr>
            <w:tcW w:type="dxa" w:w="1437"/>
          </w:tcPr>
          <w:p>
            <w:pPr>
              <w:pStyle w:val="Compact"/>
              <w:spacing w:line="240" w:lineRule="auto" w:after="0"/>
              <w:ind w:firstLine="0"/>
              <w:jc w:val="right"/>
            </w:pPr>
            <w:r>
              <w:rPr>
                <w:rFonts w:ascii="Arial" w:hAnsi="Arial"/>
                <w:b w:val="0"/>
                <w:sz w:val="20"/>
              </w:rPr>
              <w:t xml:space="preserve">0,076</w:t>
            </w:r>
          </w:p>
        </w:tc>
        <w:tc>
          <w:tcPr>
            <w:tcW w:type="dxa" w:w="1450"/>
          </w:tcPr>
          <w:p>
            <w:pPr>
              <w:pStyle w:val="Compact"/>
              <w:spacing w:line="240" w:lineRule="auto" w:after="0"/>
              <w:ind w:firstLine="0"/>
              <w:jc w:val="right"/>
            </w:pPr>
            <w:r>
              <w:rPr>
                <w:rFonts w:ascii="Arial" w:hAnsi="Arial"/>
                <w:b w:val="0"/>
                <w:sz w:val="20"/>
              </w:rPr>
              <w:t xml:space="preserve">0,075</w:t>
            </w:r>
          </w:p>
        </w:tc>
      </w:tr>
      <w:tr>
        <w:trPr>
          <w:cantSplit/>
        </w:trPr>
        <w:tc>
          <w:tcPr>
            <w:tcW w:type="dxa" w:w="1895"/>
          </w:tcPr>
          <w:p>
            <w:pPr>
              <w:pStyle w:val="Compact"/>
              <w:spacing w:line="240" w:lineRule="auto" w:after="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66,5</w:t>
            </w:r>
          </w:p>
        </w:tc>
        <w:tc>
          <w:tcPr>
            <w:tcW w:type="dxa" w:w="1437"/>
          </w:tcPr>
          <w:p>
            <w:pPr>
              <w:pStyle w:val="Compact"/>
              <w:spacing w:line="240" w:lineRule="auto" w:after="0"/>
              <w:ind w:firstLine="0"/>
              <w:jc w:val="right"/>
            </w:pPr>
            <w:r>
              <w:rPr>
                <w:rFonts w:ascii="Arial" w:hAnsi="Arial"/>
                <w:b w:val="0"/>
                <w:sz w:val="20"/>
              </w:rPr>
              <w:t xml:space="preserve">85,0</w:t>
            </w:r>
          </w:p>
        </w:tc>
        <w:tc>
          <w:tcPr>
            <w:tcW w:type="dxa" w:w="1437"/>
          </w:tcPr>
          <w:p>
            <w:pPr>
              <w:pStyle w:val="Compact"/>
              <w:spacing w:line="240" w:lineRule="auto" w:after="0"/>
              <w:ind w:firstLine="0"/>
              <w:jc w:val="right"/>
            </w:pPr>
            <w:r>
              <w:rPr>
                <w:rFonts w:ascii="Arial" w:hAnsi="Arial"/>
                <w:b w:val="0"/>
                <w:sz w:val="20"/>
              </w:rPr>
              <w:t xml:space="preserve">90,1</w:t>
            </w:r>
          </w:p>
        </w:tc>
        <w:tc>
          <w:tcPr>
            <w:tcW w:type="dxa" w:w="1450"/>
          </w:tcPr>
          <w:p>
            <w:pPr>
              <w:pStyle w:val="Compact"/>
              <w:spacing w:line="240" w:lineRule="auto" w:after="0"/>
              <w:ind w:firstLine="0"/>
              <w:jc w:val="right"/>
            </w:pPr>
            <w:r>
              <w:rPr>
                <w:rFonts w:ascii="Arial" w:hAnsi="Arial"/>
                <w:b w:val="0"/>
                <w:sz w:val="20"/>
              </w:rPr>
              <w:t xml:space="preserve">91,3</w:t>
            </w:r>
          </w:p>
        </w:tc>
      </w:tr>
      <w:tr>
        <w:trPr>
          <w:cantSplit/>
        </w:trPr>
        <w:tc>
          <w:tcPr>
            <w:tcW w:type="dxa" w:w="1895"/>
          </w:tcPr>
          <w:p>
            <w:pPr>
              <w:pStyle w:val="Compact"/>
              <w:spacing w:line="240" w:lineRule="auto" w:after="0"/>
              <w:ind w:firstLine="0"/>
              <w:jc w:val="left"/>
            </w:pPr>
            <w:r>
              <w:rPr>
                <w:rFonts w:ascii="Arial" w:hAnsi="Arial"/>
                <w:b w:val="0"/>
                <w:sz w:val="20"/>
              </w:rPr>
              <w:t xml:space="preserve">−2 LL (deviance)</w:t>
            </w:r>
          </w:p>
        </w:tc>
        <w:tc>
          <w:tcPr>
            <w:tcW w:type="dxa" w:w="1415"/>
          </w:tcPr>
          <w:p>
            <w:pPr>
              <w:pStyle w:val="Compact"/>
              <w:spacing w:line="240" w:lineRule="auto" w:after="0"/>
              <w:ind w:firstLine="0"/>
              <w:jc w:val="right"/>
            </w:pPr>
            <w:r>
              <w:rPr>
                <w:rFonts w:ascii="Arial" w:hAnsi="Arial"/>
                <w:b w:val="0"/>
                <w:sz w:val="20"/>
              </w:rPr>
              <w:t xml:space="preserve">17.439.754</w:t>
            </w:r>
          </w:p>
        </w:tc>
        <w:tc>
          <w:tcPr>
            <w:tcW w:type="dxa" w:w="1437"/>
          </w:tcPr>
          <w:p>
            <w:pPr>
              <w:pStyle w:val="Compact"/>
              <w:spacing w:line="240" w:lineRule="auto" w:after="0"/>
              <w:ind w:firstLine="0"/>
              <w:jc w:val="right"/>
            </w:pPr>
            <w:r>
              <w:rPr>
                <w:rFonts w:ascii="Arial" w:hAnsi="Arial"/>
                <w:b w:val="0"/>
                <w:sz w:val="20"/>
              </w:rPr>
              <w:t xml:space="preserve">14.160.374</w:t>
            </w:r>
          </w:p>
        </w:tc>
        <w:tc>
          <w:tcPr>
            <w:tcW w:type="dxa" w:w="1437"/>
          </w:tcPr>
          <w:p>
            <w:pPr>
              <w:pStyle w:val="Compact"/>
              <w:spacing w:line="240" w:lineRule="auto" w:after="0"/>
              <w:ind w:firstLine="0"/>
              <w:jc w:val="right"/>
            </w:pPr>
            <w:r>
              <w:rPr>
                <w:rFonts w:ascii="Arial" w:hAnsi="Arial"/>
                <w:b w:val="0"/>
                <w:sz w:val="20"/>
              </w:rPr>
              <w:t xml:space="preserve">14.130.562</w:t>
            </w:r>
          </w:p>
        </w:tc>
        <w:tc>
          <w:tcPr>
            <w:tcW w:type="dxa" w:w="1437"/>
          </w:tcPr>
          <w:p>
            <w:pPr>
              <w:pStyle w:val="Compact"/>
              <w:spacing w:line="240" w:lineRule="auto" w:after="0"/>
              <w:ind w:firstLine="0"/>
              <w:jc w:val="right"/>
            </w:pPr>
            <w:r>
              <w:rPr>
                <w:rFonts w:ascii="Arial" w:hAnsi="Arial"/>
                <w:b w:val="0"/>
                <w:sz w:val="20"/>
              </w:rPr>
              <w:t xml:space="preserve">14.115.850</w:t>
            </w:r>
          </w:p>
        </w:tc>
        <w:tc>
          <w:tcPr>
            <w:tcW w:type="dxa" w:w="1450"/>
          </w:tcPr>
          <w:p>
            <w:pPr>
              <w:pStyle w:val="Compact"/>
              <w:spacing w:line="240" w:lineRule="auto" w:after="0"/>
              <w:ind w:firstLine="0"/>
              <w:jc w:val="right"/>
            </w:pPr>
            <w:r>
              <w:rPr>
                <w:rFonts w:ascii="Arial" w:hAnsi="Arial"/>
                <w:b w:val="0"/>
                <w:sz w:val="20"/>
              </w:rPr>
              <w:t xml:space="preserve">13.255.146</w:t>
            </w:r>
          </w:p>
        </w:tc>
      </w:tr>
      <w:tr>
        <w:trPr>
          <w:cantSplit/>
        </w:trPr>
        <w:tc>
          <w:tcPr>
            <w:tcW w:type="dxa" w:w="1895"/>
          </w:tcPr>
          <w:p>
            <w:pPr>
              <w:pStyle w:val="Compact"/>
              <w:spacing w:line="240" w:lineRule="auto" w:after="0"/>
              <w:ind w:firstLine="0"/>
              <w:jc w:val="left"/>
            </w:pPr>
            <w:r>
              <w:rPr>
                <w:rFonts w:ascii="Arial" w:hAnsi="Arial"/>
                <w:b w:val="0"/>
                <w:sz w:val="20"/>
              </w:rPr>
              <w:t xml:space="preserve">AIC</w:t>
            </w:r>
          </w:p>
        </w:tc>
        <w:tc>
          <w:tcPr>
            <w:tcW w:type="dxa" w:w="1415"/>
          </w:tcPr>
          <w:p>
            <w:pPr>
              <w:pStyle w:val="Compact"/>
              <w:spacing w:line="240" w:lineRule="auto" w:after="0"/>
              <w:ind w:firstLine="0"/>
              <w:jc w:val="right"/>
            </w:pPr>
            <w:r>
              <w:rPr>
                <w:rFonts w:ascii="Arial" w:hAnsi="Arial"/>
                <w:b w:val="0"/>
                <w:sz w:val="20"/>
              </w:rPr>
              <w:t xml:space="preserve">17.439.760</w:t>
            </w:r>
          </w:p>
        </w:tc>
        <w:tc>
          <w:tcPr>
            <w:tcW w:type="dxa" w:w="1437"/>
          </w:tcPr>
          <w:p>
            <w:pPr>
              <w:pStyle w:val="Compact"/>
              <w:spacing w:line="240" w:lineRule="auto" w:after="0"/>
              <w:ind w:firstLine="0"/>
              <w:jc w:val="right"/>
            </w:pPr>
            <w:r>
              <w:rPr>
                <w:rFonts w:ascii="Arial" w:hAnsi="Arial"/>
                <w:b w:val="0"/>
                <w:sz w:val="20"/>
              </w:rPr>
              <w:t xml:space="preserve">14.160.418</w:t>
            </w:r>
          </w:p>
        </w:tc>
        <w:tc>
          <w:tcPr>
            <w:tcW w:type="dxa" w:w="1437"/>
          </w:tcPr>
          <w:p>
            <w:pPr>
              <w:pStyle w:val="Compact"/>
              <w:spacing w:line="240" w:lineRule="auto" w:after="0"/>
              <w:ind w:firstLine="0"/>
              <w:jc w:val="right"/>
            </w:pPr>
            <w:r>
              <w:rPr>
                <w:rFonts w:ascii="Arial" w:hAnsi="Arial"/>
                <w:b w:val="0"/>
                <w:sz w:val="20"/>
              </w:rPr>
              <w:t xml:space="preserve">14.130.612</w:t>
            </w:r>
          </w:p>
        </w:tc>
        <w:tc>
          <w:tcPr>
            <w:tcW w:type="dxa" w:w="1437"/>
          </w:tcPr>
          <w:p>
            <w:pPr>
              <w:pStyle w:val="Compact"/>
              <w:spacing w:line="240" w:lineRule="auto" w:after="0"/>
              <w:ind w:firstLine="0"/>
              <w:jc w:val="right"/>
            </w:pPr>
            <w:r>
              <w:rPr>
                <w:rFonts w:ascii="Arial" w:hAnsi="Arial"/>
                <w:b w:val="0"/>
                <w:sz w:val="20"/>
              </w:rPr>
              <w:t xml:space="preserve">14.115.952</w:t>
            </w:r>
          </w:p>
        </w:tc>
        <w:tc>
          <w:tcPr>
            <w:tcW w:type="dxa" w:w="1450"/>
          </w:tcPr>
          <w:p>
            <w:pPr>
              <w:pStyle w:val="Compact"/>
              <w:spacing w:line="240" w:lineRule="auto" w:after="0"/>
              <w:ind w:firstLine="0"/>
              <w:jc w:val="right"/>
            </w:pPr>
            <w:r>
              <w:rPr>
                <w:rFonts w:ascii="Arial" w:hAnsi="Arial"/>
                <w:b w:val="0"/>
                <w:sz w:val="20"/>
              </w:rPr>
              <w:t xml:space="preserve">13.255.272</w:t>
            </w:r>
          </w:p>
        </w:tc>
      </w:tr>
      <w:tr>
        <w:trPr>
          <w:cantSplit/>
        </w:trPr>
        <w:tc>
          <w:tcPr>
            <w:tcW w:type="dxa" w:w="1895"/>
          </w:tcPr>
          <w:p>
            <w:pPr>
              <w:pStyle w:val="Compact"/>
              <w:spacing w:line="240" w:lineRule="auto" w:after="0"/>
              <w:ind w:firstLine="0"/>
              <w:jc w:val="left"/>
            </w:pPr>
            <w:r>
              <w:rPr>
                <w:rFonts w:ascii="Arial" w:hAnsi="Arial"/>
                <w:b w:val="0"/>
                <w:sz w:val="20"/>
              </w:rPr>
              <w:t xml:space="preserve">BIC</w:t>
            </w:r>
          </w:p>
        </w:tc>
        <w:tc>
          <w:tcPr>
            <w:tcW w:type="dxa" w:w="1415"/>
          </w:tcPr>
          <w:p>
            <w:pPr>
              <w:pStyle w:val="Compact"/>
              <w:spacing w:line="240" w:lineRule="auto" w:after="0"/>
              <w:ind w:firstLine="0"/>
              <w:jc w:val="right"/>
            </w:pPr>
            <w:r>
              <w:rPr>
                <w:rFonts w:ascii="Arial" w:hAnsi="Arial"/>
                <w:b w:val="0"/>
                <w:sz w:val="20"/>
              </w:rPr>
              <w:t xml:space="preserve">17.439.802</w:t>
            </w:r>
          </w:p>
        </w:tc>
        <w:tc>
          <w:tcPr>
            <w:tcW w:type="dxa" w:w="1437"/>
          </w:tcPr>
          <w:p>
            <w:pPr>
              <w:pStyle w:val="Compact"/>
              <w:spacing w:line="240" w:lineRule="auto" w:after="0"/>
              <w:ind w:firstLine="0"/>
              <w:jc w:val="right"/>
            </w:pPr>
            <w:r>
              <w:rPr>
                <w:rFonts w:ascii="Arial" w:hAnsi="Arial"/>
                <w:b w:val="0"/>
                <w:sz w:val="20"/>
              </w:rPr>
              <w:t xml:space="preserve">14.160.722</w:t>
            </w:r>
          </w:p>
        </w:tc>
        <w:tc>
          <w:tcPr>
            <w:tcW w:type="dxa" w:w="1437"/>
          </w:tcPr>
          <w:p>
            <w:pPr>
              <w:pStyle w:val="Compact"/>
              <w:spacing w:line="240" w:lineRule="auto" w:after="0"/>
              <w:ind w:firstLine="0"/>
              <w:jc w:val="right"/>
            </w:pPr>
            <w:r>
              <w:rPr>
                <w:rFonts w:ascii="Arial" w:hAnsi="Arial"/>
                <w:b w:val="0"/>
                <w:sz w:val="20"/>
              </w:rPr>
              <w:t xml:space="preserve">14.130.959</w:t>
            </w:r>
          </w:p>
        </w:tc>
        <w:tc>
          <w:tcPr>
            <w:tcW w:type="dxa" w:w="1437"/>
          </w:tcPr>
          <w:p>
            <w:pPr>
              <w:pStyle w:val="Compact"/>
              <w:spacing w:line="240" w:lineRule="auto" w:after="0"/>
              <w:ind w:firstLine="0"/>
              <w:jc w:val="right"/>
            </w:pPr>
            <w:r>
              <w:rPr>
                <w:rFonts w:ascii="Arial" w:hAnsi="Arial"/>
                <w:b w:val="0"/>
                <w:sz w:val="20"/>
              </w:rPr>
              <w:t xml:space="preserve">14.116.659</w:t>
            </w:r>
          </w:p>
        </w:tc>
        <w:tc>
          <w:tcPr>
            <w:tcW w:type="dxa" w:w="1450"/>
          </w:tcPr>
          <w:p>
            <w:pPr>
              <w:pStyle w:val="Compact"/>
              <w:spacing w:line="240" w:lineRule="auto" w:after="0"/>
              <w:ind w:firstLine="0"/>
              <w:jc w:val="right"/>
            </w:pPr>
            <w:r>
              <w:rPr>
                <w:rFonts w:ascii="Arial" w:hAnsi="Arial"/>
                <w:b w:val="0"/>
                <w:sz w:val="20"/>
              </w:rPr>
              <w:t xml:space="preserve">13.256.145</w:t>
            </w:r>
          </w:p>
        </w:tc>
      </w:tr>
      <w:tr>
        <w:trPr>
          <w:cantSplit/>
        </w:trPr>
        <w:tc>
          <w:tcPr>
            <w:tcW w:type="dxa" w:w="1895"/>
          </w:tcPr>
          <w:p>
            <w:pPr>
              <w:pStyle w:val="Compact"/>
              <w:spacing w:line="240" w:lineRule="auto" w:after="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tcPr>
          <w:p>
            <w:pPr>
              <w:pStyle w:val="Compact"/>
              <w:spacing w:line="240" w:lineRule="auto" w:after="0"/>
              <w:ind w:firstLine="0"/>
              <w:jc w:val="left"/>
            </w:pPr>
            <w:r>
              <w:rPr>
                <w:rFonts w:ascii="Arial" w:hAnsi="Arial"/>
                <w:b w:val="0"/>
                <w:sz w:val="20"/>
              </w:rPr>
              <w:t xml:space="preserve">—</w:t>
            </w:r>
          </w:p>
        </w:tc>
        <w:tc>
          <w:tcPr>
            <w:tcW w:type="dxa" w:w="1437"/>
          </w:tcPr>
          <w:p>
            <w:pPr>
              <w:pStyle w:val="Compact"/>
              <w:spacing w:line="240" w:lineRule="auto" w:after="0"/>
              <w:ind w:firstLine="0"/>
              <w:jc w:val="right"/>
            </w:pPr>
            <w:r>
              <w:rPr>
                <w:rFonts w:ascii="Arial" w:hAnsi="Arial"/>
                <w:b w:val="0"/>
                <w:sz w:val="20"/>
              </w:rPr>
              <w:t xml:space="preserve">3.279.380 (19)</w:t>
            </w:r>
          </w:p>
        </w:tc>
        <w:tc>
          <w:tcPr>
            <w:tcW w:type="dxa" w:w="1437"/>
          </w:tcPr>
          <w:p>
            <w:pPr>
              <w:pStyle w:val="Compact"/>
              <w:spacing w:line="240" w:lineRule="auto" w:after="0"/>
              <w:ind w:firstLine="0"/>
              <w:jc w:val="right"/>
            </w:pPr>
            <w:r>
              <w:rPr>
                <w:rFonts w:ascii="Arial" w:hAnsi="Arial"/>
                <w:b w:val="0"/>
                <w:sz w:val="20"/>
              </w:rPr>
              <w:t xml:space="preserve">29.811 (3)</w:t>
            </w:r>
          </w:p>
        </w:tc>
        <w:tc>
          <w:tcPr>
            <w:tcW w:type="dxa" w:w="1437"/>
          </w:tcPr>
          <w:p>
            <w:pPr>
              <w:pStyle w:val="Compact"/>
              <w:spacing w:line="240" w:lineRule="auto" w:after="0"/>
              <w:ind w:firstLine="0"/>
              <w:jc w:val="right"/>
            </w:pPr>
            <w:r>
              <w:rPr>
                <w:rFonts w:ascii="Arial" w:hAnsi="Arial"/>
                <w:b w:val="0"/>
                <w:sz w:val="20"/>
              </w:rPr>
              <w:t xml:space="preserve">14.712 (26)</w:t>
            </w:r>
          </w:p>
        </w:tc>
        <w:tc>
          <w:tcPr>
            <w:tcW w:type="dxa" w:w="1450"/>
          </w:tcPr>
          <w:p>
            <w:pPr>
              <w:pStyle w:val="Compact"/>
              <w:spacing w:line="240" w:lineRule="auto" w:after="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tcPr>
          <w:p>
            <w:pPr>
              <w:pStyle w:val="Compact"/>
              <w:spacing w:line="240" w:lineRule="auto" w:after="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37"/>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c>
          <w:tcPr>
            <w:tcW w:type="dxa" w:w="1450"/>
            <w:tcBorders>
              <w:top w:val="nil"/>
              <w:left w:val="nil"/>
              <w:bottom w:val="single" w:sz="8" w:color="000000"/>
              <w:right w:val="nil"/>
            </w:tcBorders>
          </w:tcPr>
          <w:p>
            <w:pPr>
              <w:pStyle w:val="Compact"/>
              <w:spacing w:line="240" w:lineRule="auto" w:after="0"/>
              <w:ind w:firstLine="0"/>
              <w:jc w:val="left"/>
            </w:pPr>
            <w:r>
              <w:rPr>
                <w:rFonts w:ascii="Arial" w:hAnsi="Arial"/>
                <w:b w:val="0"/>
                <w:sz w:val="20"/>
              </w:rPr>
              <w:t xml:space="preserve">&lt;0,001</w:t>
            </w:r>
          </w:p>
        </w:tc>
      </w:tr>
    </w:tbl>
    <w:bookmarkEnd w:id="5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after="240" w:before="0"/>
        <w:ind w:firstLine="0"/>
        <w:jc w:val="both"/>
      </w:pPr>
      <w:r>
        <w:rPr>
          <w:rFonts w:ascii="Arial" w:hAnsi="Arial"/>
          <w:sz w:val="22"/>
        </w:rPr>
        <w:t>Nota: Inclinação aleatória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 (M3 +</w:t>
      </w:r>
      <w:r>
        <w:rPr>
          <w:rFonts w:ascii="Arial" w:hAnsi="Arial"/>
          <w:sz w:val="22"/>
        </w:rPr>
        <w:t xml:space="preserve"> </w:t>
      </w:r>
      <m:oMath>
        <m:sSub>
          <m:e>
            <m:r>
              <m:t>u</m:t>
            </m:r>
          </m:e>
          <m:sub>
            <m:r>
              <m:t>1</m:t>
            </m:r>
            <m:r>
              <m:t>j</m:t>
            </m:r>
          </m:sub>
        </m:sSub>
      </m:oMath>
      <w:r>
        <w:rPr>
          <w:rFonts w:ascii="Arial" w:hAnsi="Arial"/>
          <w:sz w:val="22"/>
        </w:rPr>
        <w:t xml:space="preserve">):</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 xml:space="preserve">(DP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 xml:space="preserve">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xml:space="preserve">;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 xml:space="preserve">(2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t xml:space="preserve">.</w:t>
      </w:r>
    </w:p>
    <w:bookmarkEnd w:id="56"/>
    <w:bookmarkStart w:id="62"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 xml:space="preserve">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7"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t>
      </w:r>
      <w:r>
        <w:rPr>
          <w:rFonts w:ascii="Arial" w:hAnsi="Arial"/>
          <w:sz w:val="22"/>
        </w:rPr>
        <w:t xml:space="preserve">(HLM de dois níveis, indivíduos em UPA, com efeitos fixos de UF; PNAD Contínua</w:t>
      </w:r>
      <w:r>
        <w:rPr>
          <w:rFonts w:ascii="Arial" w:hAnsi="Arial"/>
          <w:sz w:val="22"/>
        </w:rPr>
        <w:t xml:space="preserve"> </w:t>
      </w:r>
      <w:r>
        <w:rPr>
          <w:rFonts w:ascii="Arial" w:hAnsi="Arial"/>
          <w:sz w:val="22"/>
        </w:rPr>
        <w:t xml:space="preserve">2016–2025, população completa). Cada linha</w:t>
      </w:r>
      <w:r>
        <w:rPr>
          <w:rFonts w:ascii="Arial" w:hAnsi="Arial"/>
          <w:sz w:val="22"/>
        </w:rPr>
        <w:t xml:space="preserve"> </w:t>
      </w:r>
      <w:r>
        <w:rPr>
          <w:rFonts w:ascii="Arial" w:hAnsi="Arial"/>
          <w:sz w:val="22"/>
        </w:rPr>
        <w:t xml:space="preserve">acrescenta um bloco de controles ao anterior; à medida que se adiciona contexto e ocupação,</w:t>
      </w:r>
      <w:r>
        <w:rPr>
          <w:rFonts w:ascii="Arial" w:hAnsi="Arial"/>
          <w:sz w:val="22"/>
        </w:rPr>
        <w:t xml:space="preserve"> </w:t>
      </w:r>
      <w:r>
        <w:rPr>
          <w:rFonts w:ascii="Arial" w:hAnsi="Arial"/>
          <w:sz w:val="22"/>
        </w:rPr>
        <w:t xml:space="preserve">o gap encolhe e a mediação acumulada cresce.</w:t>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tcPr>
          <w:p>
            <w:pPr>
              <w:pStyle w:val="Compact"/>
              <w:keepNext/>
              <w:spacing w:line="240" w:lineRule="auto" w:after="0"/>
              <w:ind w:firstLine="0"/>
              <w:jc w:val="left"/>
            </w:pPr>
            <w:r>
              <w:rPr>
                <w:rFonts w:ascii="Arial" w:hAnsi="Arial"/>
                <w:b w:val="0"/>
                <w:sz w:val="22"/>
              </w:rPr>
              <w:t xml:space="preserve">Agregado: individual + UF, sem efeito de bairro (OLS)</w:t>
            </w:r>
          </w:p>
        </w:tc>
        <w:tc>
          <w:tcPr>
            <w:tcW w:type="dxa" w:w="1471"/>
          </w:tcPr>
          <w:p>
            <w:pPr>
              <w:pStyle w:val="Compact"/>
              <w:keepNext/>
              <w:spacing w:line="240" w:lineRule="auto" w:after="0"/>
              <w:ind w:firstLine="0"/>
              <w:jc w:val="right"/>
            </w:pPr>
            <w:r>
              <w:rPr>
                <w:rFonts w:ascii="Arial" w:hAnsi="Arial"/>
                <w:b w:val="0"/>
                <w:sz w:val="22"/>
              </w:rPr>
              <w:t xml:space="preserve">−0,1104</w:t>
            </w:r>
          </w:p>
        </w:tc>
        <w:tc>
          <w:tcPr>
            <w:tcW w:type="dxa" w:w="1056"/>
          </w:tcPr>
          <w:p>
            <w:pPr>
              <w:pStyle w:val="Compact"/>
              <w:keepNext/>
              <w:spacing w:line="240" w:lineRule="auto" w:after="0"/>
              <w:ind w:firstLine="0"/>
              <w:jc w:val="right"/>
            </w:pPr>
            <w:r>
              <w:rPr>
                <w:rFonts w:ascii="Arial" w:hAnsi="Arial"/>
                <w:b w:val="0"/>
                <w:sz w:val="22"/>
              </w:rPr>
              <w:t xml:space="preserve">−10,5</w:t>
            </w:r>
          </w:p>
        </w:tc>
        <w:tc>
          <w:tcPr>
            <w:tcW w:type="dxa" w:w="1276"/>
          </w:tcPr>
          <w:p>
            <w:pPr>
              <w:pStyle w:val="Compact"/>
              <w:keepNext/>
              <w:spacing w:line="240" w:lineRule="auto" w:after="0"/>
              <w:ind w:firstLine="0"/>
              <w:jc w:val="left"/>
            </w:pPr>
            <w:r>
              <w:rPr>
                <w:rFonts w:ascii="Arial" w:hAnsi="Arial"/>
                <w:b w:val="0"/>
                <w:sz w:val="22"/>
              </w:rPr>
              <w:t xml:space="preserve">—</w:t>
            </w:r>
          </w:p>
        </w:tc>
      </w:tr>
      <w:tr>
        <w:trPr>
          <w:cantSplit/>
        </w:trPr>
        <w:tc>
          <w:tcPr>
            <w:tcW w:type="dxa" w:w="5268"/>
          </w:tcPr>
          <w:p>
            <w:pPr>
              <w:pStyle w:val="Compact"/>
              <w:keepNext/>
              <w:spacing w:line="240" w:lineRule="auto" w:after="0"/>
              <w:ind w:firstLine="0"/>
              <w:jc w:val="left"/>
            </w:pPr>
            <w:r>
              <w:rPr>
                <w:rFonts w:ascii="Arial" w:hAnsi="Arial"/>
                <w:b w:val="0"/>
                <w:sz w:val="22"/>
              </w:rPr>
              <w:t xml:space="preserve">M1: + intercepto aleatório de bairro (UPA)</w:t>
            </w:r>
          </w:p>
        </w:tc>
        <w:tc>
          <w:tcPr>
            <w:tcW w:type="dxa" w:w="1471"/>
          </w:tcPr>
          <w:p>
            <w:pPr>
              <w:pStyle w:val="Compact"/>
              <w:keepNext/>
              <w:spacing w:line="240" w:lineRule="auto" w:after="0"/>
              <w:ind w:firstLine="0"/>
              <w:jc w:val="right"/>
            </w:pPr>
            <w:r>
              <w:rPr>
                <w:rFonts w:ascii="Arial" w:hAnsi="Arial"/>
                <w:b w:val="0"/>
                <w:sz w:val="22"/>
              </w:rPr>
              <w:t xml:space="preserve">−0,0669</w:t>
            </w:r>
          </w:p>
        </w:tc>
        <w:tc>
          <w:tcPr>
            <w:tcW w:type="dxa" w:w="1056"/>
          </w:tcPr>
          <w:p>
            <w:pPr>
              <w:pStyle w:val="Compact"/>
              <w:keepNext/>
              <w:spacing w:line="240" w:lineRule="auto" w:after="0"/>
              <w:ind w:firstLine="0"/>
              <w:jc w:val="right"/>
            </w:pPr>
            <w:r>
              <w:rPr>
                <w:rFonts w:ascii="Arial" w:hAnsi="Arial"/>
                <w:b w:val="0"/>
                <w:sz w:val="22"/>
              </w:rPr>
              <w:t xml:space="preserve">−6,5</w:t>
            </w:r>
          </w:p>
        </w:tc>
        <w:tc>
          <w:tcPr>
            <w:tcW w:type="dxa" w:w="1276"/>
          </w:tcPr>
          <w:p>
            <w:pPr>
              <w:pStyle w:val="Compact"/>
              <w:keepNext/>
              <w:spacing w:line="240" w:lineRule="auto" w:after="0"/>
              <w:ind w:firstLine="0"/>
              <w:jc w:val="right"/>
            </w:pPr>
            <w:r>
              <w:rPr>
                <w:rFonts w:ascii="Arial" w:hAnsi="Arial"/>
                <w:b w:val="0"/>
                <w:sz w:val="22"/>
              </w:rPr>
              <w:t xml:space="preserve">39,5</w:t>
            </w:r>
          </w:p>
        </w:tc>
      </w:tr>
      <w:tr>
        <w:trPr>
          <w:cantSplit/>
        </w:trPr>
        <w:tc>
          <w:tcPr>
            <w:tcW w:type="dxa" w:w="5268"/>
          </w:tcPr>
          <w:p>
            <w:pPr>
              <w:pStyle w:val="Compact"/>
              <w:keepNext/>
              <w:spacing w:line="240" w:lineRule="auto" w:after="0"/>
              <w:ind w:firstLine="0"/>
              <w:jc w:val="left"/>
            </w:pPr>
            <w:r>
              <w:rPr>
                <w:rFonts w:ascii="Arial" w:hAnsi="Arial"/>
                <w:b w:val="0"/>
                <w:sz w:val="22"/>
              </w:rPr>
              <w:t xml:space="preserve">M2: + contexto do bairro (UPA)</w:t>
            </w:r>
          </w:p>
        </w:tc>
        <w:tc>
          <w:tcPr>
            <w:tcW w:type="dxa" w:w="1471"/>
          </w:tcPr>
          <w:p>
            <w:pPr>
              <w:pStyle w:val="Compact"/>
              <w:keepNext/>
              <w:spacing w:line="240" w:lineRule="auto" w:after="0"/>
              <w:ind w:firstLine="0"/>
              <w:jc w:val="right"/>
            </w:pPr>
            <w:r>
              <w:rPr>
                <w:rFonts w:ascii="Arial" w:hAnsi="Arial"/>
                <w:b w:val="0"/>
                <w:sz w:val="22"/>
              </w:rPr>
              <w:t xml:space="preserve">−0,0637</w:t>
            </w:r>
          </w:p>
        </w:tc>
        <w:tc>
          <w:tcPr>
            <w:tcW w:type="dxa" w:w="1056"/>
          </w:tcPr>
          <w:p>
            <w:pPr>
              <w:pStyle w:val="Compact"/>
              <w:keepNext/>
              <w:spacing w:line="240" w:lineRule="auto" w:after="0"/>
              <w:ind w:firstLine="0"/>
              <w:jc w:val="right"/>
            </w:pPr>
            <w:r>
              <w:rPr>
                <w:rFonts w:ascii="Arial" w:hAnsi="Arial"/>
                <w:b w:val="0"/>
                <w:sz w:val="22"/>
              </w:rPr>
              <w:t xml:space="preserve">−6,2</w:t>
            </w:r>
          </w:p>
        </w:tc>
        <w:tc>
          <w:tcPr>
            <w:tcW w:type="dxa" w:w="1276"/>
          </w:tcPr>
          <w:p>
            <w:pPr>
              <w:pStyle w:val="Compact"/>
              <w:keepNext/>
              <w:spacing w:line="240" w:lineRule="auto" w:after="0"/>
              <w:ind w:firstLine="0"/>
              <w:jc w:val="right"/>
            </w:pPr>
            <w:r>
              <w:rPr>
                <w:rFonts w:ascii="Arial" w:hAnsi="Arial"/>
                <w:b w:val="0"/>
                <w:sz w:val="22"/>
              </w:rPr>
              <w:t xml:space="preserve">42,3</w:t>
            </w:r>
          </w:p>
        </w:tc>
      </w:tr>
      <w:tr>
        <w:trPr>
          <w:cantSplit/>
        </w:trPr>
        <w:tc>
          <w:tcPr>
            <w:tcW w:type="dxa" w:w="5268"/>
          </w:tcPr>
          <w:p>
            <w:pPr>
              <w:pStyle w:val="Compact"/>
              <w:keepNext/>
              <w:spacing w:line="240" w:lineRule="auto" w:after="0"/>
              <w:ind w:firstLine="0"/>
              <w:jc w:val="left"/>
            </w:pPr>
            <w:r>
              <w:rPr>
                <w:rFonts w:ascii="Arial" w:hAnsi="Arial"/>
                <w:b w:val="0"/>
                <w:sz w:val="22"/>
              </w:rPr>
              <w:t xml:space="preserve">M3: + efeitos fixos de UF (gap líquido)</w:t>
            </w:r>
          </w:p>
        </w:tc>
        <w:tc>
          <w:tcPr>
            <w:tcW w:type="dxa" w:w="1471"/>
          </w:tcPr>
          <w:p>
            <w:pPr>
              <w:pStyle w:val="Compact"/>
              <w:keepNext/>
              <w:spacing w:line="240" w:lineRule="auto" w:after="0"/>
              <w:ind w:firstLine="0"/>
              <w:jc w:val="right"/>
            </w:pPr>
            <w:r>
              <w:rPr>
                <w:rFonts w:ascii="Arial" w:hAnsi="Arial"/>
                <w:b w:val="0"/>
                <w:sz w:val="22"/>
              </w:rPr>
              <w:t xml:space="preserve">−0,0629</w:t>
            </w:r>
          </w:p>
        </w:tc>
        <w:tc>
          <w:tcPr>
            <w:tcW w:type="dxa" w:w="1056"/>
          </w:tcPr>
          <w:p>
            <w:pPr>
              <w:pStyle w:val="Compact"/>
              <w:keepNext/>
              <w:spacing w:line="240" w:lineRule="auto" w:after="0"/>
              <w:ind w:firstLine="0"/>
              <w:jc w:val="right"/>
            </w:pPr>
            <w:r>
              <w:rPr>
                <w:rFonts w:ascii="Arial" w:hAnsi="Arial"/>
                <w:b w:val="0"/>
                <w:sz w:val="22"/>
              </w:rPr>
              <w:t xml:space="preserve">−6,1</w:t>
            </w:r>
          </w:p>
        </w:tc>
        <w:tc>
          <w:tcPr>
            <w:tcW w:type="dxa" w:w="1276"/>
          </w:tcPr>
          <w:p>
            <w:pPr>
              <w:pStyle w:val="Compact"/>
              <w:keepNext/>
              <w:spacing w:line="240" w:lineRule="auto" w:after="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−0,0579</w:t>
            </w:r>
          </w:p>
        </w:tc>
        <w:tc>
          <w:tcPr>
            <w:tcW w:type="dxa" w:w="105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−5,6</w:t>
            </w:r>
          </w:p>
        </w:tc>
        <w:tc>
          <w:tcPr>
            <w:tcW w:type="dxa" w:w="127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2"/>
              </w:rPr>
              <w:t xml:space="preserve">47,6</w:t>
            </w:r>
          </w:p>
        </w:tc>
      </w:tr>
    </w:tbl>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cada linha adiciona algo à anterior.</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 xml:space="preserve">é a penalidade racial em log-rendimento (mais próximo de zero = menor gap);</w:t>
      </w:r>
      <w:r>
        <w:rPr>
          <w:rFonts w:ascii="Arial" w:hAnsi="Arial"/>
          <w:sz w:val="22"/>
        </w:rPr>
        <w:t xml:space="preserve"> </w:t>
      </w:r>
      <w:r>
        <w:rPr>
          <w:rFonts w:ascii="Arial" w:hAnsi="Arial"/>
          <w:sz w:val="22"/>
        </w:rPr>
        <w:t xml:space="preserve">“Gap (%)”</w:t>
      </w:r>
      <w:r>
        <w:rPr>
          <w:rFonts w:ascii="Arial" w:hAnsi="Arial"/>
          <w:sz w:val="22"/>
        </w:rPr>
        <w:t xml:space="preserve"> </w:t>
      </w:r>
      <w:r>
        <w:rPr>
          <w:rFonts w:ascii="Arial" w:hAnsi="Arial"/>
          <w:sz w:val="22"/>
        </w:rPr>
        <w:t xml:space="preserve">é a</w:t>
      </w:r>
      <w:r>
        <w:rPr>
          <w:rFonts w:ascii="Arial" w:hAnsi="Arial"/>
          <w:sz w:val="22"/>
        </w:rPr>
        <w:t xml:space="preserve"> </w:t>
      </w:r>
      <w:r>
        <w:rPr>
          <w:rFonts w:ascii="Arial" w:hAnsi="Arial"/>
          <w:sz w:val="22"/>
        </w:rPr>
        <w:t xml:space="preserve">penalidade em % de renda;</w:t>
      </w:r>
      <w:r>
        <w:rPr>
          <w:rFonts w:ascii="Arial" w:hAnsi="Arial"/>
          <w:sz w:val="22"/>
        </w:rPr>
        <w:t xml:space="preserve"> </w:t>
      </w:r>
      <w:r>
        <w:rPr>
          <w:rFonts w:ascii="Arial" w:hAnsi="Arial"/>
          <w:sz w:val="22"/>
        </w:rPr>
        <w:t xml:space="preserve">“Mediação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O salto da primeira para a segunda linha é a mediação pela segregação residencial:</w:t>
      </w:r>
      <w:r>
        <w:rPr>
          <w:rFonts w:ascii="Arial" w:hAnsi="Arial"/>
          <w:sz w:val="22"/>
        </w:rPr>
        <w:t xml:space="preserve"> </w:t>
      </w:r>
      <w:r>
        <w:rPr>
          <w:rFonts w:ascii="Arial" w:hAnsi="Arial"/>
          <w:sz w:val="22"/>
        </w:rPr>
        <w:t xml:space="preserve">comparar negros e brancos</w:t>
      </w:r>
      <w:r>
        <w:rPr>
          <w:rFonts w:ascii="Arial" w:hAnsi="Arial"/>
          <w:sz w:val="22"/>
        </w:rPr>
        <w:t xml:space="preserve"> </w:t>
      </w:r>
      <w:r>
        <w:rPr>
          <w:rFonts w:ascii="Arial" w:hAnsi="Arial"/>
          <w:sz w:val="22"/>
        </w:rPr>
        <w:t xml:space="preserve">do mesmo bairro</w:t>
      </w:r>
      <w:r>
        <w:rPr>
          <w:rFonts w:ascii="Arial" w:hAnsi="Arial"/>
          <w:sz w:val="22"/>
        </w:rPr>
        <w:t xml:space="preserve"> </w:t>
      </w:r>
      <w:r>
        <w:rPr>
          <w:rFonts w:ascii="Arial" w:hAnsi="Arial"/>
          <w:sz w:val="22"/>
        </w:rPr>
        <w:t xml:space="preserve">reduz o gap em 39,5%. Do modelo agregado</w:t>
      </w:r>
      <w:r>
        <w:rPr>
          <w:rFonts w:ascii="Arial" w:hAnsi="Arial"/>
          <w:sz w:val="22"/>
        </w:rPr>
        <w:t xml:space="preserve"> </w:t>
      </w:r>
      <w:r>
        <w:rPr>
          <w:rFonts w:ascii="Arial" w:hAnsi="Arial"/>
          <w:sz w:val="22"/>
        </w:rPr>
        <w:t xml:space="preserve">ao M4 o gap cai de 10,5% para 5,6%: 47,6% do gap é mediado por</w:t>
      </w:r>
      <w:r>
        <w:rPr>
          <w:rFonts w:ascii="Arial" w:hAnsi="Arial"/>
          <w:sz w:val="22"/>
        </w:rPr>
        <w:t xml:space="preserve"> </w:t>
      </w:r>
      <w:r>
        <w:rPr>
          <w:rFonts w:ascii="Arial" w:hAnsi="Arial"/>
          <w:sz w:val="22"/>
        </w:rPr>
        <w:t xml:space="preserve">onde a pessoa mora, o estado e a ocupação que acessa — e a penalidade de 5,6% persiste</w:t>
      </w:r>
      <w:r>
        <w:rPr>
          <w:rFonts w:ascii="Arial" w:hAnsi="Arial"/>
          <w:sz w:val="22"/>
        </w:rPr>
        <w:t xml:space="preserve"> </w:t>
      </w:r>
      <w:r>
        <w:rPr>
          <w:rFonts w:ascii="Arial" w:hAnsi="Arial"/>
          <w:sz w:val="22"/>
        </w:rPr>
        <w:t xml:space="preserve">dentro da mesma ocupação (limite inferior, pois a ocupação é ela própria resultado da barreira de acesso). 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 xml:space="preserve">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4 resume a sequência de degraus em barras.</w:t>
      </w:r>
    </w:p>
    <w:bookmarkStart w:id="61" w:name="fig:hlm_gap"/>
    <w:p>
      <w:pPr>
        <w:pStyle w:val="CaptionedFigure"/>
        <w:keepNext/>
        <w:keepLines/>
      </w:pPr>
      <w:r>
        <w:rPr>
          <w:rFonts w:ascii="Arial" w:hAnsi="Arial"/>
          <w:sz w:val="22"/>
        </w:rPr>
        <w:drawing>
          <wp:inline>
            <wp:extent cx="5292852" cy="2571773"/>
            <wp:effectExtent b="0" l="0" r="0" t="0"/>
            <wp:docPr descr="" title="" id="59" name="Picture"/>
            <a:graphic>
              <a:graphicData uri="http://schemas.openxmlformats.org/drawingml/2006/picture">
                <pic:pic>
                  <pic:nvPicPr>
                    <pic:cNvPr descr="outputs/figures/fig_hlm_gap.png" id="60" name="Picture"/>
                    <pic:cNvPicPr>
                      <a:picLocks noChangeArrowheads="1" noChangeAspect="1"/>
                    </pic:cNvPicPr>
                  </pic:nvPicPr>
                  <pic:blipFill>
                    <a:blip r:embed="rId58"/>
                    <a:stretch>
                      <a:fillRect/>
                    </a:stretch>
                  </pic:blipFill>
                  <pic:spPr bwMode="auto">
                    <a:xfrm>
                      <a:off x="0" y="0"/>
                      <a:ext cx="5292852" cy="25717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w:t>
      </w:r>
      <w:r>
        <w:rPr>
          <w:rFonts w:ascii="Arial" w:hAnsi="Arial"/>
          <w:sz w:val="22"/>
        </w:rPr>
        <w:t xml:space="preserve"> </w:t>
      </w:r>
      <w:r>
        <w:rPr>
          <w:rFonts w:ascii="Arial" w:hAnsi="Arial"/>
          <w:sz w:val="22"/>
        </w:rPr>
        <w:t xml:space="preserve">rótulo: gap em % de renda. Em azul, o M3 (gap líquido).</w:t>
      </w:r>
    </w:p>
    <w:bookmarkEnd w:id="6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4: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62"/>
    <w:bookmarkStart w:id="68"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 xml:space="preserve">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 xml:space="preserve">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63"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 (A) </w:t>
      </w:r>
      <w:r>
        <w:rPr>
          <w:rFonts w:ascii="Arial" w:hAnsi="Arial"/>
          <w:sz w:val="22"/>
        </w:rPr>
        <w:t xml:space="preserve">Capital humano +</w:t>
      </w:r>
      <w:r>
        <w:rPr>
          <w:rFonts w:ascii="Arial" w:hAnsi="Arial"/>
          <w:sz w:val="22"/>
        </w:rPr>
        <w:t xml:space="preserve"> </w:t>
      </w:r>
      <w:r>
        <w:rPr>
          <w:rFonts w:ascii="Arial" w:hAnsi="Arial"/>
          <w:sz w:val="22"/>
        </w:rPr>
        <w:t xml:space="preserve">contexto</w:t>
      </w:r>
      <w:r>
        <w:rPr>
          <w:rFonts w:ascii="Arial" w:hAnsi="Arial"/>
          <w:sz w:val="22"/>
        </w:rPr>
        <w:t xml:space="preserve">: escolaridade, idade, sexo, jornada, área urbana, contexto de UPA e efeitos fixos</w:t>
      </w:r>
      <w:r>
        <w:rPr>
          <w:rFonts w:ascii="Arial" w:hAnsi="Arial"/>
          <w:sz w:val="22"/>
        </w:rPr>
        <w:t xml:space="preserve"> </w:t>
      </w:r>
      <w:r>
        <w:rPr>
          <w:rFonts w:ascii="Arial" w:hAnsi="Arial"/>
          <w:sz w:val="22"/>
        </w:rPr>
        <w:t xml:space="preserve">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 xml:space="preserve">Acesso</w:t>
      </w:r>
      <w:r>
        <w:rPr>
          <w:rFonts w:ascii="Arial" w:hAnsi="Arial"/>
          <w:sz w:val="22"/>
        </w:rPr>
        <w:t xml:space="preserve">: (A) + formalidade e grupo CBO tratados como dotações (os controles do M4) — a parcela não explicada é a discriminação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um limite inferior, pois a segregação ocupacional é ela própria</w:t>
      </w:r>
      <w:r>
        <w:rPr>
          <w:rFonts w:ascii="Arial" w:hAnsi="Arial"/>
          <w:sz w:val="22"/>
        </w:rPr>
        <w:t xml:space="preserve"> </w:t>
      </w:r>
      <w:r>
        <w:rPr>
          <w:rFonts w:ascii="Arial" w:hAnsi="Arial"/>
          <w:sz w:val="22"/>
        </w:rPr>
        <w:t xml:space="preserve">discriminatória</w:t>
      </w:r>
      <w:r>
        <w:rPr>
          <w:rFonts w:ascii="Arial" w:hAnsi="Arial"/>
          <w:sz w:val="22"/>
        </w:rPr>
        <w:t xml:space="preserve"> </w:t>
      </w:r>
      <w:r>
        <w:rPr>
          <w:rFonts w:ascii="Arial" w:hAnsi="Arial"/>
          <w:sz w:val="22"/>
        </w:rPr>
        <w:t xml:space="preserve">(Oaxaca; Ransom, 1999)</w:t>
      </w:r>
      <w:r>
        <w:rPr>
          <w:rFonts w:ascii="Arial" w:hAnsi="Arial"/>
          <w:sz w:val="22"/>
        </w:rPr>
        <w:t xml:space="preserve"> </w:t>
      </w:r>
      <w:r>
        <w:rPr>
          <w:rFonts w:ascii="Arial" w:hAnsi="Arial"/>
          <w:sz w:val="22"/>
        </w:rPr>
        <w:t xml:space="preserve">(ver o GLMM de acesso, Tabela 7).</w:t>
      </w:r>
      <w:r>
        <w:rPr>
          <w:rFonts w:ascii="Arial" w:hAnsi="Arial"/>
          <w:sz w:val="22"/>
        </w:rPr>
        <w:t xml:space="preserve"> </w:t>
      </w:r>
      <w:r>
        <w:rPr>
          <w:rFonts w:ascii="Arial" w:hAnsi="Arial"/>
          <w:sz w:val="22"/>
        </w:rPr>
        <w:t xml:space="preserve">População completa da PEA com renda positiva (</w:t>
      </w:r>
      <m:oMath>
        <m:r>
          <m:t>N</m:t>
        </m:r>
        <m:r>
          <m:rPr>
            <m:sty m:val="p"/>
          </m:rPr>
          <m:t>=</m:t>
        </m:r>
        <m:r>
          <m:t>7.699</m:t>
        </m:r>
        <m:r>
          <m:t>.278</m:t>
        </m:r>
      </m:oMath>
      <w:r>
        <w:rPr>
          <w:rFonts w:ascii="Arial" w:hAnsi="Arial"/>
          <w:sz w:val="22"/>
        </w:rPr>
        <w:t xml:space="preserve">; 41.459 UPAs).</w:t>
      </w:r>
      <w:r>
        <w:rPr>
          <w:rFonts w:ascii="Arial" w:hAnsi="Arial"/>
          <w:sz w:val="22"/>
        </w:rPr>
        <w:t xml:space="preserve"> </w:t>
      </w:r>
      <w:r>
        <w:rPr>
          <w:rFonts w:ascii="Arial" w:hAnsi="Arial"/>
          <w:sz w:val="22"/>
        </w:rPr>
        <w:t xml:space="preserve">Erros-padrão entre parênteses: bootstrap em blocos por UPA (500 réplicas).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Ransom, 1999) (ver o GLMM de acesso, Tabela 7).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tcPr>
          <w:p>
            <w:pPr>
              <w:pStyle w:val="Compact"/>
              <w:keepNext/>
              <w:spacing w:line="240" w:lineRule="auto" w:after="0"/>
              <w:ind w:firstLine="0"/>
              <w:jc w:val="left"/>
            </w:pPr>
            <w:r>
              <w:rPr>
                <w:rFonts w:ascii="Arial" w:hAnsi="Arial"/>
                <w:b w:val="0"/>
                <w:sz w:val="20"/>
              </w:rPr>
              <w:t xml:space="preserve">Componente</w:t>
            </w:r>
          </w:p>
        </w:tc>
        <w:tc>
          <w:tcPr>
            <w:tcW w:type="dxa" w:w="1415"/>
          </w:tcPr>
          <w:p>
            <w:pPr>
              <w:pStyle w:val="Compact"/>
              <w:keepNext/>
              <w:spacing w:line="240" w:lineRule="auto" w:after="0"/>
              <w:ind w:firstLine="0"/>
              <w:jc w:val="left"/>
            </w:pPr>
            <w:r>
              <w:rPr>
                <w:rFonts w:ascii="Arial" w:hAnsi="Arial"/>
                <w:b w:val="0"/>
                <w:sz w:val="20"/>
              </w:rPr>
              <w:t xml:space="preserve">log-pontos (SE)</w:t>
            </w:r>
          </w:p>
        </w:tc>
        <w:tc>
          <w:tcPr>
            <w:tcW w:type="dxa" w:w="1189"/>
          </w:tcPr>
          <w:p>
            <w:pPr>
              <w:pStyle w:val="Compact"/>
              <w:keepNext/>
              <w:spacing w:line="240" w:lineRule="auto" w:after="0"/>
              <w:ind w:firstLine="0"/>
              <w:jc w:val="left"/>
            </w:pPr>
            <w:r>
              <w:rPr>
                <w:rFonts w:ascii="Arial" w:hAnsi="Arial"/>
                <w:b w:val="0"/>
                <w:sz w:val="20"/>
              </w:rPr>
              <w:t xml:space="preserve">% do gap</w:t>
            </w:r>
          </w:p>
        </w:tc>
        <w:tc>
          <w:tcPr>
            <w:tcW w:type="dxa" w:w="1805"/>
          </w:tcPr>
          <w:p>
            <w:pPr>
              <w:pStyle w:val="Compact"/>
              <w:keepNext/>
              <w:spacing w:line="240" w:lineRule="auto" w:after="0"/>
              <w:ind w:firstLine="0"/>
              <w:jc w:val="left"/>
            </w:pPr>
            <w:r>
              <w:rPr>
                <w:rFonts w:ascii="Arial" w:hAnsi="Arial"/>
                <w:b w:val="0"/>
                <w:sz w:val="20"/>
              </w:rPr>
              <w:t xml:space="preserve">log-pontos (SE)</w:t>
            </w:r>
          </w:p>
        </w:tc>
        <w:tc>
          <w:tcPr>
            <w:tcW w:type="dxa" w:w="1791"/>
          </w:tcPr>
          <w:p>
            <w:pPr>
              <w:pStyle w:val="Compact"/>
              <w:keepNext/>
              <w:spacing w:line="240" w:lineRule="auto" w:after="0"/>
              <w:ind w:firstLine="0"/>
              <w:jc w:val="left"/>
            </w:pPr>
            <w:r>
              <w:rPr>
                <w:rFonts w:ascii="Arial" w:hAnsi="Arial"/>
                <w:b w:val="0"/>
                <w:sz w:val="20"/>
              </w:rPr>
              <w:t xml:space="preserve">% do gap</w:t>
            </w:r>
          </w:p>
        </w:tc>
      </w:tr>
      <w:tr>
        <w:trPr>
          <w:cantSplit/>
        </w:trPr>
        <w:tc>
          <w:tcPr>
            <w:tcW w:type="dxa" w:w="2870"/>
          </w:tcPr>
          <w:p>
            <w:pPr>
              <w:pStyle w:val="Compact"/>
              <w:keepNext/>
              <w:spacing w:line="240" w:lineRule="auto" w:after="0"/>
              <w:ind w:firstLine="0"/>
              <w:jc w:val="left"/>
            </w:pPr>
            <w:r>
              <w:rPr>
                <w:rFonts w:ascii="Arial" w:hAnsi="Arial"/>
                <w:b w:val="0"/>
                <w:sz w:val="20"/>
              </w:rPr>
              <w:t xml:space="preserve">Gap total (branco − negro)</w:t>
            </w:r>
          </w:p>
        </w:tc>
        <w:tc>
          <w:tcPr>
            <w:tcW w:type="dxa" w:w="1415"/>
          </w:tcPr>
          <w:p>
            <w:pPr>
              <w:pStyle w:val="Compact"/>
              <w:keepNext/>
              <w:spacing w:line="240" w:lineRule="auto" w:after="0"/>
              <w:ind w:firstLine="0"/>
              <w:jc w:val="right"/>
            </w:pPr>
            <w:r>
              <w:rPr>
                <w:rFonts w:ascii="Arial" w:hAnsi="Arial"/>
                <w:b w:val="0"/>
                <w:sz w:val="20"/>
              </w:rPr>
              <w:t xml:space="preserve">0,4252 (0,0033)</w:t>
            </w:r>
          </w:p>
        </w:tc>
        <w:tc>
          <w:tcPr>
            <w:tcW w:type="dxa" w:w="1189"/>
          </w:tcPr>
          <w:p>
            <w:pPr>
              <w:pStyle w:val="Compact"/>
              <w:keepNext/>
              <w:spacing w:line="240" w:lineRule="auto" w:after="0"/>
              <w:ind w:firstLine="0"/>
              <w:jc w:val="right"/>
            </w:pPr>
            <w:r>
              <w:rPr>
                <w:rFonts w:ascii="Arial" w:hAnsi="Arial"/>
                <w:b w:val="0"/>
                <w:sz w:val="20"/>
              </w:rPr>
              <w:t xml:space="preserve">100,0</w:t>
            </w:r>
          </w:p>
        </w:tc>
        <w:tc>
          <w:tcPr>
            <w:tcW w:type="dxa" w:w="1805"/>
          </w:tcPr>
          <w:p>
            <w:pPr>
              <w:pStyle w:val="Compact"/>
              <w:keepNext/>
              <w:spacing w:line="240" w:lineRule="auto" w:after="0"/>
              <w:ind w:firstLine="0"/>
              <w:jc w:val="right"/>
            </w:pPr>
            <w:r>
              <w:rPr>
                <w:rFonts w:ascii="Arial" w:hAnsi="Arial"/>
                <w:b w:val="0"/>
                <w:sz w:val="20"/>
              </w:rPr>
              <w:t xml:space="preserve">0,4252 (0,0032)</w:t>
            </w:r>
          </w:p>
        </w:tc>
        <w:tc>
          <w:tcPr>
            <w:tcW w:type="dxa" w:w="1791"/>
          </w:tcPr>
          <w:p>
            <w:pPr>
              <w:pStyle w:val="Compact"/>
              <w:keepNext/>
              <w:spacing w:line="240" w:lineRule="auto" w:after="0"/>
              <w:ind w:firstLine="0"/>
              <w:jc w:val="right"/>
            </w:pPr>
            <w:r>
              <w:rPr>
                <w:rFonts w:ascii="Arial" w:hAnsi="Arial"/>
                <w:b w:val="0"/>
                <w:sz w:val="20"/>
              </w:rPr>
              <w:t xml:space="preserve">100,0</w:t>
            </w:r>
          </w:p>
        </w:tc>
      </w:tr>
      <w:tr>
        <w:trPr>
          <w:cantSplit/>
        </w:trPr>
        <w:tc>
          <w:tcPr>
            <w:tcW w:type="dxa" w:w="2870"/>
          </w:tcPr>
          <w:p>
            <w:pPr>
              <w:pStyle w:val="Compact"/>
              <w:keepNext/>
              <w:spacing w:line="240" w:lineRule="auto" w:after="0"/>
              <w:ind w:firstLine="0"/>
              <w:jc w:val="left"/>
            </w:pPr>
            <w:r>
              <w:rPr>
                <w:rFonts w:ascii="Arial" w:hAnsi="Arial"/>
                <w:b w:val="0"/>
                <w:sz w:val="20"/>
              </w:rPr>
              <w:t xml:space="preserve">Dotações (características observáveis)</w:t>
            </w:r>
          </w:p>
        </w:tc>
        <w:tc>
          <w:tcPr>
            <w:tcW w:type="dxa" w:w="1415"/>
          </w:tcPr>
          <w:p>
            <w:pPr>
              <w:pStyle w:val="Compact"/>
              <w:keepNext/>
              <w:spacing w:line="240" w:lineRule="auto" w:after="0"/>
              <w:ind w:firstLine="0"/>
              <w:jc w:val="right"/>
            </w:pPr>
            <w:r>
              <w:rPr>
                <w:rFonts w:ascii="Arial" w:hAnsi="Arial"/>
                <w:b w:val="0"/>
                <w:sz w:val="20"/>
              </w:rPr>
              <w:t xml:space="preserve">0,3491 (0,0033)</w:t>
            </w:r>
          </w:p>
        </w:tc>
        <w:tc>
          <w:tcPr>
            <w:tcW w:type="dxa" w:w="1189"/>
          </w:tcPr>
          <w:p>
            <w:pPr>
              <w:pStyle w:val="Compact"/>
              <w:keepNext/>
              <w:spacing w:line="240" w:lineRule="auto" w:after="0"/>
              <w:ind w:firstLine="0"/>
              <w:jc w:val="right"/>
            </w:pPr>
            <w:r>
              <w:rPr>
                <w:rFonts w:ascii="Arial" w:hAnsi="Arial"/>
                <w:b w:val="0"/>
                <w:sz w:val="20"/>
              </w:rPr>
              <w:t xml:space="preserve">82,1</w:t>
            </w:r>
          </w:p>
        </w:tc>
        <w:tc>
          <w:tcPr>
            <w:tcW w:type="dxa" w:w="1805"/>
          </w:tcPr>
          <w:p>
            <w:pPr>
              <w:pStyle w:val="Compact"/>
              <w:keepNext/>
              <w:spacing w:line="240" w:lineRule="auto" w:after="0"/>
              <w:ind w:firstLine="0"/>
              <w:jc w:val="right"/>
            </w:pPr>
            <w:r>
              <w:rPr>
                <w:rFonts w:ascii="Arial" w:hAnsi="Arial"/>
                <w:b w:val="0"/>
                <w:sz w:val="20"/>
              </w:rPr>
              <w:t xml:space="preserve">0,3598 (0,0032)</w:t>
            </w:r>
          </w:p>
        </w:tc>
        <w:tc>
          <w:tcPr>
            <w:tcW w:type="dxa" w:w="1791"/>
          </w:tcPr>
          <w:p>
            <w:pPr>
              <w:pStyle w:val="Compact"/>
              <w:keepNext/>
              <w:spacing w:line="240" w:lineRule="auto" w:after="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0,0761 (0,0012)</w:t>
            </w:r>
          </w:p>
        </w:tc>
        <w:tc>
          <w:tcPr>
            <w:tcW w:type="dxa" w:w="118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17,9</w:t>
            </w:r>
          </w:p>
        </w:tc>
        <w:tc>
          <w:tcPr>
            <w:tcW w:type="dxa" w:w="18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0,0654 (0,0011)</w:t>
            </w:r>
          </w:p>
        </w:tc>
        <w:tc>
          <w:tcPr>
            <w:tcW w:type="dxa" w:w="179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15,4</w:t>
            </w:r>
          </w:p>
        </w:tc>
      </w:tr>
    </w:tbl>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em cada especificação,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Não explicado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Gap total.</w:t>
      </w:r>
      <w:r>
        <w:rPr>
          <w:rFonts w:ascii="Arial" w:hAnsi="Arial"/>
          <w:sz w:val="22"/>
        </w:rPr>
        <w:t xml:space="preserve"> </w:t>
      </w:r>
      <w:r>
        <w:rPr>
          <w:rFonts w:ascii="Arial" w:hAnsi="Arial"/>
          <w:sz w:val="22"/>
        </w:rPr>
        <w:t xml:space="preserve">De (A) para (B), parte do</w:t>
      </w:r>
      <w:r>
        <w:rPr>
          <w:rFonts w:ascii="Arial" w:hAnsi="Arial"/>
          <w:sz w:val="22"/>
        </w:rPr>
        <w:t xml:space="preserve"> </w:t>
      </w:r>
      <w:r>
        <w:rPr>
          <w:rFonts w:ascii="Arial" w:hAnsi="Arial"/>
          <w:sz w:val="22"/>
        </w:rPr>
        <w:t xml:space="preserve">“não explicado”</w:t>
      </w:r>
      <w:r>
        <w:rPr>
          <w:rFonts w:ascii="Arial" w:hAnsi="Arial"/>
          <w:sz w:val="22"/>
        </w:rPr>
        <w:t xml:space="preserve"> </w:t>
      </w:r>
      <w:r>
        <w:rPr>
          <w:rFonts w:ascii="Arial" w:hAnsi="Arial"/>
          <w:sz w:val="22"/>
        </w:rPr>
        <w:t xml:space="preserve">migra para</w:t>
      </w:r>
      <w:r>
        <w:rPr>
          <w:rFonts w:ascii="Arial" w:hAnsi="Arial"/>
          <w:sz w:val="22"/>
        </w:rPr>
        <w:t xml:space="preserve"> </w:t>
      </w:r>
      <w:r>
        <w:rPr>
          <w:rFonts w:ascii="Arial" w:hAnsi="Arial"/>
          <w:sz w:val="22"/>
        </w:rPr>
        <w:t xml:space="preserve">“dotações”</w:t>
      </w:r>
      <w:r>
        <w:rPr>
          <w:rFonts w:ascii="Arial" w:hAnsi="Arial"/>
          <w:sz w:val="22"/>
        </w:rPr>
        <w:t xml:space="preserve"> </w:t>
      </w:r>
      <w:r>
        <w:rPr>
          <w:rFonts w:ascii="Arial" w:hAnsi="Arial"/>
          <w:sz w:val="22"/>
        </w:rPr>
        <w:t xml:space="preserve">porque a ocupação passa a</w:t>
      </w:r>
      <w:r>
        <w:rPr>
          <w:rFonts w:ascii="Arial" w:hAnsi="Arial"/>
          <w:sz w:val="22"/>
        </w:rPr>
        <w:t xml:space="preserve"> </w:t>
      </w:r>
      <w:r>
        <w:rPr>
          <w:rFonts w:ascii="Arial" w:hAnsi="Arial"/>
          <w:sz w:val="22"/>
        </w:rPr>
        <w:t xml:space="preserve">ser tratada como característica — é exatamente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e não pelo salário.</w:t>
      </w:r>
    </w:p>
    <w:p>
      <w:pPr>
        <w:pStyle w:val="BodyText"/>
        <w:spacing w:line="360" w:lineRule="auto" w:after="0"/>
        <w:ind w:firstLine="709"/>
        <w:jc w:val="both"/>
      </w:pPr>
      <w:r>
        <w:rPr>
          <w:rFonts w:ascii="Arial" w:hAnsi="Arial"/>
          <w:sz w:val="22"/>
        </w:rPr>
        <w:t xml:space="preserve">A Figura 5 apresenta as duas especificações em forma de cascata.</w:t>
      </w:r>
    </w:p>
    <w:bookmarkStart w:id="67" w:name="fig:ob_cascata"/>
    <w:p>
      <w:pPr>
        <w:pStyle w:val="CaptionedFigure"/>
        <w:keepNext/>
        <w:keepLines/>
      </w:pPr>
      <w:r>
        <w:rPr>
          <w:rFonts w:ascii="Arial" w:hAnsi="Arial"/>
          <w:sz w:val="22"/>
        </w:rPr>
        <w:drawing>
          <wp:inline>
            <wp:extent cx="5465445" cy="2196175"/>
            <wp:effectExtent b="0" l="0" r="0" t="0"/>
            <wp:docPr descr="" title="" id="65" name="Picture"/>
            <a:graphic>
              <a:graphicData uri="http://schemas.openxmlformats.org/drawingml/2006/picture">
                <pic:pic>
                  <pic:nvPicPr>
                    <pic:cNvPr descr="outputs/figures/fig_ob_cascata.png" id="66" name="Picture"/>
                    <pic:cNvPicPr>
                      <a:picLocks noChangeArrowheads="1" noChangeAspect="1"/>
                    </pic:cNvPicPr>
                  </pic:nvPicPr>
                  <pic:blipFill>
                    <a:blip r:embed="rId64"/>
                    <a:stretch>
                      <a:fillRect/>
                    </a:stretch>
                  </pic:blipFill>
                  <pic:spPr bwMode="auto">
                    <a:xfrm>
                      <a:off x="0" y="0"/>
                      <a:ext cx="5465445" cy="219617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 xml:space="preserve">opera na porta de entrada das ocupações — medida diretamente pelo modelo de acesso.</w:t>
      </w:r>
    </w:p>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5: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8"/>
    <w:bookmarkStart w:id="80"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 xml:space="preserve">A decomposição mostrou que parte do diferencial opera na entrada das ocupações; o modelo de acesso mede essa porta diretamente.</w:t>
      </w:r>
      <w:r>
        <w:rPr>
          <w:rFonts w:ascii="Arial" w:hAnsi="Arial"/>
          <w:sz w:val="22"/>
        </w:rPr>
        <w:t xml:space="preserve"> </w:t>
      </w:r>
      <w:bookmarkStart w:id="69" w:name="subsec:glmm_resultados"/>
      <w:bookmarkEnd w:id="69"/>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 xml:space="preserve">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 xml:space="preserve">de UF.</w:t>
      </w:r>
      <w:r>
        <w:rPr>
          <w:rStyle w:val="FootnoteReference"/>
          <w:rFonts w:ascii="Arial" w:hAnsi="Arial"/>
          <w:sz w:val="22"/>
          <w:vertAlign w:val="superscript"/>
        </w:rPr>
        <w:footnoteReference w:id="70"/>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71"/>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72"/>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6 reúne as razões</w:t>
      </w:r>
      <w:r>
        <w:rPr>
          <w:rFonts w:ascii="Arial" w:hAnsi="Arial"/>
          <w:sz w:val="22"/>
        </w:rPr>
        <w:t xml:space="preserve"> </w:t>
      </w:r>
      <w:r>
        <w:rPr>
          <w:rFonts w:ascii="Arial" w:hAnsi="Arial"/>
          <w:sz w:val="22"/>
        </w:rPr>
        <w:t xml:space="preserve">de chance dos três desfechos e dos modelos de cada um.</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3"/>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 xml:space="preserve">Tabela 7)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7" w:name="fig:glmm_or"/>
    <w:p>
      <w:pPr>
        <w:pStyle w:val="CaptionedFigure"/>
        <w:keepNext/>
        <w:keepLines/>
      </w:pPr>
      <w:r>
        <w:rPr>
          <w:rFonts w:ascii="Arial" w:hAnsi="Arial"/>
          <w:sz w:val="22"/>
        </w:rPr>
        <w:drawing>
          <wp:inline>
            <wp:extent cx="5465445" cy="2536151"/>
            <wp:effectExtent b="0" l="0" r="0" t="0"/>
            <wp:docPr descr="" title="" id="75" name="Picture"/>
            <a:graphic>
              <a:graphicData uri="http://schemas.openxmlformats.org/drawingml/2006/picture">
                <pic:pic>
                  <pic:nvPicPr>
                    <pic:cNvPr descr="outputs/figures/fig_glmm_or.png" id="76" name="Picture"/>
                    <pic:cNvPicPr>
                      <a:picLocks noChangeArrowheads="1" noChangeAspect="1"/>
                    </pic:cNvPicPr>
                  </pic:nvPicPr>
                  <pic:blipFill>
                    <a:blip r:embed="rId74"/>
                    <a:stretch>
                      <a:fillRect/>
                    </a:stretch>
                  </pic:blipFill>
                  <pic:spPr bwMode="auto">
                    <a:xfrm>
                      <a:off x="0" y="0"/>
                      <a:ext cx="5465445" cy="253615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 xml:space="preserve">IC 95%, por desfecho e degrau; em azul, o modelo com contexto de bairro (A2).</w:t>
      </w:r>
    </w:p>
    <w:bookmarkEnd w:id="7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bookmarkStart w:id="78" w:name="tab:glmm_glassceil"/>
    <w:p>
      <w:pPr>
        <w:pStyle w:val="TableCaption"/>
        <w:keepNext/>
        <w:keepLines/>
        <w:spacing w:line="240" w:lineRule="auto" w:before="240" w:after="40"/>
        <w:ind w:firstLine="0"/>
        <w:jc w:val="both"/>
      </w:pPr>
      <w:r>
        <w:rPr>
          <w:rFonts w:ascii="Arial" w:hAnsi="Arial"/>
          <w:sz w:val="22"/>
        </w:rPr>
        <w:t xml:space="preserve">Tabela 7.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r>
        <w:rPr>
          <w:rFonts w:ascii="Arial" w:hAnsi="Arial"/>
          <w:sz w:val="22"/>
        </w:rPr>
        <w:t xml:space="preserve"> </w:t>
      </w:r>
      <w:r>
        <w:rPr>
          <w:rFonts w:ascii="Arial" w:hAnsi="Arial"/>
          <w:sz w:val="22"/>
        </w:rPr>
        <w:t xml:space="preserve">Odds ratio</w:t>
      </w:r>
      <w:r>
        <w:rPr>
          <w:rFonts w:ascii="Arial" w:hAnsi="Arial"/>
          <w:sz w:val="22"/>
        </w:rPr>
        <w:t xml:space="preserve"> </w:t>
      </w:r>
      <w:r>
        <w:rPr>
          <w:rFonts w:ascii="Arial" w:hAnsi="Arial"/>
          <w:sz w:val="22"/>
        </w:rPr>
        <w:t xml:space="preserve">do coeficiente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 xml:space="preserve">e E-value</w:t>
      </w:r>
      <w:r>
        <w:rPr>
          <w:rFonts w:ascii="Arial" w:hAnsi="Arial"/>
          <w:sz w:val="22"/>
        </w:rPr>
        <w:t xml:space="preserve"> </w:t>
      </w:r>
      <w:r>
        <w:rPr>
          <w:rFonts w:ascii="Arial" w:hAnsi="Arial"/>
          <w:sz w:val="22"/>
        </w:rPr>
        <w:t xml:space="preserve">(VanderWeele; Ding, 2017)</w:t>
      </w:r>
      <w:r>
        <w:rPr>
          <w:rFonts w:ascii="Arial" w:hAnsi="Arial"/>
          <w:sz w:val="22"/>
        </w:rPr>
        <w:t xml:space="preserve">.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Todos os OR com</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a inferência relevante está nos IC e nos E-values.</w:t>
      </w:r>
    </w:p>
    <w:tbl>
      <w:tblPr>
        <w:tblStyle w:val="Table"/>
        <w:tblW w:type="auto" w:w="0"/>
        <w:tblLayout w:type="fixed"/>
        <w:tblLook w:firstRow="1" w:lastRow="0" w:firstColumn="0" w:lastColumn="0" w:noHBand="0" w:noVBand="0" w:val="0020"/>
        <w:tblCaption w:val="Tabela 7.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xml:space="preserve">= menor chance de acesso para trabalhadores negros do que para brancos de mesmo perfil</w:t>
      </w:r>
      <w:r>
        <w:rPr>
          <w:rFonts w:ascii="Arial" w:hAnsi="Arial"/>
          <w:sz w:val="22"/>
        </w:rPr>
        <w:t xml:space="preserve"> </w:t>
      </w:r>
      <w:r>
        <w:rPr>
          <w:rFonts w:ascii="Arial" w:hAnsi="Arial"/>
          <w:sz w:val="22"/>
        </w:rPr>
        <w:t xml:space="preserve">e do mesmo bairro</w:t>
      </w:r>
      <w:r>
        <w:rPr>
          <w:rFonts w:ascii="Arial" w:hAnsi="Arial"/>
          <w:sz w:val="22"/>
        </w:rPr>
        <w:t xml:space="preserve">;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com o desfecho para anular o OR; o E-value (IC) faz o mesmo para o limite do intervalo. A coluna logit-FE mostra que a conclusão não depende da hipótese de efeitos aleatórios.</w:t>
      </w:r>
    </w:p>
    <w:bookmarkStart w:id="79" w:name="tab:glmm_ajuste"/>
    <w:p>
      <w:pPr>
        <w:pStyle w:val="TableCaption"/>
        <w:keepNext/>
        <w:keepLines/>
        <w:spacing w:line="240" w:lineRule="auto" w:before="240" w:after="40"/>
        <w:ind w:firstLine="0"/>
        <w:jc w:val="both"/>
      </w:pPr>
      <w:r>
        <w:rPr>
          <w:rFonts w:ascii="Arial" w:hAnsi="Arial"/>
          <w:sz w:val="22"/>
        </w:rPr>
        <w:t xml:space="preserve">Tabela 8. GLMM logístico — ajuste e desempenho de classificação por degrau. 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xml:space="preserve">); AUC com efeitos aleatórios (ajuste na amostra) e só com efeitos fixos;</w:t>
      </w:r>
      <w:r>
        <w:rPr>
          <w:rFonts w:ascii="Arial" w:hAnsi="Arial"/>
          <w:sz w:val="22"/>
        </w:rPr>
        <w:t xml:space="preserve"> </w:t>
      </w:r>
      <w:r>
        <w:rPr>
          <w:rFonts w:ascii="Arial" w:hAnsi="Arial"/>
          <w:sz w:val="22"/>
        </w:rPr>
        <w:t xml:space="preserve">cutoff</w:t>
      </w:r>
      <w:r>
        <w:rPr>
          <w:rFonts w:ascii="Arial" w:hAnsi="Arial"/>
          <w:sz w:val="22"/>
        </w:rPr>
        <w:t xml:space="preserve"> </w:t>
      </w:r>
      <w:r>
        <w:rPr>
          <w:rFonts w:ascii="Arial" w:hAnsi="Arial"/>
          <w:sz w:val="22"/>
        </w:rPr>
        <w:t xml:space="preserve">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10 decis. Modelos A1–A4 como na Tabela 7.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qualquer desvio de calibração é</w:t>
      </w:r>
      <w:r>
        <w:rPr>
          <w:rFonts w:ascii="Arial" w:hAnsi="Arial"/>
          <w:sz w:val="22"/>
        </w:rPr>
        <w:t xml:space="preserve"> </w:t>
      </w:r>
      <w:r>
        <w:rPr>
          <w:rFonts w:ascii="Arial" w:hAnsi="Arial"/>
          <w:sz w:val="22"/>
        </w:rPr>
        <w:t xml:space="preserve">“significativo”</w:t>
      </w:r>
      <w:r>
        <w:rPr>
          <w:rFonts w:ascii="Arial" w:hAnsi="Arial"/>
          <w:sz w:val="22"/>
        </w:rPr>
        <w:t xml:space="preserve"> </w:t>
      </w:r>
      <w:r>
        <w:rPr>
          <w:rFonts w:ascii="Arial" w:hAnsi="Arial"/>
          <w:sz w:val="22"/>
        </w:rPr>
        <w:t xml:space="preserve">— o</w:t>
      </w:r>
      <w:r>
        <w:rPr>
          <w:rFonts w:ascii="Arial" w:hAnsi="Arial"/>
          <w:sz w:val="22"/>
        </w:rPr>
        <w:t xml:space="preserve"> </w:t>
      </w:r>
      <m:oMath>
        <m:sSup>
          <m:e>
            <m:r>
              <m:t>χ</m:t>
            </m:r>
          </m:e>
          <m:sup>
            <m:r>
              <m:t>2</m:t>
            </m:r>
          </m:sup>
        </m:sSup>
      </m:oMath>
      <w:r>
        <w:rPr>
          <w:rFonts w:ascii="Arial" w:hAnsi="Arial"/>
          <w:sz w:val="22"/>
        </w:rPr>
        <w:t xml:space="preserve"> </w:t>
      </w:r>
      <w:r>
        <w:rPr>
          <w:rFonts w:ascii="Arial" w:hAnsi="Arial"/>
          <w:sz w:val="22"/>
        </w:rPr>
        <w:t xml:space="preserve">deve ser lido como magnitude relativa entre degraus, não como teste (MHE, cap. 8).</w:t>
      </w:r>
    </w:p>
    <w:tbl>
      <w:tblPr>
        <w:tblStyle w:val="Table"/>
        <w:tblW w:type="auto" w:w="0"/>
        <w:tblLayout w:type="fixed"/>
        <w:tblLook w:firstRow="1" w:lastRow="0" w:firstColumn="0" w:lastColumn="0" w:noHBand="0" w:noVBand="0" w:val="0020"/>
        <w:tblCaption w:val="Tabela 8.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7.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79"/>
    <w:p>
      <w:pPr>
        <w:pStyle w:val="BodyText"/>
        <w:spacing w:line="240" w:lineRule="auto" w:before="40" w:after="240"/>
        <w:ind w:firstLine="0"/>
        <w:jc w:val="both"/>
      </w:pPr>
      <w:r>
        <w:rPr>
          <w:rFonts w:ascii="Arial" w:hAnsi="Arial"/>
          <w:sz w:val="22"/>
        </w:rPr>
        <w:t xml:space="preserve">Fonte: Resultados originais da pesquisa.</w:t>
      </w:r>
    </w:p>
    <w:bookmarkEnd w:id="80"/>
    <w:bookmarkStart w:id="88"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81" w:name="subsec:qr_rif"/>
      <w:bookmarkEnd w:id="81"/>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 xml:space="preserve">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9</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 xml:space="preserve">pessoas de mesmo perfil); a</w:t>
      </w:r>
      <w:r>
        <w:rPr>
          <w:rFonts w:ascii="Arial" w:hAnsi="Arial"/>
          <w:sz w:val="22"/>
        </w:rPr>
        <w:t xml:space="preserve"> </w:t>
      </w:r>
      <w:r>
        <w:rPr>
          <w:rFonts w:ascii="Arial" w:hAnsi="Arial"/>
          <w:sz w:val="22"/>
        </w:rPr>
        <w:t xml:space="preserve">Tabela 10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10,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xml:space="preserve">;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 xml:space="preserve">As colunas por sexo da Tabela 9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Fortin; Lemieux,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 xml:space="preserve">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bookmarkStart w:id="82" w:name="tab:qr_melhorias"/>
    <w:p>
      <w:pPr>
        <w:pStyle w:val="TableCaption"/>
        <w:keepNext/>
        <w:keepLines/>
        <w:spacing w:line="240" w:lineRule="auto" w:before="240" w:after="40"/>
        <w:ind w:firstLine="0"/>
        <w:jc w:val="both"/>
      </w:pPr>
      <w:r>
        <w:rPr>
          <w:rFonts w:ascii="Arial" w:hAnsi="Arial"/>
          <w:sz w:val="22"/>
        </w:rPr>
        <w:t xml:space="preserve">Tabela 9.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tbl>
      <w:tblPr>
        <w:tblStyle w:val="Table"/>
        <w:tblW w:type="auto" w:w="0"/>
        <w:tblLayout w:type="fixed"/>
        <w:tblLook w:firstRow="0" w:lastRow="0" w:firstColumn="0" w:lastColumn="0" w:noHBand="0" w:noVBand="0" w:val="0000"/>
        <w:tblCaption w:val="Tabela 9.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82"/>
    <w:p>
      <w:pPr>
        <w:pStyle w:val="BodyText"/>
        <w:spacing w:line="240" w:lineRule="auto" w:before="40" w:after="240"/>
        <w:ind w:firstLine="0"/>
        <w:jc w:val="both"/>
      </w:pPr>
      <w:r>
        <w:rPr>
          <w:rFonts w:ascii="Arial" w:hAnsi="Arial"/>
          <w:sz w:val="22"/>
        </w:rPr>
        <w:t xml:space="preserve">Fonte: Resultados originais da pesquisa.</w:t>
      </w:r>
    </w:p>
    <w:bookmarkStart w:id="83" w:name="tab:rif_ob"/>
    <w:p>
      <w:pPr>
        <w:pStyle w:val="TableCaption"/>
        <w:keepNext/>
        <w:keepLines/>
        <w:spacing w:line="240" w:lineRule="auto" w:before="240" w:after="40"/>
        <w:ind w:firstLine="0"/>
        <w:jc w:val="both"/>
      </w:pPr>
      <w:r>
        <w:rPr>
          <w:rFonts w:ascii="Arial" w:hAnsi="Arial"/>
          <w:sz w:val="22"/>
        </w:rPr>
        <w:t xml:space="preserve">Tabela 10. Decomposição RIF-OB</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(referência: estrutura de preços</w:t>
      </w:r>
      <w:r>
        <w:rPr>
          <w:rFonts w:ascii="Arial" w:hAnsi="Arial"/>
          <w:sz w:val="22"/>
        </w:rPr>
        <w:t xml:space="preserve"> </w:t>
      </w:r>
      <w:r>
        <w:rPr>
          <w:rFonts w:ascii="Arial" w:hAnsi="Arial"/>
          <w:sz w:val="22"/>
        </w:rPr>
        <w:t xml:space="preserve">dos brancos). Mesmos controles da decomposição de Oaxaca–Blinder sem ocupação (escolaridade,</w:t>
      </w:r>
      <w:r>
        <w:rPr>
          <w:rFonts w:ascii="Arial" w:hAnsi="Arial"/>
          <w:sz w:val="22"/>
        </w:rPr>
        <w:t xml:space="preserve"> </w:t>
      </w:r>
      <w:r>
        <w:rPr>
          <w:rFonts w:ascii="Arial" w:hAnsi="Arial"/>
          <w:sz w:val="22"/>
        </w:rPr>
        <w:t xml:space="preserve">idade, sexo, jornada, área urbana, ano e contexto do bairro), mais efeitos fixos de UF; a ocupação</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entra.</w:t>
      </w:r>
      <w:r>
        <w:rPr>
          <w:rFonts w:ascii="Arial" w:hAnsi="Arial"/>
          <w:sz w:val="22"/>
        </w:rPr>
        <w:t xml:space="preserve"> </w:t>
      </w:r>
      <w:r>
        <w:rPr>
          <w:rFonts w:ascii="Arial" w:hAnsi="Arial"/>
          <w:sz w:val="22"/>
        </w:rPr>
        <w:t xml:space="preserve">Dotações: diferença de características observáveis. Retornos: parcela não explicada, que</w:t>
      </w:r>
      <w:r>
        <w:rPr>
          <w:rFonts w:ascii="Arial" w:hAnsi="Arial"/>
          <w:sz w:val="22"/>
        </w:rPr>
        <w:t xml:space="preserve"> </w:t>
      </w:r>
      <w:r>
        <w:rPr>
          <w:rFonts w:ascii="Arial" w:hAnsi="Arial"/>
          <w:sz w:val="22"/>
        </w:rPr>
        <w:t xml:space="preserve">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w:t>
      </w:r>
      <w:r>
        <w:rPr>
          <w:rFonts w:ascii="Arial" w:hAnsi="Arial"/>
          <w:sz w:val="22"/>
        </w:rPr>
        <w:t xml:space="preserve"> </w:t>
      </w:r>
      <w:r>
        <w:rPr>
          <w:rFonts w:ascii="Arial" w:hAnsi="Arial"/>
          <w:sz w:val="22"/>
        </w:rPr>
        <w:t xml:space="preserve">— que é o gap decomposto pelo</w:t>
      </w:r>
      <w:r>
        <w:rPr>
          <w:rFonts w:ascii="Arial" w:hAnsi="Arial"/>
          <w:sz w:val="22"/>
        </w:rPr>
        <w:t xml:space="preserve"> </w:t>
      </w:r>
      <w:r>
        <w:rPr>
          <w:rFonts w:ascii="Arial" w:hAnsi="Arial"/>
          <w:sz w:val="22"/>
        </w:rPr>
        <w:t xml:space="preserve">método e difere do gap observado da segunda coluna; as porcentagens</w:t>
      </w:r>
      <w:r>
        <w:rPr>
          <w:rFonts w:ascii="Arial" w:hAnsi="Arial"/>
          <w:sz w:val="22"/>
        </w:rPr>
        <w:t xml:space="preserve"> </w:t>
      </w:r>
      <w:r>
        <w:rPr>
          <w:rFonts w:ascii="Arial" w:hAnsi="Arial"/>
          <w:sz w:val="22"/>
        </w:rPr>
        <w:t xml:space="preserve">são fração daquele, não deste. Padrão</w:t>
      </w:r>
      <w:r>
        <w:rPr>
          <w:rFonts w:ascii="Arial" w:hAnsi="Arial"/>
          <w:sz w:val="22"/>
        </w:rPr>
        <w:t xml:space="preserve"> </w:t>
      </w:r>
      <w:r>
        <w:rPr>
          <w:rFonts w:ascii="Arial" w:hAnsi="Arial"/>
          <w:sz w:val="22"/>
        </w:rPr>
        <w:t xml:space="preserve">sticky floor</w:t>
      </w:r>
      <w:r>
        <w:rPr>
          <w:rFonts w:ascii="Arial" w:hAnsi="Arial"/>
          <w:sz w:val="22"/>
        </w:rPr>
        <w:t xml:space="preserve">: a parcela de retornos</w:t>
      </w:r>
      <w:r>
        <w:rPr>
          <w:rFonts w:ascii="Arial" w:hAnsi="Arial"/>
          <w:sz w:val="22"/>
        </w:rPr>
        <w:t xml:space="preserve"> </w:t>
      </w:r>
      <w:r>
        <w:rPr>
          <w:rFonts w:ascii="Arial" w:hAnsi="Arial"/>
          <w:sz w:val="22"/>
        </w:rPr>
        <w:t xml:space="preserve">é maior na base e decresce rumo ao topo. PNAD Contínua 2016–2025,</w:t>
      </w:r>
      <w:r>
        <w:rPr>
          <w:rFonts w:ascii="Arial" w:hAnsi="Arial"/>
          <w:sz w:val="22"/>
        </w:rPr>
        <w:t xml:space="preserve"> </w:t>
      </w:r>
      <w:r>
        <w:rPr>
          <w:rFonts w:ascii="Arial" w:hAnsi="Arial"/>
          <w:sz w:val="22"/>
        </w:rPr>
        <w:t xml:space="preserve">população completa. Entre parênteses: erro-padrão por bootstrap em blocos por UPA.</w:t>
      </w:r>
    </w:p>
    <w:tbl>
      <w:tblPr>
        <w:tblStyle w:val="Table"/>
        <w:tblW w:type="auto" w:w="0"/>
        <w:tblLayout w:type="fixed"/>
        <w:tblLook w:firstRow="1" w:lastRow="0" w:firstColumn="0" w:lastColumn="0" w:noHBand="0" w:noVBand="0" w:val="0020"/>
        <w:tblCaption w:val="Tabela 10. Decomposição RIF-OB (Firpo; Fortin; Lemieux,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83"/>
    <w:p>
      <w:pPr>
        <w:pStyle w:val="BodyText"/>
        <w:spacing w:line="240" w:lineRule="auto" w:before="40" w:after="240"/>
        <w:ind w:firstLine="0"/>
        <w:jc w:val="both"/>
      </w:pPr>
      <w:r>
        <w:rPr>
          <w:rFonts w:ascii="Arial" w:hAnsi="Arial"/>
          <w:sz w:val="22"/>
        </w:rPr>
        <w:t xml:space="preserve">Fonte: Resultados originais da pesquisa.</w:t>
      </w:r>
    </w:p>
    <w:p>
      <w:pPr>
        <w:pStyle w:val="BodyText"/>
        <w:spacing w:line="360" w:lineRule="auto" w:after="0"/>
        <w:ind w:firstLine="709"/>
        <w:jc w:val="both"/>
      </w:pPr>
      <w:r>
        <w:rPr>
          <w:rFonts w:ascii="Arial" w:hAnsi="Arial"/>
          <w:sz w:val="22"/>
        </w:rPr>
        <w:t xml:space="preserve">A Figura 7 põe os dois ângulos lado a lado.</w:t>
      </w:r>
    </w:p>
    <w:bookmarkStart w:id="87" w:name="fig:qr_rif"/>
    <w:p>
      <w:pPr>
        <w:pStyle w:val="CaptionedFigure"/>
        <w:keepNext/>
        <w:keepLines/>
      </w:pPr>
      <w:r>
        <w:rPr>
          <w:rFonts w:ascii="Arial" w:hAnsi="Arial"/>
          <w:sz w:val="22"/>
        </w:rPr>
        <w:drawing>
          <wp:inline>
            <wp:extent cx="5638038" cy="2038241"/>
            <wp:effectExtent b="0" l="0" r="0" t="0"/>
            <wp:docPr descr="" title="" id="85" name="Picture"/>
            <a:graphic>
              <a:graphicData uri="http://schemas.openxmlformats.org/drawingml/2006/picture">
                <pic:pic>
                  <pic:nvPicPr>
                    <pic:cNvPr descr="outputs/figures/fig_qr_rif.png" id="86" name="Picture"/>
                    <pic:cNvPicPr>
                      <a:picLocks noChangeArrowheads="1" noChangeAspect="1"/>
                    </pic:cNvPicPr>
                  </pic:nvPicPr>
                  <pic:blipFill>
                    <a:blip r:embed="rId84"/>
                    <a:stretch>
                      <a:fillRect/>
                    </a:stretch>
                  </pic:blipFill>
                  <pic:spPr bwMode="auto">
                    <a:xfrm>
                      <a:off x="0" y="0"/>
                      <a:ext cx="5638038" cy="203824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 xml:space="preserve">por bootstrap em blocos de UPA); à direita,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à esquerda,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À direita,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8"/>
    <w:bookmarkStart w:id="97"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 xml:space="preserve">Até aqui, raça foi tratada como um eixo só; a última etapa pergunta quem está na interseção.</w:t>
      </w:r>
      <w:r>
        <w:rPr>
          <w:rFonts w:ascii="Arial" w:hAnsi="Arial"/>
          <w:sz w:val="22"/>
        </w:rPr>
        <w:t xml:space="preserve"> </w:t>
      </w:r>
      <w:bookmarkStart w:id="89" w:name="subsec:interseccional"/>
      <w:bookmarkEnd w:id="89"/>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90"/>
      </w:r>
      <w:r>
        <w:rPr>
          <w:rFonts w:ascii="Arial" w:hAnsi="Arial"/>
          <w:sz w:val="22"/>
        </w:rPr>
        <w:t xml:space="preserve"> </w:t>
      </w:r>
      <w:r>
        <w:rPr>
          <w:rFonts w:ascii="Arial" w:hAnsi="Arial"/>
          <w:sz w:val="22"/>
        </w:rPr>
        <w:t xml:space="preserve">A Tabela 11 traz a decomposição de Oaxaca–Blinder dos quatro grupos contra o homem branco, e a Figura 8, as razões de chance nos três desfechos.</w:t>
      </w:r>
    </w:p>
    <w:bookmarkStart w:id="91"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 Dotações: parcela explicada por</w:t>
      </w:r>
      <w:r>
        <w:rPr>
          <w:rFonts w:ascii="Arial" w:hAnsi="Arial"/>
          <w:sz w:val="22"/>
        </w:rPr>
        <w:t xml:space="preserve"> </w:t>
      </w:r>
      <w:r>
        <w:rPr>
          <w:rFonts w:ascii="Arial" w:hAnsi="Arial"/>
          <w:sz w:val="22"/>
        </w:rPr>
        <w:t xml:space="preserve">características observáveis; Retornos: parcela não explicada (discriminação). Gap (log):</w:t>
      </w:r>
      <w:r>
        <w:rPr>
          <w:rFonts w:ascii="Arial" w:hAnsi="Arial"/>
          <w:sz w:val="22"/>
        </w:rPr>
        <w:t xml:space="preserve"> </w:t>
      </w:r>
      <w:r>
        <w:rPr>
          <w:rFonts w:ascii="Arial" w:hAnsi="Arial"/>
          <w:sz w:val="22"/>
        </w:rPr>
        <w:t xml:space="preserve">a mesma desvantagem em log-pontos, a escala em que os efeitos de raça e de gênero se somam</w:t>
      </w:r>
      <w:r>
        <w:rPr>
          <w:rFonts w:ascii="Arial" w:hAnsi="Arial"/>
          <w:sz w:val="22"/>
        </w:rPr>
        <w:t xml:space="preserve"> </w:t>
      </w:r>
      <w:r>
        <w:rPr>
          <w:rFonts w:ascii="Arial" w:hAnsi="Arial"/>
          <w:sz w:val="22"/>
        </w:rPr>
        <w:t xml:space="preserve">(Crenshaw, 1989)</w:t>
      </w:r>
      <w:r>
        <w:rPr>
          <w:rFonts w:ascii="Arial" w:hAnsi="Arial"/>
          <w:sz w:val="22"/>
        </w:rPr>
        <w:t xml:space="preserve">. PNAD Contínua, população completa</w:t>
      </w:r>
      <w:r>
        <w:rPr>
          <w:rFonts w:ascii="Arial" w:hAnsi="Arial"/>
          <w:sz w:val="22"/>
        </w:rPr>
        <w:t xml:space="preserve"> </w:t>
      </w:r>
      <w:r>
        <w:rPr>
          <w:rFonts w:ascii="Arial" w:hAnsi="Arial"/>
          <w:sz w:val="22"/>
        </w:rPr>
        <w:t xml:space="preserve">(</w:t>
      </w:r>
      <m:oMath>
        <m:r>
          <m:t>N</m:t>
        </m:r>
      </m:oMath>
      <w:r>
        <w:rPr>
          <w:rFonts w:ascii="Arial" w:hAnsi="Arial"/>
          <w:sz w:val="22"/>
        </w:rPr>
        <w:t xml:space="preserve"> </w:t>
      </w:r>
      <w:r>
        <w:rPr>
          <w:rFonts w:ascii="Arial" w:hAnsi="Arial"/>
          <w:sz w:val="22"/>
        </w:rPr>
        <w:t xml:space="preserve">do grupo de referência — homens brancos — na última linha da nota). Entre</w:t>
      </w:r>
      <w:r>
        <w:rPr>
          <w:rFonts w:ascii="Arial" w:hAnsi="Arial"/>
          <w:sz w:val="22"/>
        </w:rPr>
        <w:t xml:space="preserve"> </w:t>
      </w:r>
      <w:r>
        <w:rPr>
          <w:rFonts w:ascii="Arial" w:hAnsi="Arial"/>
          <w:sz w:val="22"/>
        </w:rPr>
        <w:t xml:space="preserve">parênteses: erro-padrão por bootstrap em blocos por UPA.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“Gap vs HB”</w:t>
      </w:r>
      <w:r>
        <w:rPr>
          <w:rFonts w:ascii="Arial" w:hAnsi="Arial"/>
          <w:sz w:val="22"/>
        </w:rPr>
        <w:t xml:space="preserve"> </w:t>
      </w:r>
      <w:r>
        <w:rPr>
          <w:rFonts w:ascii="Arial" w:hAnsi="Arial"/>
          <w:sz w:val="22"/>
        </w:rPr>
        <w:t xml:space="preserve">é a desvantagem de renda de cada grupo</w:t>
      </w:r>
      <w:r>
        <w:rPr>
          <w:rFonts w:ascii="Arial" w:hAnsi="Arial"/>
          <w:sz w:val="22"/>
        </w:rPr>
        <w:t xml:space="preserve"> </w:t>
      </w:r>
      <w:r>
        <w:rPr>
          <w:rFonts w:ascii="Arial" w:hAnsi="Arial"/>
          <w:sz w:val="22"/>
        </w:rPr>
        <w:t xml:space="preserve">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A Mulher Negra tem o</w:t>
      </w:r>
      <w:r>
        <w:rPr>
          <w:rFonts w:ascii="Arial" w:hAnsi="Arial"/>
          <w:sz w:val="22"/>
        </w:rPr>
        <w:t xml:space="preserve"> </w:t>
      </w:r>
      <w:r>
        <w:rPr>
          <w:rFonts w:ascii="Arial" w:hAnsi="Arial"/>
          <w:sz w:val="22"/>
        </w:rPr>
        <w:t xml:space="preserve">maior gap. Em log-pontos, o gap da Mulher Negra (0,592) fica abaixo da soma dos gaps da Mulher Branca e do Homem Negro (0,629): as desvantagens de raça e de gênero se acumulam sem se multiplicar — a interação é sub-aditiva, como no modelo de acesso. Somar os percentuais daria a impressão contrária, porque a escala percentual é convexa. O sinal negativo das dotações da Mulher</w:t>
      </w:r>
      <w:r>
        <w:rPr>
          <w:rFonts w:ascii="Arial" w:hAnsi="Arial"/>
          <w:sz w:val="22"/>
        </w:rPr>
        <w:t xml:space="preserve"> </w:t>
      </w:r>
      <w:r>
        <w:rPr>
          <w:rFonts w:ascii="Arial" w:hAnsi="Arial"/>
          <w:sz w:val="22"/>
        </w:rPr>
        <w:t xml:space="preserve">Branca indica que suas características observáveis</w:t>
      </w:r>
      <w:r>
        <w:rPr>
          <w:rFonts w:ascii="Arial" w:hAnsi="Arial"/>
          <w:sz w:val="22"/>
        </w:rPr>
        <w:t xml:space="preserve"> </w:t>
      </w:r>
      <w:r>
        <w:rPr>
          <w:rFonts w:ascii="Arial" w:hAnsi="Arial"/>
          <w:sz w:val="22"/>
        </w:rPr>
        <w:t xml:space="preserve">superam</w:t>
      </w:r>
      <w:r>
        <w:rPr>
          <w:rFonts w:ascii="Arial" w:hAnsi="Arial"/>
          <w:sz w:val="22"/>
        </w:rPr>
        <w:t xml:space="preserve"> </w:t>
      </w:r>
      <w:r>
        <w:rPr>
          <w:rFonts w:ascii="Arial" w:hAnsi="Arial"/>
          <w:sz w:val="22"/>
        </w:rPr>
        <w:t xml:space="preserve">as do homem branco: todo</w:t>
      </w:r>
      <w:r>
        <w:rPr>
          <w:rFonts w:ascii="Arial" w:hAnsi="Arial"/>
          <w:sz w:val="22"/>
        </w:rPr>
        <w:t xml:space="preserve"> </w:t>
      </w:r>
      <w:r>
        <w:rPr>
          <w:rFonts w:ascii="Arial" w:hAnsi="Arial"/>
          <w:sz w:val="22"/>
        </w:rPr>
        <w:t xml:space="preserve">o gap vem de retornos diferenciais. Grupo de referência: 1.842.088 homens brancos.</w:t>
      </w:r>
    </w:p>
    <w:bookmarkStart w:id="95" w:name="fig:interseccional"/>
    <w:p>
      <w:pPr>
        <w:pStyle w:val="CaptionedFigure"/>
        <w:keepNext/>
        <w:keepLines/>
      </w:pPr>
      <w:r>
        <w:rPr>
          <w:rFonts w:ascii="Arial" w:hAnsi="Arial"/>
          <w:sz w:val="22"/>
        </w:rPr>
        <w:drawing>
          <wp:inline>
            <wp:extent cx="4717542" cy="1814439"/>
            <wp:effectExtent b="0" l="0" r="0" t="0"/>
            <wp:docPr descr="" title="" id="93" name="Picture"/>
            <a:graphic>
              <a:graphicData uri="http://schemas.openxmlformats.org/drawingml/2006/picture">
                <pic:pic>
                  <pic:nvPicPr>
                    <pic:cNvPr descr="outputs/figures/grupo_rg_interseccional.png" id="94" name="Picture"/>
                    <pic:cNvPicPr>
                      <a:picLocks noChangeArrowheads="1" noChangeAspect="1"/>
                    </pic:cNvPicPr>
                  </pic:nvPicPr>
                  <pic:blipFill>
                    <a:blip r:embed="rId92"/>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8.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8: cada série é um grupo raça</w:t>
      </w:r>
      <m:oMath>
        <m:r>
          <m:rPr>
            <m:sty m:val="p"/>
          </m:rPr>
          <m:t>×</m:t>
        </m:r>
      </m:oMath>
      <w:r>
        <w:rPr>
          <w:rFonts w:ascii="Arial" w:hAnsi="Arial"/>
          <w:sz w:val="22"/>
        </w:rPr>
        <w:t xml:space="preserve">gênero e cada ponto, a razão de chances contra o homem branco, cuja referência é a linha tracejada em 1; abaixo dela, o grupo tem menos chance que ele. À esquerda, siga a série azul (mulher negra): ela aparece acima da referência na categoria agregada e termina como o grupo mais distante da referência no topo da renda. À direita,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 xml:space="preserve">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6"/>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7"/>
    <w:bookmarkStart w:id="99"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bookmarkStart w:id="98"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 Penalidade salarial: HLM M3 (mesmo bairro, escolaridade, idade, sexo,</w:t>
      </w:r>
      <w:r>
        <w:rPr>
          <w:rFonts w:ascii="Arial" w:hAnsi="Arial"/>
          <w:sz w:val="22"/>
        </w:rPr>
        <w:t xml:space="preserve"> </w:t>
      </w:r>
      <w:r>
        <w:rPr>
          <w:rFonts w:ascii="Arial" w:hAnsi="Arial"/>
          <w:sz w:val="22"/>
        </w:rPr>
        <w:t xml:space="preserve">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 xml:space="preserve">(VD4009);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OR abaixo de 1 é menor chance que a de um branco</w:t>
      </w:r>
      <w:r>
        <w:rPr>
          <w:rFonts w:ascii="Arial" w:hAnsi="Arial"/>
          <w:sz w:val="22"/>
        </w:rPr>
        <w:t xml:space="preserve"> </w:t>
      </w:r>
      <w:r>
        <w:rPr>
          <w:rFonts w:ascii="Arial" w:hAnsi="Arial"/>
          <w:sz w:val="22"/>
        </w:rPr>
        <w:t xml:space="preserve">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 xml:space="preserve">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xml:space="preserve">;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 xml:space="preserve">A penalidade cresce com a idade: 1,7% entre 14 e 29 anos, 8,8% entre 50 e 64 e 14,7% a partir dos 65. Dados transversais não separam as duas leituras possíveis: a de ciclo de vida (a desigualdade se acumula ao longo da carreira) é compatível com o teto de vidro; a de coorte, com melhora entre gerações. Acima dos 65 anos, o grupo é selecionado — só quem ainda trabalha — e menor, o que pede cautela com essa estimativa.</w:t>
      </w:r>
    </w:p>
    <w:bookmarkEnd w:id="99"/>
    <w:bookmarkStart w:id="119"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100" w:name="subsec:ml"/>
      <w:bookmarkEnd w:id="100"/>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101"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10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13: R</w:t>
      </w:r>
      <w:r>
        <w:rPr>
          <w:rFonts w:ascii="Arial" w:hAnsi="Arial"/>
          <w:sz w:val="22"/>
          <w:vertAlign w:val="superscript"/>
        </w:rPr>
        <w:t xml:space="preserve">2</w:t>
      </w:r>
      <w:r>
        <w:rPr>
          <w:rFonts w:ascii="Arial" w:hAnsi="Arial"/>
          <w:sz w:val="22"/>
        </w:rPr>
        <w:t xml:space="preserve"> </w:t>
      </w:r>
      <w:r>
        <w:rPr>
          <w:rFonts w:ascii="Arial" w:hAnsi="Arial"/>
          <w:sz w:val="22"/>
        </w:rPr>
        <w:t xml:space="preserve">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w:t>
      </w:r>
      <w:r>
        <w:rPr>
          <w:rStyle w:val="FootnoteReference"/>
          <w:rFonts w:ascii="Arial" w:hAnsi="Arial"/>
          <w:sz w:val="22"/>
          <w:vertAlign w:val="superscript"/>
        </w:rPr>
        <w:footnoteReference w:id="102"/>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103" w:name="tab:ml_cv"/>
    <w:p>
      <w:pPr>
        <w:pStyle w:val="TableCaption"/>
        <w:keepNext/>
        <w:keepLines/>
        <w:spacing w:line="240" w:lineRule="auto" w:before="240" w:after="40"/>
        <w:ind w:firstLine="0"/>
        <w:jc w:val="both"/>
      </w:pPr>
      <w:r>
        <w:rPr>
          <w:rFonts w:ascii="Arial" w:hAnsi="Arial"/>
          <w:sz w:val="22"/>
        </w:rPr>
        <w:t xml:space="preserve">Tabela 14. Escolha de hiperparâmetros e validação cruzada do XGBoost (Alencar, 2024)</w:t>
      </w:r>
      <w:r>
        <w:rPr>
          <w:rFonts w:ascii="Arial" w:hAnsi="Arial"/>
          <w:sz w:val="22"/>
        </w:rPr>
        <w:t xml:space="preserve"> </w:t>
      </w:r>
      <w:r>
        <w:rPr>
          <w:rFonts w:ascii="Arial" w:hAnsi="Arial"/>
          <w:sz w:val="22"/>
        </w:rPr>
        <w:t xml:space="preserve">(Géron, 2021)</w:t>
      </w:r>
      <w:r>
        <w:rPr>
          <w:rFonts w:ascii="Arial" w:hAnsi="Arial"/>
          <w:sz w:val="22"/>
        </w:rPr>
        <w:t xml:space="preserve">. Painel A: seis configurações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Painel B: validação</w:t>
      </w:r>
      <w:r>
        <w:rPr>
          <w:rFonts w:ascii="Arial" w:hAnsi="Arial"/>
          <w:sz w:val="22"/>
        </w:rPr>
        <w:t xml:space="preserve"> </w:t>
      </w:r>
      <w:r>
        <w:rPr>
          <w:rFonts w:ascii="Arial" w:hAnsi="Arial"/>
          <w:sz w:val="22"/>
        </w:rPr>
        <w:t xml:space="preserve">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 com média e</w:t>
      </w:r>
      <w:r>
        <w:rPr>
          <w:rFonts w:ascii="Arial" w:hAnsi="Arial"/>
          <w:sz w:val="22"/>
        </w:rPr>
        <w:t xml:space="preserve"> </w:t>
      </w:r>
      <w:r>
        <w:rPr>
          <w:rFonts w:ascii="Arial" w:hAnsi="Arial"/>
          <w:sz w:val="22"/>
        </w:rPr>
        <w:t xml:space="preserve">desvio-padrão entre</w:t>
      </w:r>
      <w:r>
        <w:rPr>
          <w:rFonts w:ascii="Arial" w:hAnsi="Arial"/>
          <w:sz w:val="22"/>
        </w:rPr>
        <w:t xml:space="preserve"> </w:t>
      </w:r>
      <w:r>
        <w:rPr>
          <w:rFonts w:ascii="Arial" w:hAnsi="Arial"/>
          <w:sz w:val="22"/>
        </w:rPr>
        <w:t xml:space="preserve">folds</w:t>
      </w:r>
      <w:r>
        <w:rPr>
          <w:rFonts w:ascii="Arial" w:hAnsi="Arial"/>
          <w:sz w:val="22"/>
        </w:rPr>
        <w:t xml:space="preserve">. População completa: 6.159.418 observações de</w:t>
      </w:r>
      <w:r>
        <w:rPr>
          <w:rFonts w:ascii="Arial" w:hAnsi="Arial"/>
          <w:sz w:val="22"/>
        </w:rPr>
        <w:t xml:space="preserve"> </w:t>
      </w:r>
      <w:r>
        <w:rPr>
          <w:rFonts w:ascii="Arial" w:hAnsi="Arial"/>
          <w:sz w:val="22"/>
        </w:rPr>
        <w:t xml:space="preserve">treino e 1.539.855 de teste; nenhuma amostragem.</w:t>
      </w:r>
    </w:p>
    <w:tbl>
      <w:tblPr>
        <w:tblStyle w:val="Table"/>
        <w:tblW w:type="auto" w:w="0"/>
        <w:tblLayout w:type="fixed"/>
        <w:tblLook w:firstRow="1" w:lastRow="0" w:firstColumn="0" w:lastColumn="0" w:noHBand="0" w:noVBand="0" w:val="0020"/>
        <w:tblCaption w:val="Tabela 14. Escolha de hiperparâmetros e validação cruzada do XGBoost (Alencar, 2024) (Géron, 2021). Painel A: seis configurações comparadas numa partição de validação dentro do treino — o conjunto de teste permanece intocado. Painel B: validação cruzada k-fold (k=5) no treino completo, com média e desvio-padrão entre folds. População completa: 6.159.418 observações de treino e 1.539.855 de teste; nenhuma amostragem."/>
        <w:tblBorders>
          <w:top w:val="nil"/>
          <w:left w:val="nil"/>
          <w:bottom w:val="nil"/>
          <w:right w:val="nil"/>
          <w:insideH w:val="nil"/>
          <w:insideV w:val="nil"/>
        </w:tblBorders>
      </w:tblPr>
      <w:tblGrid>
        <w:gridCol w:w="1647"/>
        <w:gridCol w:w="1611"/>
        <w:gridCol w:w="1684"/>
        <w:gridCol w:w="1299"/>
        <w:gridCol w:w="1299"/>
        <w:gridCol w:w="1531"/>
      </w:tblGrid>
      <w:tr>
        <w:trPr>
          <w:tblHeader w:val="on"/>
          <w:cantSplit/>
        </w:trPr>
        <w:tc>
          <w:tcPr>
            <w:tcW w:type="dxa" w:w="1531"/>
            <w:gridSpan w:val="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A. Busca na partição de validação</w:t>
            </w:r>
          </w:p>
        </w:tc>
      </w:tr>
      <w:tr>
        <w:trPr>
          <w:cantSplit/>
        </w:trPr>
        <w:tc>
          <w:tcPr>
            <w:tcW w:type="dxa" w:w="1647"/>
          </w:tcPr>
          <w:p>
            <w:pPr>
              <w:pStyle w:val="Compact"/>
              <w:keepNext/>
              <w:spacing w:line="240" w:lineRule="auto" w:after="0"/>
              <w:ind w:firstLine="0"/>
              <w:jc w:val="left"/>
            </w:pPr>
            <w:r>
              <w:rPr>
                <w:rFonts w:ascii="Arial" w:hAnsi="Arial"/>
                <w:b w:val="0"/>
                <w:sz w:val="20"/>
              </w:rPr>
              <w:t xml:space="preserve">Profundidade</w:t>
            </w:r>
          </w:p>
        </w:tc>
        <w:tc>
          <w:tcPr>
            <w:tcW w:type="dxa" w:w="1611"/>
          </w:tcPr>
          <w:p>
            <w:pPr>
              <w:pStyle w:val="Compact"/>
              <w:keepNext/>
              <w:spacing w:line="240" w:lineRule="auto" w:after="0"/>
              <w:ind w:firstLine="0"/>
              <w:jc w:val="left"/>
            </w:pPr>
            <w:r>
              <w:rPr>
                <w:rFonts w:ascii="Arial" w:hAnsi="Arial"/>
                <w:b w:val="0"/>
                <w:sz w:val="20"/>
              </w:rPr>
              <w:t xml:space="preserve">Taxa de aprendizado</w:t>
            </w:r>
          </w:p>
        </w:tc>
        <w:tc>
          <w:tcPr>
            <w:tcW w:type="dxa" w:w="1684"/>
          </w:tcPr>
          <w:p>
            <w:pPr>
              <w:pStyle w:val="Compact"/>
              <w:keepNext/>
              <w:spacing w:line="240" w:lineRule="auto" w:after="0"/>
              <w:ind w:firstLine="0"/>
              <w:jc w:val="left"/>
            </w:pPr>
            <w:r>
              <w:rPr>
                <w:rFonts w:ascii="Arial" w:hAnsi="Arial"/>
                <w:b w:val="0"/>
                <w:sz w:val="20"/>
              </w:rPr>
              <w:t xml:space="preserve">Árvores</w:t>
            </w:r>
          </w:p>
        </w:tc>
        <w:tc>
          <w:tcPr>
            <w:tcW w:type="dxa" w:w="1299"/>
          </w:tcPr>
          <w:p>
            <w:pPr>
              <w:pStyle w:val="Compact"/>
              <w:keepNext/>
              <w:spacing w:line="240" w:lineRule="auto" w:after="0"/>
              <w:ind w:firstLine="0"/>
              <w:jc w:val="left"/>
            </w:pPr>
            <w:r>
              <w:rPr>
                <w:rFonts w:ascii="Arial" w:hAnsi="Arial"/>
                <w:b w:val="0"/>
                <w:i/>
                <w:iCs/>
                <w:sz w:val="20"/>
              </w:rPr>
              <w:t xml:space="preserve">R</w:t>
            </w:r>
            <w:r>
              <w:rPr>
                <w:rFonts w:ascii="Arial" w:hAnsi="Arial"/>
                <w:b w:val="0"/>
                <w:sz w:val="20"/>
                <w:vertAlign w:val="superscript"/>
              </w:rPr>
              <w:t xml:space="preserve">2</w:t>
            </w:r>
          </w:p>
        </w:tc>
        <w:tc>
          <w:tcPr>
            <w:tcW w:type="dxa" w:w="1299"/>
          </w:tcPr>
          <w:p>
            <w:pPr>
              <w:pStyle w:val="Compact"/>
              <w:keepNext/>
              <w:spacing w:line="240" w:lineRule="auto" w:after="0"/>
              <w:ind w:firstLine="0"/>
              <w:jc w:val="left"/>
            </w:pPr>
            <w:r>
              <w:rPr>
                <w:rFonts w:ascii="Arial" w:hAnsi="Arial"/>
                <w:b w:val="0"/>
                <w:sz w:val="20"/>
              </w:rPr>
              <w:t xml:space="preserve">MAE</w:t>
            </w:r>
          </w:p>
        </w:tc>
        <w:tc>
          <w:tcPr>
            <w:tcW w:type="dxa" w:w="1531"/>
          </w:tcPr>
          <w:p>
            <w:pPr>
              <w:pStyle w:val="Compact"/>
              <w:keepNext/>
              <w:spacing w:line="240" w:lineRule="auto" w:after="0"/>
              <w:ind w:firstLine="0"/>
              <w:jc w:val="left"/>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bCs/>
                <w:sz w:val="20"/>
              </w:rPr>
              <w:t xml:space="preserve">10</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0,6427</w:t>
            </w:r>
          </w:p>
        </w:tc>
        <w:tc>
          <w:tcPr>
            <w:tcW w:type="dxa" w:w="1299"/>
          </w:tcPr>
          <w:p>
            <w:pPr>
              <w:pStyle w:val="Compact"/>
              <w:keepNext/>
              <w:spacing w:line="240" w:lineRule="auto" w:after="0"/>
              <w:ind w:firstLine="0"/>
              <w:jc w:val="right"/>
            </w:pPr>
            <w:r>
              <w:rPr>
                <w:rFonts w:ascii="Arial" w:hAnsi="Arial"/>
                <w:b w:val="0"/>
                <w:sz w:val="20"/>
              </w:rPr>
              <w:t xml:space="preserve">0,3977</w:t>
            </w:r>
          </w:p>
        </w:tc>
        <w:tc>
          <w:tcPr>
            <w:tcW w:type="dxa" w:w="1531"/>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600</w:t>
            </w:r>
          </w:p>
        </w:tc>
        <w:tc>
          <w:tcPr>
            <w:tcW w:type="dxa" w:w="1299"/>
          </w:tcPr>
          <w:p>
            <w:pPr>
              <w:pStyle w:val="Compact"/>
              <w:keepNext/>
              <w:spacing w:line="240" w:lineRule="auto" w:after="0"/>
              <w:ind w:firstLine="0"/>
              <w:jc w:val="right"/>
            </w:pPr>
            <w:r>
              <w:rPr>
                <w:rFonts w:ascii="Arial" w:hAnsi="Arial"/>
                <w:b w:val="0"/>
                <w:sz w:val="20"/>
              </w:rPr>
              <w:t xml:space="preserve">0,6395</w:t>
            </w:r>
          </w:p>
        </w:tc>
        <w:tc>
          <w:tcPr>
            <w:tcW w:type="dxa" w:w="1299"/>
          </w:tcPr>
          <w:p>
            <w:pPr>
              <w:pStyle w:val="Compact"/>
              <w:keepNext/>
              <w:spacing w:line="240" w:lineRule="auto" w:after="0"/>
              <w:ind w:firstLine="0"/>
              <w:jc w:val="right"/>
            </w:pPr>
            <w:r>
              <w:rPr>
                <w:rFonts w:ascii="Arial" w:hAnsi="Arial"/>
                <w:b w:val="0"/>
                <w:sz w:val="20"/>
              </w:rPr>
              <w:t xml:space="preserve">0,3995</w:t>
            </w:r>
          </w:p>
        </w:tc>
        <w:tc>
          <w:tcPr>
            <w:tcW w:type="dxa" w:w="1531"/>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0,6352</w:t>
            </w:r>
          </w:p>
        </w:tc>
        <w:tc>
          <w:tcPr>
            <w:tcW w:type="dxa" w:w="1299"/>
          </w:tcPr>
          <w:p>
            <w:pPr>
              <w:pStyle w:val="Compact"/>
              <w:keepNext/>
              <w:spacing w:line="240" w:lineRule="auto" w:after="0"/>
              <w:ind w:firstLine="0"/>
              <w:jc w:val="right"/>
            </w:pPr>
            <w:r>
              <w:rPr>
                <w:rFonts w:ascii="Arial" w:hAnsi="Arial"/>
                <w:b w:val="0"/>
                <w:sz w:val="20"/>
              </w:rPr>
              <w:t xml:space="preserve">0,4022</w:t>
            </w:r>
          </w:p>
        </w:tc>
        <w:tc>
          <w:tcPr>
            <w:tcW w:type="dxa" w:w="1531"/>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0,10</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0,6322</w:t>
            </w:r>
          </w:p>
        </w:tc>
        <w:tc>
          <w:tcPr>
            <w:tcW w:type="dxa" w:w="1299"/>
          </w:tcPr>
          <w:p>
            <w:pPr>
              <w:pStyle w:val="Compact"/>
              <w:keepNext/>
              <w:spacing w:line="240" w:lineRule="auto" w:after="0"/>
              <w:ind w:firstLine="0"/>
              <w:jc w:val="right"/>
            </w:pPr>
            <w:r>
              <w:rPr>
                <w:rFonts w:ascii="Arial" w:hAnsi="Arial"/>
                <w:b w:val="0"/>
                <w:sz w:val="20"/>
              </w:rPr>
              <w:t xml:space="preserve">0,4041</w:t>
            </w:r>
          </w:p>
        </w:tc>
        <w:tc>
          <w:tcPr>
            <w:tcW w:type="dxa" w:w="1531"/>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 (referência)</w:t>
            </w:r>
          </w:p>
        </w:tc>
        <w:tc>
          <w:tcPr>
            <w:tcW w:type="dxa" w:w="1299"/>
          </w:tcPr>
          <w:p>
            <w:pPr>
              <w:pStyle w:val="Compact"/>
              <w:keepNext/>
              <w:spacing w:line="240" w:lineRule="auto" w:after="0"/>
              <w:ind w:firstLine="0"/>
              <w:jc w:val="right"/>
            </w:pPr>
            <w:r>
              <w:rPr>
                <w:rFonts w:ascii="Arial" w:hAnsi="Arial"/>
                <w:b w:val="0"/>
                <w:sz w:val="20"/>
              </w:rPr>
              <w:t xml:space="preserve">0,6286</w:t>
            </w:r>
          </w:p>
        </w:tc>
        <w:tc>
          <w:tcPr>
            <w:tcW w:type="dxa" w:w="1299"/>
          </w:tcPr>
          <w:p>
            <w:pPr>
              <w:pStyle w:val="Compact"/>
              <w:keepNext/>
              <w:spacing w:line="240" w:lineRule="auto" w:after="0"/>
              <w:ind w:firstLine="0"/>
              <w:jc w:val="right"/>
            </w:pPr>
            <w:r>
              <w:rPr>
                <w:rFonts w:ascii="Arial" w:hAnsi="Arial"/>
                <w:b w:val="0"/>
                <w:sz w:val="20"/>
              </w:rPr>
              <w:t xml:space="preserve">0,4062</w:t>
            </w:r>
          </w:p>
        </w:tc>
        <w:tc>
          <w:tcPr>
            <w:tcW w:type="dxa" w:w="1531"/>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61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68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bookmarkEnd w:id="103"/>
    <w:tbl>
      <w:tblPr>
        <w:tblStyle w:val="Table"/>
        <w:tblW w:type="auto" w:w="0"/>
        <w:tblLayout w:type="fixed"/>
        <w:tblLook w:firstRow="1" w:lastRow="0" w:firstColumn="0" w:lastColumn="0" w:noHBand="0" w:noVBand="0" w:val="0020"/>
        <w:tblBorders>
          <w:top w:val="nil"/>
          <w:left w:val="nil"/>
          <w:bottom w:val="nil"/>
          <w:right w:val="nil"/>
          <w:insideH w:val="nil"/>
          <w:insideV w:val="nil"/>
        </w:tblBorders>
      </w:tblPr>
      <w:tblGrid>
        <w:gridCol w:w="2268"/>
        <w:gridCol w:w="2268"/>
        <w:gridCol w:w="2268"/>
        <w:gridCol w:w="2268"/>
      </w:tblGrid>
      <w:tr>
        <w:trPr>
          <w:tblHeader w:val="on"/>
          <w:cantSplit/>
        </w:trPr>
        <w:tc>
          <w:tcPr>
            <w:tcW w:type="dxa" w:w="2268"/>
            <w:gridSpan w:val="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2"/>
              </w:rPr>
              <w:t xml:space="preserve">B. Validação cruzada no treino (5</w:t>
            </w:r>
            <w:r>
              <w:rPr>
                <w:rFonts w:ascii="Arial" w:hAnsi="Arial"/>
                <w:b w:val="0"/>
                <w:bCs/>
                <w:sz w:val="22"/>
              </w:rPr>
              <w:t xml:space="preserve"> </w:t>
            </w:r>
            <w:r>
              <w:rPr>
                <w:rFonts w:ascii="Arial" w:hAnsi="Arial"/>
                <w:b w:val="0"/>
                <w:bCs/>
                <w:sz w:val="22"/>
              </w:rPr>
              <w:t xml:space="preserve">folds</w:t>
            </w:r>
            <w:r>
              <w:rPr>
                <w:rFonts w:ascii="Arial" w:hAnsi="Arial"/>
                <w:b w:val="0"/>
                <w:bCs/>
                <w:sz w:val="22"/>
              </w:rPr>
              <w:t xml:space="preserve">)</w:t>
            </w:r>
          </w:p>
        </w:tc>
      </w:tr>
      <w:tr>
        <w:trPr>
          <w:cantSplit/>
        </w:trPr>
        <w:tc>
          <w:tcPr>
            <w:tcW w:type="dxa" w:w="2268"/>
          </w:tcPr>
          <w:p>
            <w:pPr>
              <w:pStyle w:val="Compact"/>
              <w:keepNext/>
              <w:spacing w:line="240" w:lineRule="auto" w:after="0"/>
              <w:ind w:firstLine="0"/>
              <w:jc w:val="left"/>
            </w:pPr>
            <w:r>
              <w:rPr>
                <w:rFonts w:ascii="Arial" w:hAnsi="Arial"/>
                <w:b w:val="0"/>
                <w:sz w:val="22"/>
              </w:rPr>
              <w:t xml:space="preserve">Configuração</w:t>
            </w:r>
          </w:p>
        </w:tc>
        <w:tc>
          <w:tcPr>
            <w:tcW w:type="dxa" w:w="2268"/>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2268"/>
          </w:tcPr>
          <w:p>
            <w:pPr>
              <w:pStyle w:val="Compact"/>
              <w:keepNext/>
              <w:spacing w:line="240" w:lineRule="auto" w:after="0"/>
              <w:ind w:firstLine="0"/>
              <w:jc w:val="left"/>
            </w:pPr>
            <w:r>
              <w:rPr>
                <w:rFonts w:ascii="Arial" w:hAnsi="Arial"/>
                <w:b w:val="0"/>
                <w:sz w:val="22"/>
              </w:rPr>
              <w:t xml:space="preserve">MAE</w:t>
            </w:r>
          </w:p>
        </w:tc>
        <w:tc>
          <w:tcPr>
            <w:tcW w:type="dxa" w:w="2268"/>
          </w:tcPr>
          <w:p>
            <w:pPr>
              <w:pStyle w:val="Compact"/>
              <w:keepNext/>
              <w:spacing w:line="240" w:lineRule="auto" w:after="0"/>
              <w:ind w:firstLine="0"/>
              <w:jc w:val="left"/>
            </w:pPr>
            <w:r>
              <w:rPr>
                <w:rFonts w:ascii="Arial" w:hAnsi="Arial"/>
                <w:b w:val="0"/>
                <w:sz w:val="22"/>
              </w:rPr>
              <w:t xml:space="preserve">RMSE</w:t>
            </w:r>
          </w:p>
        </w:tc>
      </w:tr>
      <w:tr>
        <w:trPr>
          <w:cantSplit/>
        </w:trPr>
        <w:tc>
          <w:tcPr>
            <w:tcW w:type="dxa" w:w="2268"/>
          </w:tcPr>
          <w:p>
            <w:pPr>
              <w:pStyle w:val="Compact"/>
              <w:keepNext/>
              <w:spacing w:line="240" w:lineRule="auto" w:after="0"/>
              <w:ind w:firstLine="0"/>
              <w:jc w:val="left"/>
            </w:pPr>
            <w:r>
              <w:rPr>
                <w:rFonts w:ascii="Arial" w:hAnsi="Arial"/>
                <w:b w:val="0"/>
                <w:sz w:val="22"/>
              </w:rPr>
              <w:t xml:space="preserve">Escolhida (profundidade 10)</w:t>
            </w:r>
          </w:p>
        </w:tc>
        <w:tc>
          <w:tcPr>
            <w:tcW w:type="dxa" w:w="2268"/>
          </w:tcPr>
          <w:p>
            <w:pPr>
              <w:pStyle w:val="Compact"/>
              <w:keepNext/>
              <w:spacing w:line="240" w:lineRule="auto" w:after="0"/>
              <w:ind w:firstLine="0"/>
              <w:jc w:val="left"/>
            </w:pPr>
            <w:r>
              <w:rPr>
                <w:rFonts w:ascii="Arial" w:hAnsi="Arial"/>
                <w:b w:val="0"/>
                <w:sz w:val="22"/>
              </w:rPr>
              <w:t xml:space="preserve">0,6435 ± 0,0006</w:t>
            </w:r>
          </w:p>
        </w:tc>
        <w:tc>
          <w:tcPr>
            <w:tcW w:type="dxa" w:w="2268"/>
          </w:tcPr>
          <w:p>
            <w:pPr>
              <w:pStyle w:val="Compact"/>
              <w:keepNext/>
              <w:spacing w:line="240" w:lineRule="auto" w:after="0"/>
              <w:ind w:firstLine="0"/>
              <w:jc w:val="left"/>
            </w:pPr>
            <w:r>
              <w:rPr>
                <w:rFonts w:ascii="Arial" w:hAnsi="Arial"/>
                <w:b w:val="0"/>
                <w:sz w:val="22"/>
              </w:rPr>
              <w:t xml:space="preserve">0,3978 ± 0,0002</w:t>
            </w:r>
          </w:p>
        </w:tc>
        <w:tc>
          <w:tcPr>
            <w:tcW w:type="dxa" w:w="2268"/>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configuração escolhida ganha 1,4 ponto percentual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w:t>
      </w:r>
      <w:r>
        <w:rPr>
          <w:rFonts w:ascii="Arial" w:hAnsi="Arial"/>
          <w:sz w:val="22"/>
        </w:rPr>
        <w:t xml:space="preserve"> </w:t>
      </w:r>
      <w:r>
        <w:rPr>
          <w:rFonts w:ascii="Arial" w:hAnsi="Arial"/>
          <w:sz w:val="22"/>
        </w:rPr>
        <w:t xml:space="preserve">sobreajuste maior, mas ainda pequeno (Painel A). No conjunto de teste (intocado durante a</w:t>
      </w:r>
      <w:r>
        <w:rPr>
          <w:rFonts w:ascii="Arial" w:hAnsi="Arial"/>
          <w:sz w:val="22"/>
        </w:rPr>
        <w:t xml:space="preserve"> </w:t>
      </w:r>
      <w:r>
        <w:rPr>
          <w:rFonts w:ascii="Arial" w:hAnsi="Arial"/>
          <w:sz w:val="22"/>
        </w:rPr>
        <w:t xml:space="preserve">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a estabilidade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e o erro em reais são</w:t>
      </w:r>
      <w:r>
        <w:rPr>
          <w:rFonts w:ascii="Arial" w:hAnsi="Arial"/>
          <w:sz w:val="22"/>
        </w:rPr>
        <w:t xml:space="preserve"> </w:t>
      </w:r>
      <w:r>
        <w:rPr>
          <w:rFonts w:ascii="Arial" w:hAnsi="Arial"/>
          <w:sz w:val="22"/>
        </w:rPr>
        <w:t xml:space="preserve">discutidos no texto.</w:t>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4"/>
      </w:r>
      <w:r>
        <w:rPr>
          <w:rFonts w:ascii="Arial" w:hAnsi="Arial"/>
          <w:sz w:val="22"/>
        </w:rPr>
        <w:t xml:space="preserve">. Três evidências</w:t>
      </w:r>
      <w:r>
        <w:rPr>
          <w:rFonts w:ascii="Arial" w:hAnsi="Arial"/>
          <w:sz w:val="22"/>
        </w:rPr>
        <w:t xml:space="preserve"> </w:t>
      </w:r>
      <w:r>
        <w:rPr>
          <w:rFonts w:ascii="Arial" w:hAnsi="Arial"/>
          <w:sz w:val="22"/>
        </w:rPr>
        <w:t xml:space="preserve">convergem: a diferença entre treino e teste é praticamente nula; o número de observações</w:t>
      </w:r>
      <w:r>
        <w:rPr>
          <w:rFonts w:ascii="Arial" w:hAnsi="Arial"/>
          <w:sz w:val="22"/>
        </w:rPr>
        <w:t xml:space="preserve"> </w:t>
      </w:r>
      <w:r>
        <w:rPr>
          <w:rFonts w:ascii="Arial" w:hAnsi="Arial"/>
          <w:sz w:val="22"/>
        </w:rPr>
        <w:t xml:space="preserve">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15 traz o ranking completo das variáveis nos dois modelos.</w:t>
      </w:r>
    </w:p>
    <w:bookmarkStart w:id="105" w:name="tab:shap_importance"/>
    <w:p>
      <w:pPr>
        <w:pStyle w:val="TableCaption"/>
        <w:keepNext/>
        <w:keepLines/>
        <w:spacing w:line="240" w:lineRule="auto" w:before="240" w:after="40"/>
        <w:ind w:firstLine="0"/>
        <w:jc w:val="both"/>
      </w:pPr>
      <w:r>
        <w:rPr>
          <w:rFonts w:ascii="Arial" w:hAnsi="Arial"/>
          <w:sz w:val="22"/>
        </w:rPr>
        <w:t xml:space="preserve">Tabela 15. Importância SHAP Comparada — Random Forest e XGBoost. 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 Destaque em negrito: variáveis raciais/contextuais.</w:t>
      </w:r>
    </w:p>
    <w:tbl>
      <w:tblPr>
        <w:tblStyle w:val="Table"/>
        <w:tblW w:type="auto" w:w="0"/>
        <w:tblLayout w:type="fixed"/>
        <w:tblLook w:firstRow="1" w:lastRow="0" w:firstColumn="0" w:lastColumn="0" w:noHBand="0" w:noVBand="0" w:val="0020"/>
        <w:tblCaption w:val="Tabela 15. Importância SHAP Comparada — Random Forest e XGBoost. Predição de log-rendimento, PNAD 2016–2025 (N_{\text{SHAP}}=50.000). Valores: |\text{SHAP}| médio. Destaque em negrito: variáveis raciais/contextuais."/>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tcPr>
          <w:p>
            <w:pPr>
              <w:pStyle w:val="Compact"/>
              <w:keepNext/>
              <w:spacing w:line="240" w:lineRule="auto" w:after="0"/>
              <w:ind w:firstLine="0"/>
              <w:jc w:val="left"/>
            </w:pPr>
            <w:r>
              <w:rPr>
                <w:rFonts w:ascii="Arial" w:hAnsi="Arial"/>
                <w:b w:val="0"/>
                <w:sz w:val="20"/>
              </w:rPr>
              <w:t xml:space="preserve">Renda média UPA (exceto o próprio)</w:t>
            </w:r>
          </w:p>
        </w:tc>
        <w:tc>
          <w:tcPr>
            <w:tcW w:type="dxa" w:w="1602"/>
          </w:tcPr>
          <w:p>
            <w:pPr>
              <w:pStyle w:val="Compact"/>
              <w:keepNext/>
              <w:spacing w:line="240" w:lineRule="auto" w:after="0"/>
              <w:ind w:firstLine="0"/>
              <w:jc w:val="right"/>
            </w:pPr>
            <w:r>
              <w:rPr>
                <w:rFonts w:ascii="Arial" w:hAnsi="Arial"/>
                <w:b w:val="0"/>
                <w:sz w:val="20"/>
              </w:rPr>
              <w:t xml:space="preserve">0,21008</w:t>
            </w:r>
          </w:p>
        </w:tc>
        <w:tc>
          <w:tcPr>
            <w:tcW w:type="dxa" w:w="915"/>
          </w:tcPr>
          <w:p>
            <w:pPr>
              <w:pStyle w:val="Compact"/>
              <w:keepNext/>
              <w:spacing w:line="240" w:lineRule="auto" w:after="0"/>
              <w:ind w:firstLine="0"/>
              <w:jc w:val="right"/>
            </w:pPr>
            <w:r>
              <w:rPr>
                <w:rFonts w:ascii="Arial" w:hAnsi="Arial"/>
                <w:b w:val="0"/>
                <w:sz w:val="20"/>
              </w:rPr>
              <w:t xml:space="preserve">2</w:t>
            </w:r>
          </w:p>
        </w:tc>
        <w:tc>
          <w:tcPr>
            <w:tcW w:type="dxa" w:w="1602"/>
          </w:tcPr>
          <w:p>
            <w:pPr>
              <w:pStyle w:val="Compact"/>
              <w:keepNext/>
              <w:spacing w:line="240" w:lineRule="auto" w:after="0"/>
              <w:ind w:firstLine="0"/>
              <w:jc w:val="right"/>
            </w:pPr>
            <w:r>
              <w:rPr>
                <w:rFonts w:ascii="Arial" w:hAnsi="Arial"/>
                <w:b w:val="0"/>
                <w:sz w:val="20"/>
              </w:rPr>
              <w:t xml:space="preserve">0,18775</w:t>
            </w:r>
          </w:p>
        </w:tc>
        <w:tc>
          <w:tcPr>
            <w:tcW w:type="dxa" w:w="915"/>
          </w:tcPr>
          <w:p>
            <w:pPr>
              <w:pStyle w:val="Compact"/>
              <w:keepNext/>
              <w:spacing w:line="240" w:lineRule="auto" w:after="0"/>
              <w:ind w:firstLine="0"/>
              <w:jc w:val="right"/>
            </w:pPr>
            <w:r>
              <w:rPr>
                <w:rFonts w:ascii="Arial" w:hAnsi="Arial"/>
                <w:b w:val="0"/>
                <w:sz w:val="20"/>
              </w:rPr>
              <w:t xml:space="preserve">1</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superior completo</w:t>
            </w:r>
          </w:p>
        </w:tc>
        <w:tc>
          <w:tcPr>
            <w:tcW w:type="dxa" w:w="1602"/>
          </w:tcPr>
          <w:p>
            <w:pPr>
              <w:pStyle w:val="Compact"/>
              <w:keepNext/>
              <w:spacing w:line="240" w:lineRule="auto" w:after="0"/>
              <w:ind w:firstLine="0"/>
              <w:jc w:val="right"/>
            </w:pPr>
            <w:r>
              <w:rPr>
                <w:rFonts w:ascii="Arial" w:hAnsi="Arial"/>
                <w:b w:val="0"/>
                <w:sz w:val="20"/>
              </w:rPr>
              <w:t xml:space="preserve">0,24464</w:t>
            </w:r>
          </w:p>
        </w:tc>
        <w:tc>
          <w:tcPr>
            <w:tcW w:type="dxa" w:w="915"/>
          </w:tcPr>
          <w:p>
            <w:pPr>
              <w:pStyle w:val="Compact"/>
              <w:keepNext/>
              <w:spacing w:line="240" w:lineRule="auto" w:after="0"/>
              <w:ind w:firstLine="0"/>
              <w:jc w:val="right"/>
            </w:pPr>
            <w:r>
              <w:rPr>
                <w:rFonts w:ascii="Arial" w:hAnsi="Arial"/>
                <w:b w:val="0"/>
                <w:sz w:val="20"/>
              </w:rPr>
              <w:t xml:space="preserve">1</w:t>
            </w:r>
          </w:p>
        </w:tc>
        <w:tc>
          <w:tcPr>
            <w:tcW w:type="dxa" w:w="1602"/>
          </w:tcPr>
          <w:p>
            <w:pPr>
              <w:pStyle w:val="Compact"/>
              <w:keepNext/>
              <w:spacing w:line="240" w:lineRule="auto" w:after="0"/>
              <w:ind w:firstLine="0"/>
              <w:jc w:val="right"/>
            </w:pPr>
            <w:r>
              <w:rPr>
                <w:rFonts w:ascii="Arial" w:hAnsi="Arial"/>
                <w:b w:val="0"/>
                <w:sz w:val="20"/>
              </w:rPr>
              <w:t xml:space="preserve">0,17823</w:t>
            </w:r>
          </w:p>
        </w:tc>
        <w:tc>
          <w:tcPr>
            <w:tcW w:type="dxa" w:w="915"/>
          </w:tcPr>
          <w:p>
            <w:pPr>
              <w:pStyle w:val="Compact"/>
              <w:keepNext/>
              <w:spacing w:line="240" w:lineRule="auto" w:after="0"/>
              <w:ind w:firstLine="0"/>
              <w:jc w:val="right"/>
            </w:pPr>
            <w:r>
              <w:rPr>
                <w:rFonts w:ascii="Arial" w:hAnsi="Arial"/>
                <w:b w:val="0"/>
                <w:sz w:val="20"/>
              </w:rPr>
              <w:t xml:space="preserve">2</w:t>
            </w:r>
          </w:p>
        </w:tc>
      </w:tr>
      <w:tr>
        <w:trPr>
          <w:cantSplit/>
        </w:trPr>
        <w:tc>
          <w:tcPr>
            <w:tcW w:type="dxa" w:w="4037"/>
          </w:tcPr>
          <w:p>
            <w:pPr>
              <w:pStyle w:val="Compact"/>
              <w:keepNext/>
              <w:spacing w:line="240" w:lineRule="auto" w:after="0"/>
              <w:ind w:firstLine="0"/>
              <w:jc w:val="left"/>
            </w:pPr>
            <w:r>
              <w:rPr>
                <w:rFonts w:ascii="Arial" w:hAnsi="Arial"/>
                <w:b w:val="0"/>
                <w:sz w:val="20"/>
              </w:rPr>
              <w:t xml:space="preserve">Horas trabalhadas</w:t>
            </w:r>
          </w:p>
        </w:tc>
        <w:tc>
          <w:tcPr>
            <w:tcW w:type="dxa" w:w="1602"/>
          </w:tcPr>
          <w:p>
            <w:pPr>
              <w:pStyle w:val="Compact"/>
              <w:keepNext/>
              <w:spacing w:line="240" w:lineRule="auto" w:after="0"/>
              <w:ind w:firstLine="0"/>
              <w:jc w:val="right"/>
            </w:pPr>
            <w:r>
              <w:rPr>
                <w:rFonts w:ascii="Arial" w:hAnsi="Arial"/>
                <w:b w:val="0"/>
                <w:sz w:val="20"/>
              </w:rPr>
              <w:t xml:space="preserve">0,19383</w:t>
            </w:r>
          </w:p>
        </w:tc>
        <w:tc>
          <w:tcPr>
            <w:tcW w:type="dxa" w:w="915"/>
          </w:tcPr>
          <w:p>
            <w:pPr>
              <w:pStyle w:val="Compact"/>
              <w:keepNext/>
              <w:spacing w:line="240" w:lineRule="auto" w:after="0"/>
              <w:ind w:firstLine="0"/>
              <w:jc w:val="right"/>
            </w:pPr>
            <w:r>
              <w:rPr>
                <w:rFonts w:ascii="Arial" w:hAnsi="Arial"/>
                <w:b w:val="0"/>
                <w:sz w:val="20"/>
              </w:rPr>
              <w:t xml:space="preserve">3</w:t>
            </w:r>
          </w:p>
        </w:tc>
        <w:tc>
          <w:tcPr>
            <w:tcW w:type="dxa" w:w="1602"/>
          </w:tcPr>
          <w:p>
            <w:pPr>
              <w:pStyle w:val="Compact"/>
              <w:keepNext/>
              <w:spacing w:line="240" w:lineRule="auto" w:after="0"/>
              <w:ind w:firstLine="0"/>
              <w:jc w:val="right"/>
            </w:pPr>
            <w:r>
              <w:rPr>
                <w:rFonts w:ascii="Arial" w:hAnsi="Arial"/>
                <w:b w:val="0"/>
                <w:sz w:val="20"/>
              </w:rPr>
              <w:t xml:space="preserve">0,17220</w:t>
            </w:r>
          </w:p>
        </w:tc>
        <w:tc>
          <w:tcPr>
            <w:tcW w:type="dxa" w:w="915"/>
          </w:tcPr>
          <w:p>
            <w:pPr>
              <w:pStyle w:val="Compact"/>
              <w:keepNext/>
              <w:spacing w:line="240" w:lineRule="auto" w:after="0"/>
              <w:ind w:firstLine="0"/>
              <w:jc w:val="right"/>
            </w:pPr>
            <w:r>
              <w:rPr>
                <w:rFonts w:ascii="Arial" w:hAnsi="Arial"/>
                <w:b w:val="0"/>
                <w:sz w:val="20"/>
              </w:rPr>
              <w:t xml:space="preserve">3</w:t>
            </w:r>
          </w:p>
        </w:tc>
      </w:tr>
      <w:tr>
        <w:trPr>
          <w:cantSplit/>
        </w:trPr>
        <w:tc>
          <w:tcPr>
            <w:tcW w:type="dxa" w:w="4037"/>
          </w:tcPr>
          <w:p>
            <w:pPr>
              <w:pStyle w:val="Compact"/>
              <w:keepNext/>
              <w:spacing w:line="240" w:lineRule="auto" w:after="0"/>
              <w:ind w:firstLine="0"/>
              <w:jc w:val="left"/>
            </w:pPr>
            <w:r>
              <w:rPr>
                <w:rFonts w:ascii="Arial" w:hAnsi="Arial"/>
                <w:b w:val="0"/>
                <w:sz w:val="20"/>
              </w:rPr>
              <w:t xml:space="preserve">Gênero (feminino)</w:t>
            </w:r>
          </w:p>
        </w:tc>
        <w:tc>
          <w:tcPr>
            <w:tcW w:type="dxa" w:w="1602"/>
          </w:tcPr>
          <w:p>
            <w:pPr>
              <w:pStyle w:val="Compact"/>
              <w:keepNext/>
              <w:spacing w:line="240" w:lineRule="auto" w:after="0"/>
              <w:ind w:firstLine="0"/>
              <w:jc w:val="right"/>
            </w:pPr>
            <w:r>
              <w:rPr>
                <w:rFonts w:ascii="Arial" w:hAnsi="Arial"/>
                <w:b w:val="0"/>
                <w:sz w:val="20"/>
              </w:rPr>
              <w:t xml:space="preserve">0,11166</w:t>
            </w:r>
          </w:p>
        </w:tc>
        <w:tc>
          <w:tcPr>
            <w:tcW w:type="dxa" w:w="915"/>
          </w:tcPr>
          <w:p>
            <w:pPr>
              <w:pStyle w:val="Compact"/>
              <w:keepNext/>
              <w:spacing w:line="240" w:lineRule="auto" w:after="0"/>
              <w:ind w:firstLine="0"/>
              <w:jc w:val="right"/>
            </w:pPr>
            <w:r>
              <w:rPr>
                <w:rFonts w:ascii="Arial" w:hAnsi="Arial"/>
                <w:b w:val="0"/>
                <w:sz w:val="20"/>
              </w:rPr>
              <w:t xml:space="preserve">4</w:t>
            </w:r>
          </w:p>
        </w:tc>
        <w:tc>
          <w:tcPr>
            <w:tcW w:type="dxa" w:w="1602"/>
          </w:tcPr>
          <w:p>
            <w:pPr>
              <w:pStyle w:val="Compact"/>
              <w:keepNext/>
              <w:spacing w:line="240" w:lineRule="auto" w:after="0"/>
              <w:ind w:firstLine="0"/>
              <w:jc w:val="right"/>
            </w:pPr>
            <w:r>
              <w:rPr>
                <w:rFonts w:ascii="Arial" w:hAnsi="Arial"/>
                <w:b w:val="0"/>
                <w:sz w:val="20"/>
              </w:rPr>
              <w:t xml:space="preserve">0,10557</w:t>
            </w:r>
          </w:p>
        </w:tc>
        <w:tc>
          <w:tcPr>
            <w:tcW w:type="dxa" w:w="915"/>
          </w:tcPr>
          <w:p>
            <w:pPr>
              <w:pStyle w:val="Compact"/>
              <w:keepNext/>
              <w:spacing w:line="240" w:lineRule="auto" w:after="0"/>
              <w:ind w:firstLine="0"/>
              <w:jc w:val="right"/>
            </w:pPr>
            <w:r>
              <w:rPr>
                <w:rFonts w:ascii="Arial" w:hAnsi="Arial"/>
                <w:b w:val="0"/>
                <w:sz w:val="20"/>
              </w:rPr>
              <w:t xml:space="preserve">4</w:t>
            </w:r>
          </w:p>
        </w:tc>
      </w:tr>
      <w:tr>
        <w:trPr>
          <w:cantSplit/>
        </w:trPr>
        <w:tc>
          <w:tcPr>
            <w:tcW w:type="dxa" w:w="4037"/>
          </w:tcPr>
          <w:p>
            <w:pPr>
              <w:pStyle w:val="Compact"/>
              <w:keepNext/>
              <w:spacing w:line="240" w:lineRule="auto" w:after="0"/>
              <w:ind w:firstLine="0"/>
              <w:jc w:val="left"/>
            </w:pPr>
            <w:r>
              <w:rPr>
                <w:rFonts w:ascii="Arial" w:hAnsi="Arial"/>
                <w:b w:val="0"/>
                <w:sz w:val="20"/>
              </w:rPr>
              <w:t xml:space="preserve">Emprego formal (carteira)</w:t>
            </w:r>
          </w:p>
        </w:tc>
        <w:tc>
          <w:tcPr>
            <w:tcW w:type="dxa" w:w="1602"/>
          </w:tcPr>
          <w:p>
            <w:pPr>
              <w:pStyle w:val="Compact"/>
              <w:keepNext/>
              <w:spacing w:line="240" w:lineRule="auto" w:after="0"/>
              <w:ind w:firstLine="0"/>
              <w:jc w:val="right"/>
            </w:pPr>
            <w:r>
              <w:rPr>
                <w:rFonts w:ascii="Arial" w:hAnsi="Arial"/>
                <w:b w:val="0"/>
                <w:sz w:val="20"/>
              </w:rPr>
              <w:t xml:space="preserve">0,11100</w:t>
            </w:r>
          </w:p>
        </w:tc>
        <w:tc>
          <w:tcPr>
            <w:tcW w:type="dxa" w:w="915"/>
          </w:tcPr>
          <w:p>
            <w:pPr>
              <w:pStyle w:val="Compact"/>
              <w:keepNext/>
              <w:spacing w:line="240" w:lineRule="auto" w:after="0"/>
              <w:ind w:firstLine="0"/>
              <w:jc w:val="right"/>
            </w:pPr>
            <w:r>
              <w:rPr>
                <w:rFonts w:ascii="Arial" w:hAnsi="Arial"/>
                <w:b w:val="0"/>
                <w:sz w:val="20"/>
              </w:rPr>
              <w:t xml:space="preserve">5</w:t>
            </w:r>
          </w:p>
        </w:tc>
        <w:tc>
          <w:tcPr>
            <w:tcW w:type="dxa" w:w="1602"/>
          </w:tcPr>
          <w:p>
            <w:pPr>
              <w:pStyle w:val="Compact"/>
              <w:keepNext/>
              <w:spacing w:line="240" w:lineRule="auto" w:after="0"/>
              <w:ind w:firstLine="0"/>
              <w:jc w:val="right"/>
            </w:pPr>
            <w:r>
              <w:rPr>
                <w:rFonts w:ascii="Arial" w:hAnsi="Arial"/>
                <w:b w:val="0"/>
                <w:sz w:val="20"/>
              </w:rPr>
              <w:t xml:space="preserve">0,10548</w:t>
            </w:r>
          </w:p>
        </w:tc>
        <w:tc>
          <w:tcPr>
            <w:tcW w:type="dxa" w:w="915"/>
          </w:tcPr>
          <w:p>
            <w:pPr>
              <w:pStyle w:val="Compact"/>
              <w:keepNext/>
              <w:spacing w:line="240" w:lineRule="auto" w:after="0"/>
              <w:ind w:firstLine="0"/>
              <w:jc w:val="right"/>
            </w:pPr>
            <w:r>
              <w:rPr>
                <w:rFonts w:ascii="Arial" w:hAnsi="Arial"/>
                <w:b w:val="0"/>
                <w:sz w:val="20"/>
              </w:rPr>
              <w:t xml:space="preserve">5</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 (centrada)</w:t>
            </w:r>
          </w:p>
        </w:tc>
        <w:tc>
          <w:tcPr>
            <w:tcW w:type="dxa" w:w="1602"/>
          </w:tcPr>
          <w:p>
            <w:pPr>
              <w:pStyle w:val="Compact"/>
              <w:keepNext/>
              <w:spacing w:line="240" w:lineRule="auto" w:after="0"/>
              <w:ind w:firstLine="0"/>
              <w:jc w:val="right"/>
            </w:pPr>
            <w:r>
              <w:rPr>
                <w:rFonts w:ascii="Arial" w:hAnsi="Arial"/>
                <w:b w:val="0"/>
                <w:sz w:val="20"/>
              </w:rPr>
              <w:t xml:space="preserve">0,05669</w:t>
            </w:r>
          </w:p>
        </w:tc>
        <w:tc>
          <w:tcPr>
            <w:tcW w:type="dxa" w:w="915"/>
          </w:tcPr>
          <w:p>
            <w:pPr>
              <w:pStyle w:val="Compact"/>
              <w:keepNext/>
              <w:spacing w:line="240" w:lineRule="auto" w:after="0"/>
              <w:ind w:firstLine="0"/>
              <w:jc w:val="right"/>
            </w:pPr>
            <w:r>
              <w:rPr>
                <w:rFonts w:ascii="Arial" w:hAnsi="Arial"/>
                <w:b w:val="0"/>
                <w:sz w:val="20"/>
              </w:rPr>
              <w:t xml:space="preserve">6</w:t>
            </w:r>
          </w:p>
        </w:tc>
        <w:tc>
          <w:tcPr>
            <w:tcW w:type="dxa" w:w="1602"/>
          </w:tcPr>
          <w:p>
            <w:pPr>
              <w:pStyle w:val="Compact"/>
              <w:keepNext/>
              <w:spacing w:line="240" w:lineRule="auto" w:after="0"/>
              <w:ind w:firstLine="0"/>
              <w:jc w:val="right"/>
            </w:pPr>
            <w:r>
              <w:rPr>
                <w:rFonts w:ascii="Arial" w:hAnsi="Arial"/>
                <w:b w:val="0"/>
                <w:sz w:val="20"/>
              </w:rPr>
              <w:t xml:space="preserve">0,09059</w:t>
            </w:r>
          </w:p>
        </w:tc>
        <w:tc>
          <w:tcPr>
            <w:tcW w:type="dxa" w:w="915"/>
          </w:tcPr>
          <w:p>
            <w:pPr>
              <w:pStyle w:val="Compact"/>
              <w:keepNext/>
              <w:spacing w:line="240" w:lineRule="auto" w:after="0"/>
              <w:ind w:firstLine="0"/>
              <w:jc w:val="right"/>
            </w:pPr>
            <w:r>
              <w:rPr>
                <w:rFonts w:ascii="Arial" w:hAnsi="Arial"/>
                <w:b w:val="0"/>
                <w:sz w:val="20"/>
              </w:rPr>
              <w:t xml:space="preserve">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Conta própria</w:t>
            </w:r>
          </w:p>
        </w:tc>
        <w:tc>
          <w:tcPr>
            <w:tcW w:type="dxa" w:w="1602"/>
          </w:tcPr>
          <w:p>
            <w:pPr>
              <w:pStyle w:val="Compact"/>
              <w:keepNext/>
              <w:spacing w:line="240" w:lineRule="auto" w:after="0"/>
              <w:ind w:firstLine="0"/>
              <w:jc w:val="right"/>
            </w:pPr>
            <w:r>
              <w:rPr>
                <w:rFonts w:ascii="Arial" w:hAnsi="Arial"/>
                <w:b w:val="0"/>
                <w:sz w:val="20"/>
              </w:rPr>
              <w:t xml:space="preserve">0,02228</w:t>
            </w:r>
          </w:p>
        </w:tc>
        <w:tc>
          <w:tcPr>
            <w:tcW w:type="dxa" w:w="915"/>
          </w:tcPr>
          <w:p>
            <w:pPr>
              <w:pStyle w:val="Compact"/>
              <w:keepNext/>
              <w:spacing w:line="240" w:lineRule="auto" w:after="0"/>
              <w:ind w:firstLine="0"/>
              <w:jc w:val="right"/>
            </w:pPr>
            <w:r>
              <w:rPr>
                <w:rFonts w:ascii="Arial" w:hAnsi="Arial"/>
                <w:b w:val="0"/>
                <w:sz w:val="20"/>
              </w:rPr>
              <w:t xml:space="preserve">10</w:t>
            </w:r>
          </w:p>
        </w:tc>
        <w:tc>
          <w:tcPr>
            <w:tcW w:type="dxa" w:w="1602"/>
          </w:tcPr>
          <w:p>
            <w:pPr>
              <w:pStyle w:val="Compact"/>
              <w:keepNext/>
              <w:spacing w:line="240" w:lineRule="auto" w:after="0"/>
              <w:ind w:firstLine="0"/>
              <w:jc w:val="right"/>
            </w:pPr>
            <w:r>
              <w:rPr>
                <w:rFonts w:ascii="Arial" w:hAnsi="Arial"/>
                <w:b w:val="0"/>
                <w:sz w:val="20"/>
              </w:rPr>
              <w:t xml:space="preserve">0,05621</w:t>
            </w:r>
          </w:p>
        </w:tc>
        <w:tc>
          <w:tcPr>
            <w:tcW w:type="dxa" w:w="915"/>
          </w:tcPr>
          <w:p>
            <w:pPr>
              <w:pStyle w:val="Compact"/>
              <w:keepNext/>
              <w:spacing w:line="240" w:lineRule="auto" w:after="0"/>
              <w:ind w:firstLine="0"/>
              <w:jc w:val="right"/>
            </w:pPr>
            <w:r>
              <w:rPr>
                <w:rFonts w:ascii="Arial" w:hAnsi="Arial"/>
                <w:b w:val="0"/>
                <w:sz w:val="20"/>
              </w:rPr>
              <w:t xml:space="preserve">7</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Profissionais</w:t>
            </w:r>
          </w:p>
        </w:tc>
        <w:tc>
          <w:tcPr>
            <w:tcW w:type="dxa" w:w="1602"/>
          </w:tcPr>
          <w:p>
            <w:pPr>
              <w:pStyle w:val="Compact"/>
              <w:keepNext/>
              <w:spacing w:line="240" w:lineRule="auto" w:after="0"/>
              <w:ind w:firstLine="0"/>
              <w:jc w:val="right"/>
            </w:pPr>
            <w:r>
              <w:rPr>
                <w:rFonts w:ascii="Arial" w:hAnsi="Arial"/>
                <w:b w:val="0"/>
                <w:sz w:val="20"/>
              </w:rPr>
              <w:t xml:space="preserve">0,02371</w:t>
            </w:r>
          </w:p>
        </w:tc>
        <w:tc>
          <w:tcPr>
            <w:tcW w:type="dxa" w:w="915"/>
          </w:tcPr>
          <w:p>
            <w:pPr>
              <w:pStyle w:val="Compact"/>
              <w:keepNext/>
              <w:spacing w:line="240" w:lineRule="auto" w:after="0"/>
              <w:ind w:firstLine="0"/>
              <w:jc w:val="right"/>
            </w:pPr>
            <w:r>
              <w:rPr>
                <w:rFonts w:ascii="Arial" w:hAnsi="Arial"/>
                <w:b w:val="0"/>
                <w:sz w:val="20"/>
              </w:rPr>
              <w:t xml:space="preserve">9</w:t>
            </w:r>
          </w:p>
        </w:tc>
        <w:tc>
          <w:tcPr>
            <w:tcW w:type="dxa" w:w="1602"/>
          </w:tcPr>
          <w:p>
            <w:pPr>
              <w:pStyle w:val="Compact"/>
              <w:keepNext/>
              <w:spacing w:line="240" w:lineRule="auto" w:after="0"/>
              <w:ind w:firstLine="0"/>
              <w:jc w:val="right"/>
            </w:pPr>
            <w:r>
              <w:rPr>
                <w:rFonts w:ascii="Arial" w:hAnsi="Arial"/>
                <w:b w:val="0"/>
                <w:sz w:val="20"/>
              </w:rPr>
              <w:t xml:space="preserve">0,05440</w:t>
            </w:r>
          </w:p>
        </w:tc>
        <w:tc>
          <w:tcPr>
            <w:tcW w:type="dxa" w:w="915"/>
          </w:tcPr>
          <w:p>
            <w:pPr>
              <w:pStyle w:val="Compact"/>
              <w:keepNext/>
              <w:spacing w:line="240" w:lineRule="auto" w:after="0"/>
              <w:ind w:firstLine="0"/>
              <w:jc w:val="right"/>
            </w:pPr>
            <w:r>
              <w:rPr>
                <w:rFonts w:ascii="Arial" w:hAnsi="Arial"/>
                <w:b w:val="0"/>
                <w:sz w:val="20"/>
              </w:rPr>
              <w:t xml:space="preserve">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médio completo</w:t>
            </w:r>
          </w:p>
        </w:tc>
        <w:tc>
          <w:tcPr>
            <w:tcW w:type="dxa" w:w="1602"/>
          </w:tcPr>
          <w:p>
            <w:pPr>
              <w:pStyle w:val="Compact"/>
              <w:keepNext/>
              <w:spacing w:line="240" w:lineRule="auto" w:after="0"/>
              <w:ind w:firstLine="0"/>
              <w:jc w:val="right"/>
            </w:pPr>
            <w:r>
              <w:rPr>
                <w:rFonts w:ascii="Arial" w:hAnsi="Arial"/>
                <w:b w:val="0"/>
                <w:sz w:val="20"/>
              </w:rPr>
              <w:t xml:space="preserve">0,04494</w:t>
            </w:r>
          </w:p>
        </w:tc>
        <w:tc>
          <w:tcPr>
            <w:tcW w:type="dxa" w:w="915"/>
          </w:tcPr>
          <w:p>
            <w:pPr>
              <w:pStyle w:val="Compact"/>
              <w:keepNext/>
              <w:spacing w:line="240" w:lineRule="auto" w:after="0"/>
              <w:ind w:firstLine="0"/>
              <w:jc w:val="right"/>
            </w:pPr>
            <w:r>
              <w:rPr>
                <w:rFonts w:ascii="Arial" w:hAnsi="Arial"/>
                <w:b w:val="0"/>
                <w:sz w:val="20"/>
              </w:rPr>
              <w:t xml:space="preserve">7</w:t>
            </w:r>
          </w:p>
        </w:tc>
        <w:tc>
          <w:tcPr>
            <w:tcW w:type="dxa" w:w="1602"/>
          </w:tcPr>
          <w:p>
            <w:pPr>
              <w:pStyle w:val="Compact"/>
              <w:keepNext/>
              <w:spacing w:line="240" w:lineRule="auto" w:after="0"/>
              <w:ind w:firstLine="0"/>
              <w:jc w:val="right"/>
            </w:pPr>
            <w:r>
              <w:rPr>
                <w:rFonts w:ascii="Arial" w:hAnsi="Arial"/>
                <w:b w:val="0"/>
                <w:sz w:val="20"/>
              </w:rPr>
              <w:t xml:space="preserve">0,04043</w:t>
            </w:r>
          </w:p>
        </w:tc>
        <w:tc>
          <w:tcPr>
            <w:tcW w:type="dxa" w:w="915"/>
          </w:tcPr>
          <w:p>
            <w:pPr>
              <w:pStyle w:val="Compact"/>
              <w:keepNext/>
              <w:spacing w:line="240" w:lineRule="auto" w:after="0"/>
              <w:ind w:firstLine="0"/>
              <w:jc w:val="right"/>
            </w:pPr>
            <w:r>
              <w:rPr>
                <w:rFonts w:ascii="Arial" w:hAnsi="Arial"/>
                <w:b w:val="0"/>
                <w:sz w:val="20"/>
              </w:rPr>
              <w:t xml:space="preserve">9</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Técnicos</w:t>
            </w:r>
          </w:p>
        </w:tc>
        <w:tc>
          <w:tcPr>
            <w:tcW w:type="dxa" w:w="1602"/>
          </w:tcPr>
          <w:p>
            <w:pPr>
              <w:pStyle w:val="Compact"/>
              <w:keepNext/>
              <w:spacing w:line="240" w:lineRule="auto" w:after="0"/>
              <w:ind w:firstLine="0"/>
              <w:jc w:val="right"/>
            </w:pPr>
            <w:r>
              <w:rPr>
                <w:rFonts w:ascii="Arial" w:hAnsi="Arial"/>
                <w:b w:val="0"/>
                <w:sz w:val="20"/>
              </w:rPr>
              <w:t xml:space="preserve">0,02033</w:t>
            </w:r>
          </w:p>
        </w:tc>
        <w:tc>
          <w:tcPr>
            <w:tcW w:type="dxa" w:w="915"/>
          </w:tcPr>
          <w:p>
            <w:pPr>
              <w:pStyle w:val="Compact"/>
              <w:keepNext/>
              <w:spacing w:line="240" w:lineRule="auto" w:after="0"/>
              <w:ind w:firstLine="0"/>
              <w:jc w:val="right"/>
            </w:pPr>
            <w:r>
              <w:rPr>
                <w:rFonts w:ascii="Arial" w:hAnsi="Arial"/>
                <w:b w:val="0"/>
                <w:sz w:val="20"/>
              </w:rPr>
              <w:t xml:space="preserve">11</w:t>
            </w:r>
          </w:p>
        </w:tc>
        <w:tc>
          <w:tcPr>
            <w:tcW w:type="dxa" w:w="1602"/>
          </w:tcPr>
          <w:p>
            <w:pPr>
              <w:pStyle w:val="Compact"/>
              <w:keepNext/>
              <w:spacing w:line="240" w:lineRule="auto" w:after="0"/>
              <w:ind w:firstLine="0"/>
              <w:jc w:val="right"/>
            </w:pPr>
            <w:r>
              <w:rPr>
                <w:rFonts w:ascii="Arial" w:hAnsi="Arial"/>
                <w:b w:val="0"/>
                <w:sz w:val="20"/>
              </w:rPr>
              <w:t xml:space="preserve">0,03875</w:t>
            </w:r>
          </w:p>
        </w:tc>
        <w:tc>
          <w:tcPr>
            <w:tcW w:type="dxa" w:w="915"/>
          </w:tcPr>
          <w:p>
            <w:pPr>
              <w:pStyle w:val="Compact"/>
              <w:keepNext/>
              <w:spacing w:line="240" w:lineRule="auto" w:after="0"/>
              <w:ind w:firstLine="0"/>
              <w:jc w:val="right"/>
            </w:pPr>
            <w:r>
              <w:rPr>
                <w:rFonts w:ascii="Arial" w:hAnsi="Arial"/>
                <w:b w:val="0"/>
                <w:sz w:val="20"/>
              </w:rPr>
              <w:t xml:space="preserve">10</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Estado</w:t>
            </w:r>
          </w:p>
        </w:tc>
        <w:tc>
          <w:tcPr>
            <w:tcW w:type="dxa" w:w="1602"/>
          </w:tcPr>
          <w:p>
            <w:pPr>
              <w:pStyle w:val="Compact"/>
              <w:keepNext/>
              <w:spacing w:line="240" w:lineRule="auto" w:after="0"/>
              <w:ind w:firstLine="0"/>
              <w:jc w:val="right"/>
            </w:pPr>
            <w:r>
              <w:rPr>
                <w:rFonts w:ascii="Arial" w:hAnsi="Arial"/>
                <w:b w:val="0"/>
                <w:sz w:val="20"/>
              </w:rPr>
              <w:t xml:space="preserve">0,00210</w:t>
            </w:r>
          </w:p>
        </w:tc>
        <w:tc>
          <w:tcPr>
            <w:tcW w:type="dxa" w:w="915"/>
          </w:tcPr>
          <w:p>
            <w:pPr>
              <w:pStyle w:val="Compact"/>
              <w:keepNext/>
              <w:spacing w:line="240" w:lineRule="auto" w:after="0"/>
              <w:ind w:firstLine="0"/>
              <w:jc w:val="right"/>
            </w:pPr>
            <w:r>
              <w:rPr>
                <w:rFonts w:ascii="Arial" w:hAnsi="Arial"/>
                <w:b w:val="0"/>
                <w:sz w:val="20"/>
              </w:rPr>
              <w:t xml:space="preserve">21</w:t>
            </w:r>
          </w:p>
        </w:tc>
        <w:tc>
          <w:tcPr>
            <w:tcW w:type="dxa" w:w="1602"/>
          </w:tcPr>
          <w:p>
            <w:pPr>
              <w:pStyle w:val="Compact"/>
              <w:keepNext/>
              <w:spacing w:line="240" w:lineRule="auto" w:after="0"/>
              <w:ind w:firstLine="0"/>
              <w:jc w:val="right"/>
            </w:pPr>
            <w:r>
              <w:rPr>
                <w:rFonts w:ascii="Arial" w:hAnsi="Arial"/>
                <w:b w:val="0"/>
                <w:sz w:val="20"/>
              </w:rPr>
              <w:t xml:space="preserve">0,03339</w:t>
            </w:r>
          </w:p>
        </w:tc>
        <w:tc>
          <w:tcPr>
            <w:tcW w:type="dxa" w:w="915"/>
          </w:tcPr>
          <w:p>
            <w:pPr>
              <w:pStyle w:val="Compact"/>
              <w:keepNext/>
              <w:spacing w:line="240" w:lineRule="auto" w:after="0"/>
              <w:ind w:firstLine="0"/>
              <w:jc w:val="right"/>
            </w:pPr>
            <w:r>
              <w:rPr>
                <w:rFonts w:ascii="Arial" w:hAnsi="Arial"/>
                <w:b w:val="0"/>
                <w:sz w:val="20"/>
              </w:rPr>
              <w:t xml:space="preserve">11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Dirigentes</w:t>
            </w:r>
          </w:p>
        </w:tc>
        <w:tc>
          <w:tcPr>
            <w:tcW w:type="dxa" w:w="1602"/>
          </w:tcPr>
          <w:p>
            <w:pPr>
              <w:pStyle w:val="Compact"/>
              <w:keepNext/>
              <w:spacing w:line="240" w:lineRule="auto" w:after="0"/>
              <w:ind w:firstLine="0"/>
              <w:jc w:val="right"/>
            </w:pPr>
            <w:r>
              <w:rPr>
                <w:rFonts w:ascii="Arial" w:hAnsi="Arial"/>
                <w:b w:val="0"/>
                <w:sz w:val="20"/>
              </w:rPr>
              <w:t xml:space="preserve">0,02388</w:t>
            </w:r>
          </w:p>
        </w:tc>
        <w:tc>
          <w:tcPr>
            <w:tcW w:type="dxa" w:w="915"/>
          </w:tcPr>
          <w:p>
            <w:pPr>
              <w:pStyle w:val="Compact"/>
              <w:keepNext/>
              <w:spacing w:line="240" w:lineRule="auto" w:after="0"/>
              <w:ind w:firstLine="0"/>
              <w:jc w:val="right"/>
            </w:pPr>
            <w:r>
              <w:rPr>
                <w:rFonts w:ascii="Arial" w:hAnsi="Arial"/>
                <w:b w:val="0"/>
                <w:sz w:val="20"/>
              </w:rPr>
              <w:t xml:space="preserve">8</w:t>
            </w:r>
          </w:p>
        </w:tc>
        <w:tc>
          <w:tcPr>
            <w:tcW w:type="dxa" w:w="1602"/>
          </w:tcPr>
          <w:p>
            <w:pPr>
              <w:pStyle w:val="Compact"/>
              <w:keepNext/>
              <w:spacing w:line="240" w:lineRule="auto" w:after="0"/>
              <w:ind w:firstLine="0"/>
              <w:jc w:val="right"/>
            </w:pPr>
            <w:r>
              <w:rPr>
                <w:rFonts w:ascii="Arial" w:hAnsi="Arial"/>
                <w:b w:val="0"/>
                <w:sz w:val="20"/>
              </w:rPr>
              <w:t xml:space="preserve">0,03276</w:t>
            </w:r>
          </w:p>
        </w:tc>
        <w:tc>
          <w:tcPr>
            <w:tcW w:type="dxa" w:w="915"/>
          </w:tcPr>
          <w:p>
            <w:pPr>
              <w:pStyle w:val="Compact"/>
              <w:keepNext/>
              <w:spacing w:line="240" w:lineRule="auto" w:after="0"/>
              <w:ind w:firstLine="0"/>
              <w:jc w:val="right"/>
            </w:pPr>
            <w:r>
              <w:rPr>
                <w:rFonts w:ascii="Arial" w:hAnsi="Arial"/>
                <w:b w:val="0"/>
                <w:sz w:val="20"/>
              </w:rPr>
              <w:t xml:space="preserve">12</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fundamental completo</w:t>
            </w:r>
          </w:p>
        </w:tc>
        <w:tc>
          <w:tcPr>
            <w:tcW w:type="dxa" w:w="1602"/>
          </w:tcPr>
          <w:p>
            <w:pPr>
              <w:pStyle w:val="Compact"/>
              <w:keepNext/>
              <w:spacing w:line="240" w:lineRule="auto" w:after="0"/>
              <w:ind w:firstLine="0"/>
              <w:jc w:val="right"/>
            </w:pPr>
            <w:r>
              <w:rPr>
                <w:rFonts w:ascii="Arial" w:hAnsi="Arial"/>
                <w:b w:val="0"/>
                <w:sz w:val="20"/>
              </w:rPr>
              <w:t xml:space="preserve">0,00738</w:t>
            </w:r>
          </w:p>
        </w:tc>
        <w:tc>
          <w:tcPr>
            <w:tcW w:type="dxa" w:w="915"/>
          </w:tcPr>
          <w:p>
            <w:pPr>
              <w:pStyle w:val="Compact"/>
              <w:keepNext/>
              <w:spacing w:line="240" w:lineRule="auto" w:after="0"/>
              <w:ind w:firstLine="0"/>
              <w:jc w:val="right"/>
            </w:pPr>
            <w:r>
              <w:rPr>
                <w:rFonts w:ascii="Arial" w:hAnsi="Arial"/>
                <w:b w:val="0"/>
                <w:sz w:val="20"/>
              </w:rPr>
              <w:t xml:space="preserve">14</w:t>
            </w:r>
          </w:p>
        </w:tc>
        <w:tc>
          <w:tcPr>
            <w:tcW w:type="dxa" w:w="1602"/>
          </w:tcPr>
          <w:p>
            <w:pPr>
              <w:pStyle w:val="Compact"/>
              <w:keepNext/>
              <w:spacing w:line="240" w:lineRule="auto" w:after="0"/>
              <w:ind w:firstLine="0"/>
              <w:jc w:val="right"/>
            </w:pPr>
            <w:r>
              <w:rPr>
                <w:rFonts w:ascii="Arial" w:hAnsi="Arial"/>
                <w:b w:val="0"/>
                <w:sz w:val="20"/>
              </w:rPr>
              <w:t xml:space="preserve">0,02993</w:t>
            </w:r>
          </w:p>
        </w:tc>
        <w:tc>
          <w:tcPr>
            <w:tcW w:type="dxa" w:w="915"/>
          </w:tcPr>
          <w:p>
            <w:pPr>
              <w:pStyle w:val="Compact"/>
              <w:keepNext/>
              <w:spacing w:line="240" w:lineRule="auto" w:after="0"/>
              <w:ind w:firstLine="0"/>
              <w:jc w:val="right"/>
            </w:pPr>
            <w:r>
              <w:rPr>
                <w:rFonts w:ascii="Arial" w:hAnsi="Arial"/>
                <w:b w:val="0"/>
                <w:sz w:val="20"/>
              </w:rPr>
              <w:t xml:space="preserve">13</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Raça (negro)</w:t>
            </w:r>
          </w:p>
        </w:tc>
        <w:tc>
          <w:tcPr>
            <w:tcW w:type="dxa" w:w="1602"/>
          </w:tcPr>
          <w:p>
            <w:pPr>
              <w:pStyle w:val="Compact"/>
              <w:keepNext/>
              <w:spacing w:line="240" w:lineRule="auto" w:after="0"/>
              <w:ind w:firstLine="0"/>
              <w:jc w:val="right"/>
            </w:pPr>
            <w:r>
              <w:rPr>
                <w:rFonts w:ascii="Arial" w:hAnsi="Arial"/>
                <w:b w:val="0"/>
                <w:sz w:val="20"/>
              </w:rPr>
              <w:t xml:space="preserve">0,00222</w:t>
            </w:r>
          </w:p>
        </w:tc>
        <w:tc>
          <w:tcPr>
            <w:tcW w:type="dxa" w:w="915"/>
          </w:tcPr>
          <w:p>
            <w:pPr>
              <w:pStyle w:val="Compact"/>
              <w:keepNext/>
              <w:spacing w:line="240" w:lineRule="auto" w:after="0"/>
              <w:ind w:firstLine="0"/>
              <w:jc w:val="right"/>
            </w:pPr>
            <w:r>
              <w:rPr>
                <w:rFonts w:ascii="Arial" w:hAnsi="Arial"/>
                <w:b w:val="0"/>
                <w:sz w:val="20"/>
              </w:rPr>
              <w:t xml:space="preserve">20</w:t>
            </w:r>
          </w:p>
        </w:tc>
        <w:tc>
          <w:tcPr>
            <w:tcW w:type="dxa" w:w="1602"/>
          </w:tcPr>
          <w:p>
            <w:pPr>
              <w:pStyle w:val="Compact"/>
              <w:keepNext/>
              <w:spacing w:line="240" w:lineRule="auto" w:after="0"/>
              <w:ind w:firstLine="0"/>
              <w:jc w:val="right"/>
            </w:pPr>
            <w:r>
              <w:rPr>
                <w:rFonts w:ascii="Arial" w:hAnsi="Arial"/>
                <w:b w:val="0"/>
                <w:sz w:val="20"/>
              </w:rPr>
              <w:t xml:space="preserve">0,02656</w:t>
            </w:r>
          </w:p>
        </w:tc>
        <w:tc>
          <w:tcPr>
            <w:tcW w:type="dxa" w:w="915"/>
          </w:tcPr>
          <w:p>
            <w:pPr>
              <w:pStyle w:val="Compact"/>
              <w:keepNext/>
              <w:spacing w:line="240" w:lineRule="auto" w:after="0"/>
              <w:ind w:firstLine="0"/>
              <w:jc w:val="right"/>
            </w:pPr>
            <w:r>
              <w:rPr>
                <w:rFonts w:ascii="Arial" w:hAnsi="Arial"/>
                <w:b w:val="0"/>
                <w:sz w:val="20"/>
              </w:rPr>
              <w:t xml:space="preserve">14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Serviços/Vendas</w:t>
            </w:r>
          </w:p>
        </w:tc>
        <w:tc>
          <w:tcPr>
            <w:tcW w:type="dxa" w:w="1602"/>
          </w:tcPr>
          <w:p>
            <w:pPr>
              <w:pStyle w:val="Compact"/>
              <w:keepNext/>
              <w:spacing w:line="240" w:lineRule="auto" w:after="0"/>
              <w:ind w:firstLine="0"/>
              <w:jc w:val="right"/>
            </w:pPr>
            <w:r>
              <w:rPr>
                <w:rFonts w:ascii="Arial" w:hAnsi="Arial"/>
                <w:b w:val="0"/>
                <w:sz w:val="20"/>
              </w:rPr>
              <w:t xml:space="preserve">0,00197</w:t>
            </w:r>
          </w:p>
        </w:tc>
        <w:tc>
          <w:tcPr>
            <w:tcW w:type="dxa" w:w="915"/>
          </w:tcPr>
          <w:p>
            <w:pPr>
              <w:pStyle w:val="Compact"/>
              <w:keepNext/>
              <w:spacing w:line="240" w:lineRule="auto" w:after="0"/>
              <w:ind w:firstLine="0"/>
              <w:jc w:val="right"/>
            </w:pPr>
            <w:r>
              <w:rPr>
                <w:rFonts w:ascii="Arial" w:hAnsi="Arial"/>
                <w:b w:val="0"/>
                <w:sz w:val="20"/>
              </w:rPr>
              <w:t xml:space="preserve">22</w:t>
            </w:r>
          </w:p>
        </w:tc>
        <w:tc>
          <w:tcPr>
            <w:tcW w:type="dxa" w:w="1602"/>
          </w:tcPr>
          <w:p>
            <w:pPr>
              <w:pStyle w:val="Compact"/>
              <w:keepNext/>
              <w:spacing w:line="240" w:lineRule="auto" w:after="0"/>
              <w:ind w:firstLine="0"/>
              <w:jc w:val="right"/>
            </w:pPr>
            <w:r>
              <w:rPr>
                <w:rFonts w:ascii="Arial" w:hAnsi="Arial"/>
                <w:b w:val="0"/>
                <w:sz w:val="20"/>
              </w:rPr>
              <w:t xml:space="preserve">0,02448</w:t>
            </w:r>
          </w:p>
        </w:tc>
        <w:tc>
          <w:tcPr>
            <w:tcW w:type="dxa" w:w="915"/>
          </w:tcPr>
          <w:p>
            <w:pPr>
              <w:pStyle w:val="Compact"/>
              <w:keepNext/>
              <w:spacing w:line="240" w:lineRule="auto" w:after="0"/>
              <w:ind w:firstLine="0"/>
              <w:jc w:val="right"/>
            </w:pPr>
            <w:r>
              <w:rPr>
                <w:rFonts w:ascii="Arial" w:hAnsi="Arial"/>
                <w:b w:val="0"/>
                <w:sz w:val="20"/>
              </w:rPr>
              <w:t xml:space="preserve">15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Operários</w:t>
            </w:r>
          </w:p>
        </w:tc>
        <w:tc>
          <w:tcPr>
            <w:tcW w:type="dxa" w:w="1602"/>
          </w:tcPr>
          <w:p>
            <w:pPr>
              <w:pStyle w:val="Compact"/>
              <w:keepNext/>
              <w:spacing w:line="240" w:lineRule="auto" w:after="0"/>
              <w:ind w:firstLine="0"/>
              <w:jc w:val="right"/>
            </w:pPr>
            <w:r>
              <w:rPr>
                <w:rFonts w:ascii="Arial" w:hAnsi="Arial"/>
                <w:b w:val="0"/>
                <w:sz w:val="20"/>
              </w:rPr>
              <w:t xml:space="preserve">0,00109</w:t>
            </w:r>
          </w:p>
        </w:tc>
        <w:tc>
          <w:tcPr>
            <w:tcW w:type="dxa" w:w="915"/>
          </w:tcPr>
          <w:p>
            <w:pPr>
              <w:pStyle w:val="Compact"/>
              <w:keepNext/>
              <w:spacing w:line="240" w:lineRule="auto" w:after="0"/>
              <w:ind w:firstLine="0"/>
              <w:jc w:val="right"/>
            </w:pPr>
            <w:r>
              <w:rPr>
                <w:rFonts w:ascii="Arial" w:hAnsi="Arial"/>
                <w:b w:val="0"/>
                <w:sz w:val="20"/>
              </w:rPr>
              <w:t xml:space="preserve">23</w:t>
            </w:r>
          </w:p>
        </w:tc>
        <w:tc>
          <w:tcPr>
            <w:tcW w:type="dxa" w:w="1602"/>
          </w:tcPr>
          <w:p>
            <w:pPr>
              <w:pStyle w:val="Compact"/>
              <w:keepNext/>
              <w:spacing w:line="240" w:lineRule="auto" w:after="0"/>
              <w:ind w:firstLine="0"/>
              <w:jc w:val="right"/>
            </w:pPr>
            <w:r>
              <w:rPr>
                <w:rFonts w:ascii="Arial" w:hAnsi="Arial"/>
                <w:b w:val="0"/>
                <w:sz w:val="20"/>
              </w:rPr>
              <w:t xml:space="preserve">0,02231</w:t>
            </w:r>
          </w:p>
        </w:tc>
        <w:tc>
          <w:tcPr>
            <w:tcW w:type="dxa" w:w="915"/>
          </w:tcPr>
          <w:p>
            <w:pPr>
              <w:pStyle w:val="Compact"/>
              <w:keepNext/>
              <w:spacing w:line="240" w:lineRule="auto" w:after="0"/>
              <w:ind w:firstLine="0"/>
              <w:jc w:val="right"/>
            </w:pPr>
            <w:r>
              <w:rPr>
                <w:rFonts w:ascii="Arial" w:hAnsi="Arial"/>
                <w:b w:val="0"/>
                <w:sz w:val="20"/>
              </w:rPr>
              <w:t xml:space="preserve">16</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Op. Máquinas</w:t>
            </w:r>
          </w:p>
        </w:tc>
        <w:tc>
          <w:tcPr>
            <w:tcW w:type="dxa" w:w="1602"/>
          </w:tcPr>
          <w:p>
            <w:pPr>
              <w:pStyle w:val="Compact"/>
              <w:keepNext/>
              <w:spacing w:line="240" w:lineRule="auto" w:after="0"/>
              <w:ind w:firstLine="0"/>
              <w:jc w:val="right"/>
            </w:pPr>
            <w:r>
              <w:rPr>
                <w:rFonts w:ascii="Arial" w:hAnsi="Arial"/>
                <w:b w:val="0"/>
                <w:sz w:val="20"/>
              </w:rPr>
              <w:t xml:space="preserve">0,00258</w:t>
            </w:r>
          </w:p>
        </w:tc>
        <w:tc>
          <w:tcPr>
            <w:tcW w:type="dxa" w:w="915"/>
          </w:tcPr>
          <w:p>
            <w:pPr>
              <w:pStyle w:val="Compact"/>
              <w:keepNext/>
              <w:spacing w:line="240" w:lineRule="auto" w:after="0"/>
              <w:ind w:firstLine="0"/>
              <w:jc w:val="right"/>
            </w:pPr>
            <w:r>
              <w:rPr>
                <w:rFonts w:ascii="Arial" w:hAnsi="Arial"/>
                <w:b w:val="0"/>
                <w:sz w:val="20"/>
              </w:rPr>
              <w:t xml:space="preserve">19</w:t>
            </w:r>
          </w:p>
        </w:tc>
        <w:tc>
          <w:tcPr>
            <w:tcW w:type="dxa" w:w="1602"/>
          </w:tcPr>
          <w:p>
            <w:pPr>
              <w:pStyle w:val="Compact"/>
              <w:keepNext/>
              <w:spacing w:line="240" w:lineRule="auto" w:after="0"/>
              <w:ind w:firstLine="0"/>
              <w:jc w:val="right"/>
            </w:pPr>
            <w:r>
              <w:rPr>
                <w:rFonts w:ascii="Arial" w:hAnsi="Arial"/>
                <w:b w:val="0"/>
                <w:sz w:val="20"/>
              </w:rPr>
              <w:t xml:space="preserve">0,02144</w:t>
            </w:r>
          </w:p>
        </w:tc>
        <w:tc>
          <w:tcPr>
            <w:tcW w:type="dxa" w:w="915"/>
          </w:tcPr>
          <w:p>
            <w:pPr>
              <w:pStyle w:val="Compact"/>
              <w:keepNext/>
              <w:spacing w:line="240" w:lineRule="auto" w:after="0"/>
              <w:ind w:firstLine="0"/>
              <w:jc w:val="right"/>
            </w:pPr>
            <w:r>
              <w:rPr>
                <w:rFonts w:ascii="Arial" w:hAnsi="Arial"/>
                <w:b w:val="0"/>
                <w:sz w:val="20"/>
              </w:rPr>
              <w:t xml:space="preserve">17</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média UPA</w:t>
            </w:r>
          </w:p>
        </w:tc>
        <w:tc>
          <w:tcPr>
            <w:tcW w:type="dxa" w:w="1602"/>
          </w:tcPr>
          <w:p>
            <w:pPr>
              <w:pStyle w:val="Compact"/>
              <w:keepNext/>
              <w:spacing w:line="240" w:lineRule="auto" w:after="0"/>
              <w:ind w:firstLine="0"/>
              <w:jc w:val="right"/>
            </w:pPr>
            <w:r>
              <w:rPr>
                <w:rFonts w:ascii="Arial" w:hAnsi="Arial"/>
                <w:b w:val="0"/>
                <w:sz w:val="20"/>
              </w:rPr>
              <w:t xml:space="preserve">0,00033</w:t>
            </w:r>
          </w:p>
        </w:tc>
        <w:tc>
          <w:tcPr>
            <w:tcW w:type="dxa" w:w="915"/>
          </w:tcPr>
          <w:p>
            <w:pPr>
              <w:pStyle w:val="Compact"/>
              <w:keepNext/>
              <w:spacing w:line="240" w:lineRule="auto" w:after="0"/>
              <w:ind w:firstLine="0"/>
              <w:jc w:val="right"/>
            </w:pPr>
            <w:r>
              <w:rPr>
                <w:rFonts w:ascii="Arial" w:hAnsi="Arial"/>
                <w:b w:val="0"/>
                <w:sz w:val="20"/>
              </w:rPr>
              <w:t xml:space="preserve">26</w:t>
            </w:r>
          </w:p>
        </w:tc>
        <w:tc>
          <w:tcPr>
            <w:tcW w:type="dxa" w:w="1602"/>
          </w:tcPr>
          <w:p>
            <w:pPr>
              <w:pStyle w:val="Compact"/>
              <w:keepNext/>
              <w:spacing w:line="240" w:lineRule="auto" w:after="0"/>
              <w:ind w:firstLine="0"/>
              <w:jc w:val="right"/>
            </w:pPr>
            <w:r>
              <w:rPr>
                <w:rFonts w:ascii="Arial" w:hAnsi="Arial"/>
                <w:b w:val="0"/>
                <w:sz w:val="20"/>
              </w:rPr>
              <w:t xml:space="preserve">0,01753</w:t>
            </w:r>
          </w:p>
        </w:tc>
        <w:tc>
          <w:tcPr>
            <w:tcW w:type="dxa" w:w="915"/>
          </w:tcPr>
          <w:p>
            <w:pPr>
              <w:pStyle w:val="Compact"/>
              <w:keepNext/>
              <w:spacing w:line="240" w:lineRule="auto" w:after="0"/>
              <w:ind w:firstLine="0"/>
              <w:jc w:val="right"/>
            </w:pPr>
            <w:r>
              <w:rPr>
                <w:rFonts w:ascii="Arial" w:hAnsi="Arial"/>
                <w:b w:val="0"/>
                <w:sz w:val="20"/>
              </w:rPr>
              <w:t xml:space="preserve">18</w:t>
            </w:r>
          </w:p>
        </w:tc>
      </w:tr>
      <w:tr>
        <w:trPr>
          <w:cantSplit/>
        </w:trPr>
        <w:tc>
          <w:tcPr>
            <w:tcW w:type="dxa" w:w="4037"/>
          </w:tcPr>
          <w:p>
            <w:pPr>
              <w:pStyle w:val="Compact"/>
              <w:keepNext/>
              <w:spacing w:line="240" w:lineRule="auto" w:after="0"/>
              <w:ind w:firstLine="0"/>
              <w:jc w:val="left"/>
            </w:pPr>
            <w:r>
              <w:rPr>
                <w:rFonts w:ascii="Arial" w:hAnsi="Arial"/>
                <w:b w:val="0"/>
                <w:sz w:val="20"/>
              </w:rPr>
              <w:t xml:space="preserve">Educ.: pós-graduação</w:t>
            </w:r>
          </w:p>
        </w:tc>
        <w:tc>
          <w:tcPr>
            <w:tcW w:type="dxa" w:w="1602"/>
          </w:tcPr>
          <w:p>
            <w:pPr>
              <w:pStyle w:val="Compact"/>
              <w:keepNext/>
              <w:spacing w:line="240" w:lineRule="auto" w:after="0"/>
              <w:ind w:firstLine="0"/>
              <w:jc w:val="right"/>
            </w:pPr>
            <w:r>
              <w:rPr>
                <w:rFonts w:ascii="Arial" w:hAnsi="Arial"/>
                <w:b w:val="0"/>
                <w:sz w:val="20"/>
              </w:rPr>
              <w:t xml:space="preserve">0,01489</w:t>
            </w:r>
          </w:p>
        </w:tc>
        <w:tc>
          <w:tcPr>
            <w:tcW w:type="dxa" w:w="915"/>
          </w:tcPr>
          <w:p>
            <w:pPr>
              <w:pStyle w:val="Compact"/>
              <w:keepNext/>
              <w:spacing w:line="240" w:lineRule="auto" w:after="0"/>
              <w:ind w:firstLine="0"/>
              <w:jc w:val="right"/>
            </w:pPr>
            <w:r>
              <w:rPr>
                <w:rFonts w:ascii="Arial" w:hAnsi="Arial"/>
                <w:b w:val="0"/>
                <w:sz w:val="20"/>
              </w:rPr>
              <w:t xml:space="preserve">12</w:t>
            </w:r>
          </w:p>
        </w:tc>
        <w:tc>
          <w:tcPr>
            <w:tcW w:type="dxa" w:w="1602"/>
          </w:tcPr>
          <w:p>
            <w:pPr>
              <w:pStyle w:val="Compact"/>
              <w:keepNext/>
              <w:spacing w:line="240" w:lineRule="auto" w:after="0"/>
              <w:ind w:firstLine="0"/>
              <w:jc w:val="right"/>
            </w:pPr>
            <w:r>
              <w:rPr>
                <w:rFonts w:ascii="Arial" w:hAnsi="Arial"/>
                <w:b w:val="0"/>
                <w:sz w:val="20"/>
              </w:rPr>
              <w:t xml:space="preserve">0,01690</w:t>
            </w:r>
          </w:p>
        </w:tc>
        <w:tc>
          <w:tcPr>
            <w:tcW w:type="dxa" w:w="915"/>
          </w:tcPr>
          <w:p>
            <w:pPr>
              <w:pStyle w:val="Compact"/>
              <w:keepNext/>
              <w:spacing w:line="240" w:lineRule="auto" w:after="0"/>
              <w:ind w:firstLine="0"/>
              <w:jc w:val="right"/>
            </w:pPr>
            <w:r>
              <w:rPr>
                <w:rFonts w:ascii="Arial" w:hAnsi="Arial"/>
                <w:b w:val="0"/>
                <w:sz w:val="20"/>
              </w:rPr>
              <w:t xml:space="preserve">19</w:t>
            </w:r>
          </w:p>
        </w:tc>
      </w:tr>
      <w:tr>
        <w:trPr>
          <w:cantSplit/>
        </w:trPr>
        <w:tc>
          <w:tcPr>
            <w:tcW w:type="dxa" w:w="4037"/>
          </w:tcPr>
          <w:p>
            <w:pPr>
              <w:pStyle w:val="Compact"/>
              <w:keepNext/>
              <w:spacing w:line="240" w:lineRule="auto" w:after="0"/>
              <w:ind w:firstLine="0"/>
              <w:jc w:val="left"/>
            </w:pPr>
            <w:r>
              <w:rPr>
                <w:rFonts w:ascii="Arial" w:hAnsi="Arial"/>
                <w:b w:val="0"/>
                <w:sz w:val="20"/>
              </w:rPr>
              <w:t xml:space="preserve">Trabalho doméstico</w:t>
            </w:r>
          </w:p>
        </w:tc>
        <w:tc>
          <w:tcPr>
            <w:tcW w:type="dxa" w:w="1602"/>
          </w:tcPr>
          <w:p>
            <w:pPr>
              <w:pStyle w:val="Compact"/>
              <w:keepNext/>
              <w:spacing w:line="240" w:lineRule="auto" w:after="0"/>
              <w:ind w:firstLine="0"/>
              <w:jc w:val="right"/>
            </w:pPr>
            <w:r>
              <w:rPr>
                <w:rFonts w:ascii="Arial" w:hAnsi="Arial"/>
                <w:b w:val="0"/>
                <w:sz w:val="20"/>
              </w:rPr>
              <w:t xml:space="preserve">0,00549</w:t>
            </w:r>
          </w:p>
        </w:tc>
        <w:tc>
          <w:tcPr>
            <w:tcW w:type="dxa" w:w="915"/>
          </w:tcPr>
          <w:p>
            <w:pPr>
              <w:pStyle w:val="Compact"/>
              <w:keepNext/>
              <w:spacing w:line="240" w:lineRule="auto" w:after="0"/>
              <w:ind w:firstLine="0"/>
              <w:jc w:val="right"/>
            </w:pPr>
            <w:r>
              <w:rPr>
                <w:rFonts w:ascii="Arial" w:hAnsi="Arial"/>
                <w:b w:val="0"/>
                <w:sz w:val="20"/>
              </w:rPr>
              <w:t xml:space="preserve">16</w:t>
            </w:r>
          </w:p>
        </w:tc>
        <w:tc>
          <w:tcPr>
            <w:tcW w:type="dxa" w:w="1602"/>
          </w:tcPr>
          <w:p>
            <w:pPr>
              <w:pStyle w:val="Compact"/>
              <w:keepNext/>
              <w:spacing w:line="240" w:lineRule="auto" w:after="0"/>
              <w:ind w:firstLine="0"/>
              <w:jc w:val="right"/>
            </w:pPr>
            <w:r>
              <w:rPr>
                <w:rFonts w:ascii="Arial" w:hAnsi="Arial"/>
                <w:b w:val="0"/>
                <w:sz w:val="20"/>
              </w:rPr>
              <w:t xml:space="preserve">0,01658</w:t>
            </w:r>
          </w:p>
        </w:tc>
        <w:tc>
          <w:tcPr>
            <w:tcW w:type="dxa" w:w="915"/>
          </w:tcPr>
          <w:p>
            <w:pPr>
              <w:pStyle w:val="Compact"/>
              <w:keepNext/>
              <w:spacing w:line="240" w:lineRule="auto" w:after="0"/>
              <w:ind w:firstLine="0"/>
              <w:jc w:val="right"/>
            </w:pPr>
            <w:r>
              <w:rPr>
                <w:rFonts w:ascii="Arial" w:hAnsi="Arial"/>
                <w:b w:val="0"/>
                <w:sz w:val="20"/>
              </w:rPr>
              <w:t xml:space="preserve">20</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no Estado</w:t>
            </w:r>
          </w:p>
        </w:tc>
        <w:tc>
          <w:tcPr>
            <w:tcW w:type="dxa" w:w="1602"/>
          </w:tcPr>
          <w:p>
            <w:pPr>
              <w:pStyle w:val="Compact"/>
              <w:keepNext/>
              <w:spacing w:line="240" w:lineRule="auto" w:after="0"/>
              <w:ind w:firstLine="0"/>
              <w:jc w:val="right"/>
            </w:pPr>
            <w:r>
              <w:rPr>
                <w:rFonts w:ascii="Arial" w:hAnsi="Arial"/>
                <w:b w:val="0"/>
                <w:sz w:val="20"/>
              </w:rPr>
              <w:t xml:space="preserve">0,00038</w:t>
            </w:r>
          </w:p>
        </w:tc>
        <w:tc>
          <w:tcPr>
            <w:tcW w:type="dxa" w:w="915"/>
          </w:tcPr>
          <w:p>
            <w:pPr>
              <w:pStyle w:val="Compact"/>
              <w:keepNext/>
              <w:spacing w:line="240" w:lineRule="auto" w:after="0"/>
              <w:ind w:firstLine="0"/>
              <w:jc w:val="right"/>
            </w:pPr>
            <w:r>
              <w:rPr>
                <w:rFonts w:ascii="Arial" w:hAnsi="Arial"/>
                <w:b w:val="0"/>
                <w:sz w:val="20"/>
              </w:rPr>
              <w:t xml:space="preserve">25</w:t>
            </w:r>
          </w:p>
        </w:tc>
        <w:tc>
          <w:tcPr>
            <w:tcW w:type="dxa" w:w="1602"/>
          </w:tcPr>
          <w:p>
            <w:pPr>
              <w:pStyle w:val="Compact"/>
              <w:keepNext/>
              <w:spacing w:line="240" w:lineRule="auto" w:after="0"/>
              <w:ind w:firstLine="0"/>
              <w:jc w:val="right"/>
            </w:pPr>
            <w:r>
              <w:rPr>
                <w:rFonts w:ascii="Arial" w:hAnsi="Arial"/>
                <w:b w:val="0"/>
                <w:sz w:val="20"/>
              </w:rPr>
              <w:t xml:space="preserve">0,01634</w:t>
            </w:r>
          </w:p>
        </w:tc>
        <w:tc>
          <w:tcPr>
            <w:tcW w:type="dxa" w:w="915"/>
          </w:tcPr>
          <w:p>
            <w:pPr>
              <w:pStyle w:val="Compact"/>
              <w:keepNext/>
              <w:spacing w:line="240" w:lineRule="auto" w:after="0"/>
              <w:ind w:firstLine="0"/>
              <w:jc w:val="right"/>
            </w:pPr>
            <w:r>
              <w:rPr>
                <w:rFonts w:ascii="Arial" w:hAnsi="Arial"/>
                <w:b w:val="0"/>
                <w:sz w:val="20"/>
              </w:rPr>
              <w:t xml:space="preserve">21</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Agropecuária</w:t>
            </w:r>
          </w:p>
        </w:tc>
        <w:tc>
          <w:tcPr>
            <w:tcW w:type="dxa" w:w="1602"/>
          </w:tcPr>
          <w:p>
            <w:pPr>
              <w:pStyle w:val="Compact"/>
              <w:keepNext/>
              <w:spacing w:line="240" w:lineRule="auto" w:after="0"/>
              <w:ind w:firstLine="0"/>
              <w:jc w:val="right"/>
            </w:pPr>
            <w:r>
              <w:rPr>
                <w:rFonts w:ascii="Arial" w:hAnsi="Arial"/>
                <w:b w:val="0"/>
                <w:sz w:val="20"/>
              </w:rPr>
              <w:t xml:space="preserve">0,00070</w:t>
            </w:r>
          </w:p>
        </w:tc>
        <w:tc>
          <w:tcPr>
            <w:tcW w:type="dxa" w:w="915"/>
          </w:tcPr>
          <w:p>
            <w:pPr>
              <w:pStyle w:val="Compact"/>
              <w:keepNext/>
              <w:spacing w:line="240" w:lineRule="auto" w:after="0"/>
              <w:ind w:firstLine="0"/>
              <w:jc w:val="right"/>
            </w:pPr>
            <w:r>
              <w:rPr>
                <w:rFonts w:ascii="Arial" w:hAnsi="Arial"/>
                <w:b w:val="0"/>
                <w:sz w:val="20"/>
              </w:rPr>
              <w:t xml:space="preserve">24</w:t>
            </w:r>
          </w:p>
        </w:tc>
        <w:tc>
          <w:tcPr>
            <w:tcW w:type="dxa" w:w="1602"/>
          </w:tcPr>
          <w:p>
            <w:pPr>
              <w:pStyle w:val="Compact"/>
              <w:keepNext/>
              <w:spacing w:line="240" w:lineRule="auto" w:after="0"/>
              <w:ind w:firstLine="0"/>
              <w:jc w:val="right"/>
            </w:pPr>
            <w:r>
              <w:rPr>
                <w:rFonts w:ascii="Arial" w:hAnsi="Arial"/>
                <w:b w:val="0"/>
                <w:sz w:val="20"/>
              </w:rPr>
              <w:t xml:space="preserve">0,01471</w:t>
            </w:r>
          </w:p>
        </w:tc>
        <w:tc>
          <w:tcPr>
            <w:tcW w:type="dxa" w:w="915"/>
          </w:tcPr>
          <w:p>
            <w:pPr>
              <w:pStyle w:val="Compact"/>
              <w:keepNext/>
              <w:spacing w:line="240" w:lineRule="auto" w:after="0"/>
              <w:ind w:firstLine="0"/>
              <w:jc w:val="right"/>
            </w:pPr>
            <w:r>
              <w:rPr>
                <w:rFonts w:ascii="Arial" w:hAnsi="Arial"/>
                <w:b w:val="0"/>
                <w:sz w:val="20"/>
              </w:rPr>
              <w:t xml:space="preserve">22</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 Negro no Estado</w:t>
            </w:r>
          </w:p>
        </w:tc>
        <w:tc>
          <w:tcPr>
            <w:tcW w:type="dxa" w:w="1602"/>
          </w:tcPr>
          <w:p>
            <w:pPr>
              <w:pStyle w:val="Compact"/>
              <w:keepNext/>
              <w:spacing w:line="240" w:lineRule="auto" w:after="0"/>
              <w:ind w:firstLine="0"/>
              <w:jc w:val="right"/>
            </w:pPr>
            <w:r>
              <w:rPr>
                <w:rFonts w:ascii="Arial" w:hAnsi="Arial"/>
                <w:b w:val="0"/>
                <w:sz w:val="20"/>
              </w:rPr>
              <w:t xml:space="preserve">0,00449</w:t>
            </w:r>
          </w:p>
        </w:tc>
        <w:tc>
          <w:tcPr>
            <w:tcW w:type="dxa" w:w="915"/>
          </w:tcPr>
          <w:p>
            <w:pPr>
              <w:pStyle w:val="Compact"/>
              <w:keepNext/>
              <w:spacing w:line="240" w:lineRule="auto" w:after="0"/>
              <w:ind w:firstLine="0"/>
              <w:jc w:val="right"/>
            </w:pPr>
            <w:r>
              <w:rPr>
                <w:rFonts w:ascii="Arial" w:hAnsi="Arial"/>
                <w:b w:val="0"/>
                <w:sz w:val="20"/>
              </w:rPr>
              <w:t xml:space="preserve">17</w:t>
            </w:r>
          </w:p>
        </w:tc>
        <w:tc>
          <w:tcPr>
            <w:tcW w:type="dxa" w:w="1602"/>
          </w:tcPr>
          <w:p>
            <w:pPr>
              <w:pStyle w:val="Compact"/>
              <w:keepNext/>
              <w:spacing w:line="240" w:lineRule="auto" w:after="0"/>
              <w:ind w:firstLine="0"/>
              <w:jc w:val="right"/>
            </w:pPr>
            <w:r>
              <w:rPr>
                <w:rFonts w:ascii="Arial" w:hAnsi="Arial"/>
                <w:b w:val="0"/>
                <w:sz w:val="20"/>
              </w:rPr>
              <w:t xml:space="preserve">0,01316</w:t>
            </w:r>
          </w:p>
        </w:tc>
        <w:tc>
          <w:tcPr>
            <w:tcW w:type="dxa" w:w="915"/>
          </w:tcPr>
          <w:p>
            <w:pPr>
              <w:pStyle w:val="Compact"/>
              <w:keepNext/>
              <w:spacing w:line="240" w:lineRule="auto" w:after="0"/>
              <w:ind w:firstLine="0"/>
              <w:jc w:val="right"/>
            </w:pPr>
            <w:r>
              <w:rPr>
                <w:rFonts w:ascii="Arial" w:hAnsi="Arial"/>
                <w:b w:val="0"/>
                <w:sz w:val="20"/>
              </w:rPr>
              <w:t xml:space="preserve">23</w:t>
            </w:r>
          </w:p>
        </w:tc>
      </w:tr>
      <w:tr>
        <w:trPr>
          <w:cantSplit/>
        </w:trPr>
        <w:tc>
          <w:tcPr>
            <w:tcW w:type="dxa" w:w="4037"/>
          </w:tcPr>
          <w:p>
            <w:pPr>
              <w:pStyle w:val="Compact"/>
              <w:keepNext/>
              <w:spacing w:line="240" w:lineRule="auto" w:after="0"/>
              <w:ind w:firstLine="0"/>
              <w:jc w:val="left"/>
            </w:pPr>
            <w:r>
              <w:rPr>
                <w:rFonts w:ascii="Arial" w:hAnsi="Arial"/>
                <w:b w:val="0"/>
                <w:sz w:val="20"/>
              </w:rPr>
              <w:t xml:space="preserve">Idade² (experiência)</w:t>
            </w:r>
          </w:p>
        </w:tc>
        <w:tc>
          <w:tcPr>
            <w:tcW w:type="dxa" w:w="1602"/>
          </w:tcPr>
          <w:p>
            <w:pPr>
              <w:pStyle w:val="Compact"/>
              <w:keepNext/>
              <w:spacing w:line="240" w:lineRule="auto" w:after="0"/>
              <w:ind w:firstLine="0"/>
              <w:jc w:val="right"/>
            </w:pPr>
            <w:r>
              <w:rPr>
                <w:rFonts w:ascii="Arial" w:hAnsi="Arial"/>
                <w:b w:val="0"/>
                <w:sz w:val="20"/>
              </w:rPr>
              <w:t xml:space="preserve">0,00657</w:t>
            </w:r>
          </w:p>
        </w:tc>
        <w:tc>
          <w:tcPr>
            <w:tcW w:type="dxa" w:w="915"/>
          </w:tcPr>
          <w:p>
            <w:pPr>
              <w:pStyle w:val="Compact"/>
              <w:keepNext/>
              <w:spacing w:line="240" w:lineRule="auto" w:after="0"/>
              <w:ind w:firstLine="0"/>
              <w:jc w:val="right"/>
            </w:pPr>
            <w:r>
              <w:rPr>
                <w:rFonts w:ascii="Arial" w:hAnsi="Arial"/>
                <w:b w:val="0"/>
                <w:sz w:val="20"/>
              </w:rPr>
              <w:t xml:space="preserve">15</w:t>
            </w:r>
          </w:p>
        </w:tc>
        <w:tc>
          <w:tcPr>
            <w:tcW w:type="dxa" w:w="1602"/>
          </w:tcPr>
          <w:p>
            <w:pPr>
              <w:pStyle w:val="Compact"/>
              <w:keepNext/>
              <w:spacing w:line="240" w:lineRule="auto" w:after="0"/>
              <w:ind w:firstLine="0"/>
              <w:jc w:val="right"/>
            </w:pPr>
            <w:r>
              <w:rPr>
                <w:rFonts w:ascii="Arial" w:hAnsi="Arial"/>
                <w:b w:val="0"/>
                <w:sz w:val="20"/>
              </w:rPr>
              <w:t xml:space="preserve">0,01274</w:t>
            </w:r>
          </w:p>
        </w:tc>
        <w:tc>
          <w:tcPr>
            <w:tcW w:type="dxa" w:w="915"/>
          </w:tcPr>
          <w:p>
            <w:pPr>
              <w:pStyle w:val="Compact"/>
              <w:keepNext/>
              <w:spacing w:line="240" w:lineRule="auto" w:after="0"/>
              <w:ind w:firstLine="0"/>
              <w:jc w:val="right"/>
            </w:pPr>
            <w:r>
              <w:rPr>
                <w:rFonts w:ascii="Arial" w:hAnsi="Arial"/>
                <w:b w:val="0"/>
                <w:sz w:val="20"/>
              </w:rPr>
              <w:t xml:space="preserve">24</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Administrativo</w:t>
            </w:r>
          </w:p>
        </w:tc>
        <w:tc>
          <w:tcPr>
            <w:tcW w:type="dxa" w:w="1602"/>
          </w:tcPr>
          <w:p>
            <w:pPr>
              <w:pStyle w:val="Compact"/>
              <w:keepNext/>
              <w:spacing w:line="240" w:lineRule="auto" w:after="0"/>
              <w:ind w:firstLine="0"/>
              <w:jc w:val="right"/>
            </w:pPr>
            <w:r>
              <w:rPr>
                <w:rFonts w:ascii="Arial" w:hAnsi="Arial"/>
                <w:b w:val="0"/>
                <w:sz w:val="20"/>
              </w:rPr>
              <w:t xml:space="preserve">0,00348</w:t>
            </w:r>
          </w:p>
        </w:tc>
        <w:tc>
          <w:tcPr>
            <w:tcW w:type="dxa" w:w="915"/>
          </w:tcPr>
          <w:p>
            <w:pPr>
              <w:pStyle w:val="Compact"/>
              <w:keepNext/>
              <w:spacing w:line="240" w:lineRule="auto" w:after="0"/>
              <w:ind w:firstLine="0"/>
              <w:jc w:val="right"/>
            </w:pPr>
            <w:r>
              <w:rPr>
                <w:rFonts w:ascii="Arial" w:hAnsi="Arial"/>
                <w:b w:val="0"/>
                <w:sz w:val="20"/>
              </w:rPr>
              <w:t xml:space="preserve">18</w:t>
            </w:r>
          </w:p>
        </w:tc>
        <w:tc>
          <w:tcPr>
            <w:tcW w:type="dxa" w:w="1602"/>
          </w:tcPr>
          <w:p>
            <w:pPr>
              <w:pStyle w:val="Compact"/>
              <w:keepNext/>
              <w:spacing w:line="240" w:lineRule="auto" w:after="0"/>
              <w:ind w:firstLine="0"/>
              <w:jc w:val="right"/>
            </w:pPr>
            <w:r>
              <w:rPr>
                <w:rFonts w:ascii="Arial" w:hAnsi="Arial"/>
                <w:b w:val="0"/>
                <w:sz w:val="20"/>
              </w:rPr>
              <w:t xml:space="preserve">0,01216</w:t>
            </w:r>
          </w:p>
        </w:tc>
        <w:tc>
          <w:tcPr>
            <w:tcW w:type="dxa" w:w="915"/>
          </w:tcPr>
          <w:p>
            <w:pPr>
              <w:pStyle w:val="Compact"/>
              <w:keepNext/>
              <w:spacing w:line="240" w:lineRule="auto" w:after="0"/>
              <w:ind w:firstLine="0"/>
              <w:jc w:val="right"/>
            </w:pPr>
            <w:r>
              <w:rPr>
                <w:rFonts w:ascii="Arial" w:hAnsi="Arial"/>
                <w:b w:val="0"/>
                <w:sz w:val="20"/>
              </w:rPr>
              <w:t xml:space="preserve">25</w:t>
            </w:r>
          </w:p>
        </w:tc>
      </w:tr>
      <w:tr>
        <w:trPr>
          <w:cantSplit/>
        </w:trPr>
        <w:tc>
          <w:tcPr>
            <w:tcW w:type="dxa" w:w="4037"/>
          </w:tcPr>
          <w:p>
            <w:pPr>
              <w:pStyle w:val="Compact"/>
              <w:keepNext/>
              <w:spacing w:line="240" w:lineRule="auto" w:after="0"/>
              <w:ind w:firstLine="0"/>
              <w:jc w:val="left"/>
            </w:pPr>
            <w:r>
              <w:rPr>
                <w:rFonts w:ascii="Arial" w:hAnsi="Arial"/>
                <w:b w:val="0"/>
                <w:sz w:val="20"/>
              </w:rPr>
              <w:t xml:space="preserve">CBO: FFAA/Polícia</w:t>
            </w:r>
          </w:p>
        </w:tc>
        <w:tc>
          <w:tcPr>
            <w:tcW w:type="dxa" w:w="1602"/>
          </w:tcPr>
          <w:p>
            <w:pPr>
              <w:pStyle w:val="Compact"/>
              <w:keepNext/>
              <w:spacing w:line="240" w:lineRule="auto" w:after="0"/>
              <w:ind w:firstLine="0"/>
              <w:jc w:val="right"/>
            </w:pPr>
            <w:r>
              <w:rPr>
                <w:rFonts w:ascii="Arial" w:hAnsi="Arial"/>
                <w:b w:val="0"/>
                <w:sz w:val="20"/>
              </w:rPr>
              <w:t xml:space="preserve">0,00803</w:t>
            </w:r>
          </w:p>
        </w:tc>
        <w:tc>
          <w:tcPr>
            <w:tcW w:type="dxa" w:w="915"/>
          </w:tcPr>
          <w:p>
            <w:pPr>
              <w:pStyle w:val="Compact"/>
              <w:keepNext/>
              <w:spacing w:line="240" w:lineRule="auto" w:after="0"/>
              <w:ind w:firstLine="0"/>
              <w:jc w:val="right"/>
            </w:pPr>
            <w:r>
              <w:rPr>
                <w:rFonts w:ascii="Arial" w:hAnsi="Arial"/>
                <w:b w:val="0"/>
                <w:sz w:val="20"/>
              </w:rPr>
              <w:t xml:space="preserve">13</w:t>
            </w:r>
          </w:p>
        </w:tc>
        <w:tc>
          <w:tcPr>
            <w:tcW w:type="dxa" w:w="1602"/>
          </w:tcPr>
          <w:p>
            <w:pPr>
              <w:pStyle w:val="Compact"/>
              <w:keepNext/>
              <w:spacing w:line="240" w:lineRule="auto" w:after="0"/>
              <w:ind w:firstLine="0"/>
              <w:jc w:val="right"/>
            </w:pPr>
            <w:r>
              <w:rPr>
                <w:rFonts w:ascii="Arial" w:hAnsi="Arial"/>
                <w:b w:val="0"/>
                <w:sz w:val="20"/>
              </w:rPr>
              <w:t xml:space="preserve">0,01121</w:t>
            </w:r>
          </w:p>
        </w:tc>
        <w:tc>
          <w:tcPr>
            <w:tcW w:type="dxa" w:w="915"/>
          </w:tcPr>
          <w:p>
            <w:pPr>
              <w:pStyle w:val="Compact"/>
              <w:keepNext/>
              <w:spacing w:line="240" w:lineRule="auto" w:after="0"/>
              <w:ind w:firstLine="0"/>
              <w:jc w:val="right"/>
            </w:pPr>
            <w:r>
              <w:rPr>
                <w:rFonts w:ascii="Arial" w:hAnsi="Arial"/>
                <w:b w:val="0"/>
                <w:sz w:val="20"/>
              </w:rPr>
              <w:t xml:space="preserve">26</w:t>
            </w:r>
          </w:p>
        </w:tc>
      </w:tr>
      <w:tr>
        <w:trPr>
          <w:cantSplit/>
        </w:trPr>
        <w:tc>
          <w:tcPr>
            <w:tcW w:type="dxa" w:w="4037"/>
          </w:tcPr>
          <w:p>
            <w:pPr>
              <w:pStyle w:val="Compact"/>
              <w:keepNext/>
              <w:spacing w:line="240" w:lineRule="auto" w:after="0"/>
              <w:ind w:firstLine="0"/>
              <w:jc w:val="left"/>
            </w:pPr>
            <w:r>
              <w:rPr>
                <w:rFonts w:ascii="Arial" w:hAnsi="Arial"/>
                <w:b w:val="0"/>
                <w:bCs/>
                <w:sz w:val="20"/>
              </w:rPr>
              <w:t xml:space="preserve">Desemprego na UPA</w:t>
            </w:r>
          </w:p>
        </w:tc>
        <w:tc>
          <w:tcPr>
            <w:tcW w:type="dxa" w:w="1602"/>
          </w:tcPr>
          <w:p>
            <w:pPr>
              <w:pStyle w:val="Compact"/>
              <w:keepNext/>
              <w:spacing w:line="240" w:lineRule="auto" w:after="0"/>
              <w:ind w:firstLine="0"/>
              <w:jc w:val="right"/>
            </w:pPr>
            <w:r>
              <w:rPr>
                <w:rFonts w:ascii="Arial" w:hAnsi="Arial"/>
                <w:b w:val="0"/>
                <w:sz w:val="20"/>
              </w:rPr>
              <w:t xml:space="preserve">0,00013</w:t>
            </w:r>
          </w:p>
        </w:tc>
        <w:tc>
          <w:tcPr>
            <w:tcW w:type="dxa" w:w="915"/>
          </w:tcPr>
          <w:p>
            <w:pPr>
              <w:pStyle w:val="Compact"/>
              <w:keepNext/>
              <w:spacing w:line="240" w:lineRule="auto" w:after="0"/>
              <w:ind w:firstLine="0"/>
              <w:jc w:val="right"/>
            </w:pPr>
            <w:r>
              <w:rPr>
                <w:rFonts w:ascii="Arial" w:hAnsi="Arial"/>
                <w:b w:val="0"/>
                <w:sz w:val="20"/>
              </w:rPr>
              <w:t xml:space="preserve">28</w:t>
            </w:r>
          </w:p>
        </w:tc>
        <w:tc>
          <w:tcPr>
            <w:tcW w:type="dxa" w:w="1602"/>
          </w:tcPr>
          <w:p>
            <w:pPr>
              <w:pStyle w:val="Compact"/>
              <w:keepNext/>
              <w:spacing w:line="240" w:lineRule="auto" w:after="0"/>
              <w:ind w:firstLine="0"/>
              <w:jc w:val="right"/>
            </w:pPr>
            <w:r>
              <w:rPr>
                <w:rFonts w:ascii="Arial" w:hAnsi="Arial"/>
                <w:b w:val="0"/>
                <w:sz w:val="20"/>
              </w:rPr>
              <w:t xml:space="preserve">0,00787</w:t>
            </w:r>
          </w:p>
        </w:tc>
        <w:tc>
          <w:tcPr>
            <w:tcW w:type="dxa" w:w="915"/>
          </w:tcPr>
          <w:p>
            <w:pPr>
              <w:pStyle w:val="Compact"/>
              <w:keepNext/>
              <w:spacing w:line="240" w:lineRule="auto" w:after="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0,00023</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w:t>
            </w:r>
          </w:p>
        </w:tc>
        <w:tc>
          <w:tcPr>
            <w:tcW w:type="dxa" w:w="160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0,00731</w:t>
            </w:r>
          </w:p>
        </w:tc>
        <w:tc>
          <w:tcPr>
            <w:tcW w:type="dxa" w:w="9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28</w:t>
            </w:r>
          </w:p>
        </w:tc>
      </w:tr>
    </w:tbl>
    <w:bookmarkEnd w:id="10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Tabela 15: variáveis ordenadas pela importância média (</w:t>
      </w:r>
      <m:oMath>
        <m:r>
          <m:rPr>
            <m:sty m:val="p"/>
          </m:rPr>
          <m:t>|</m:t>
        </m:r>
        <m:r>
          <m:rPr>
            <m:nor/>
            <m:sty m:val="p"/>
          </m:rPr>
          <m:t>SHAP</m:t>
        </m:r>
        <m:r>
          <m:rPr>
            <m:sty m:val="p"/>
          </m:rPr>
          <m:t>|</m:t>
        </m:r>
      </m:oMath>
      <w:r>
        <w:rPr>
          <w:rFonts w:ascii="Arial" w:hAnsi="Arial"/>
          <w:sz w:val="22"/>
        </w:rPr>
        <w:t xml:space="preserve">); valores maiores = maior peso na previsão da renda.</w:t>
      </w:r>
    </w:p>
    <w:bookmarkStart w:id="109" w:name="fig:shap"/>
    <w:p>
      <w:pPr>
        <w:pStyle w:val="CaptionedFigure"/>
        <w:keepNext/>
        <w:keepLines/>
      </w:pPr>
      <w:r>
        <w:rPr>
          <w:rFonts w:ascii="Arial" w:hAnsi="Arial"/>
          <w:sz w:val="22"/>
        </w:rPr>
        <w:drawing>
          <wp:inline>
            <wp:extent cx="5292852" cy="4123315"/>
            <wp:effectExtent b="0" l="0" r="0" t="0"/>
            <wp:docPr descr="" title="" id="107" name="Picture"/>
            <a:graphic>
              <a:graphicData uri="http://schemas.openxmlformats.org/drawingml/2006/picture">
                <pic:pic>
                  <pic:nvPicPr>
                    <pic:cNvPr descr="outputs/figures/shap_beeswarm_xgb.png" id="108" name="Picture"/>
                    <pic:cNvPicPr>
                      <a:picLocks noChangeArrowheads="1" noChangeAspect="1"/>
                    </pic:cNvPicPr>
                  </pic:nvPicPr>
                  <pic:blipFill>
                    <a:blip r:embed="rId106"/>
                    <a:stretch>
                      <a:fillRect/>
                    </a:stretch>
                  </pic:blipFill>
                  <pic:spPr bwMode="auto">
                    <a:xfrm>
                      <a:off x="0" y="0"/>
                      <a:ext cx="5292852" cy="41233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9"/>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15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xml:space="preserve">;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10"/>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11"/>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15</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 xml:space="preserve">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10 ilustra como a previsão de dois casos individuais é composta.</w:t>
      </w:r>
    </w:p>
    <w:bookmarkStart w:id="118" w:name="fig:shap_wf"/>
    <w:tbl>
      <w:tblPr>
        <w:tblStyle w:val="FigureTable"/>
        <w:tblW w:type="auto" w:w="0"/>
        <w:jc w:val="center"/>
        <w:tblLayout w:type="fixed"/>
        <w:tblLook w:firstRow="0" w:lastRow="0" w:firstColumn="0" w:lastColumn="0"/>
        <w:tblBorders>
          <w:top w:val="nil"/>
          <w:left w:val="nil"/>
          <w:bottom w:val="nil"/>
          <w:right w:val="nil"/>
          <w:insideH w:val="nil"/>
          <w:insideV w:val="nil"/>
        </w:tblBorders>
      </w:tblPr>
      <w:tblGrid>
        <w:gridCol w:w="9071"/>
      </w:tblGrid>
      <w:tr>
        <w:trPr>
          <w:tblHeader w:val="true"/>
          <w:cantSplit/>
        </w:trPr>
        <w:tc>
          <w:tcPr>
            <w:tcW w:type="dxa" w:w="9071"/>
            <w:tcBorders>
              <w:top w:val="nil"/>
              <w:left w:val="nil"/>
              <w:bottom w:val="single" w:sz="8" w:color="000000"/>
              <w:right w:val="nil"/>
            </w:tcBorders>
          </w:tcPr>
          <w:p>
            <w:pPr>
              <w:keepNext/>
              <w:spacing w:line="240" w:lineRule="auto" w:after="0"/>
              <w:ind w:firstLine="0"/>
              <w:jc w:val="center"/>
            </w:pPr>
            <w:r>
              <w:rPr>
                <w:rFonts w:ascii="Arial" w:hAnsi="Arial"/>
                <w:b w:val="0"/>
                <w:sz w:val="22"/>
              </w:rPr>
              <w:drawing>
                <wp:inline>
                  <wp:extent cx="2819019" cy="2563340"/>
                  <wp:effectExtent b="0" l="0" r="0" t="0"/>
                  <wp:docPr descr="image" title="" id="113" name="Picture"/>
                  <a:graphic>
                    <a:graphicData uri="http://schemas.openxmlformats.org/drawingml/2006/picture">
                      <pic:pic>
                        <pic:nvPicPr>
                          <pic:cNvPr descr="outputs/figures/shap_waterfall_A_branco_alta_renda_xgb.png" id="114" name="Picture"/>
                          <pic:cNvPicPr>
                            <a:picLocks noChangeArrowheads="1" noChangeAspect="1"/>
                          </pic:cNvPicPr>
                        </pic:nvPicPr>
                        <pic:blipFill>
                          <a:blip r:embed="rId112"/>
                          <a:stretch>
                            <a:fillRect/>
                          </a:stretch>
                        </pic:blipFill>
                        <pic:spPr bwMode="auto">
                          <a:xfrm>
                            <a:off x="0" y="0"/>
                            <a:ext cx="2819019" cy="2563340"/>
                          </a:xfrm>
                          <a:prstGeom prst="rect">
                            <a:avLst/>
                          </a:prstGeom>
                          <a:noFill/>
                          <a:ln w="9525">
                            <a:noFill/>
                            <a:headEnd/>
                            <a:tailEnd/>
                          </a:ln>
                        </pic:spPr>
                      </pic:pic>
                    </a:graphicData>
                  </a:graphic>
                </wp:inline>
              </w:drawing>
            </w:r>
            <w:r>
              <w:rPr>
                <w:rFonts w:ascii="Arial" w:hAnsi="Arial"/>
                <w:b w:val="0"/>
                <w:sz w:val="22"/>
              </w:rPr>
              <w:t xml:space="preserve"> </w:t>
            </w:r>
            <w:r>
              <w:rPr>
                <w:rFonts w:ascii="Arial" w:hAnsi="Arial"/>
                <w:b w:val="0"/>
                <w:sz w:val="22"/>
              </w:rPr>
              <w:drawing>
                <wp:inline>
                  <wp:extent cx="2819019" cy="2541667"/>
                  <wp:effectExtent b="0" l="0" r="0" t="0"/>
                  <wp:docPr descr="image" title="" id="116" name="Picture"/>
                  <a:graphic>
                    <a:graphicData uri="http://schemas.openxmlformats.org/drawingml/2006/picture">
                      <pic:pic>
                        <pic:nvPicPr>
                          <pic:cNvPr descr="outputs/figures/shap_waterfall_B_negro_alta_renda_xgb.png" id="117" name="Picture"/>
                          <pic:cNvPicPr>
                            <a:picLocks noChangeArrowheads="1" noChangeAspect="1"/>
                          </pic:cNvPicPr>
                        </pic:nvPicPr>
                        <pic:blipFill>
                          <a:blip r:embed="rId115"/>
                          <a:stretch>
                            <a:fillRect/>
                          </a:stretch>
                        </pic:blipFill>
                        <pic:spPr bwMode="auto">
                          <a:xfrm>
                            <a:off x="0" y="0"/>
                            <a:ext cx="2819019" cy="2541667"/>
                          </a:xfrm>
                          <a:prstGeom prst="rect">
                            <a:avLst/>
                          </a:prstGeom>
                          <a:noFill/>
                          <a:ln w="9525">
                            <a:noFill/>
                            <a:headEnd/>
                            <a:tailEnd/>
                          </a:ln>
                        </pic:spPr>
                      </pic:pic>
                    </a:graphicData>
                  </a:graphic>
                </wp:inline>
              </w:drawing>
            </w:r>
          </w:p>
        </w:tc>
      </w:tr>
    </w:tbl>
    <w:bookmarkEnd w:id="118"/>
    <w:p>
      <w:pPr>
        <w:pStyle w:val="BodyText"/>
        <w:keepNext/>
        <w:spacing w:line="240" w:lineRule="auto" w:before="40" w:after="0"/>
        <w:ind w:firstLine="0"/>
        <w:jc w:val="both"/>
      </w:pPr>
      <w:r>
        <w:rPr>
          <w:rFonts w:ascii="Arial" w:hAnsi="Arial"/>
          <w:sz w:val="22"/>
        </w:rPr>
        <w:t xml:space="preserve">Fonte: Resultados originais da pesquisa</w:t>
      </w:r>
    </w:p>
    <w:p>
      <w:pPr>
        <w:pStyle w:val="ImageCaption"/>
        <w:spacing w:line="240" w:lineRule="auto" w:before="0" w:after="240"/>
        <w:ind w:firstLine="0"/>
        <w:jc w:val="both"/>
      </w:pPr>
      <w:r>
        <w:rPr>
          <w:rFonts w:ascii="Arial" w:hAnsi="Arial"/>
          <w:sz w:val="22"/>
        </w:rPr>
        <w:t>Nota: Figura 10.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 xml:space="preserve">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p>
      <w:pPr>
        <w:pStyle w:val="BodyText"/>
        <w:spacing w:line="240" w:lineRule="auto" w:before="0" w:after="240"/>
        <w:ind w:firstLine="0"/>
        <w:jc w:val="both"/>
      </w:pPr>
      <w:r>
        <w:rPr>
          <w:rFonts w:ascii="Arial" w:hAnsi="Arial"/>
          <w:sz w:val="22"/>
        </w:rPr>
        <w:t xml:space="preserve">Nota: como ler a Figura 10: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9, sobre os 50 mil casos.</w:t>
      </w:r>
    </w:p>
    <w:bookmarkEnd w:id="119"/>
    <w:bookmarkStart w:id="122"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20" w:name="subsec:vif"/>
      <w:bookmarkEnd w:id="120"/>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21"/>
      </w:r>
      <w:r>
        <w:rPr>
          <w:rFonts w:ascii="Arial" w:hAnsi="Arial"/>
          <w:sz w:val="22"/>
        </w:rPr>
        <w:t xml:space="preserve"> </w:t>
      </w:r>
      <w:r>
        <w:rPr>
          <w:rFonts w:ascii="Arial" w:hAnsi="Arial"/>
          <w:sz w:val="22"/>
        </w:rPr>
        <w:t xml:space="preserve">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 xml:space="preserve">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22"/>
    <w:bookmarkStart w:id="126"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xml:space="preserve">; a decomposição de dotações,</w:t>
      </w:r>
      <w:r>
        <w:rPr>
          <w:rFonts w:ascii="Arial" w:hAnsi="Arial"/>
          <w:sz w:val="22"/>
        </w:rPr>
        <w:t xml:space="preserve"> </w:t>
      </w:r>
      <w:r>
        <w:rPr>
          <w:rFonts w:ascii="Arial" w:hAnsi="Arial"/>
          <w:sz w:val="22"/>
        </w:rPr>
        <w:t xml:space="preserve">“de que ele é feito”</w:t>
      </w:r>
      <w:r>
        <w:rPr>
          <w:rFonts w:ascii="Arial" w:hAnsi="Arial"/>
          <w:sz w:val="22"/>
        </w:rPr>
        <w:t xml:space="preserve">;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 xml:space="preserve">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 xml:space="preserve">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23"/>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24"/>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 xml:space="preserve">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 xml:space="preserve">1% na pós-graduação (Figura 3); a desvantagem de acesso, não: com superior completo, as chances de um trabalhador negro chegar a um cargo qualificado seguem 18% menores que as de um branco de mesmo perfil e bairro, e com pós-graduação, 23% menores (GLMM, degrau A4, Tabela 7).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 xml:space="preserve">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5"/>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 xml:space="preserve">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2023a)</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2023b)</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os ocupados incluem coortes anteriores a 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xml:space="preserve">—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 xml:space="preserve">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2023c)</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xml:space="preserve">.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w:t>
      </w:r>
      <w:r>
        <w:rPr>
          <w:rFonts w:ascii="Arial" w:hAnsi="Arial"/>
          <w:sz w:val="22"/>
        </w:rPr>
        <w:t xml:space="preserve">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6"/>
    <w:bookmarkStart w:id="127"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 xml:space="preserve">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 xml:space="preserve">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 xml:space="preserve">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 xml:space="preserve">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xml:space="preserve">;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 xml:space="preserve">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7"/>
    <w:bookmarkStart w:id="128"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8"/>
    <w:bookmarkEnd w:id="129"/>
    <w:bookmarkStart w:id="130"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 xml:space="preserve">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30"/>
    <w:bookmarkStart w:id="177" w:name="referências"/>
    <w:p>
      <w:pPr>
        <w:pStyle w:val="Heading1"/>
        <w:spacing w:line="360" w:lineRule="auto" w:before="280" w:after="280"/>
        <w:ind w:firstLine="0" w:left="0"/>
        <w:jc w:val="left"/>
      </w:pPr>
      <w:r>
        <w:rPr>
          <w:rFonts w:ascii="Arial" w:hAnsi="Arial"/>
          <w:b/>
          <w:sz w:val="22"/>
        </w:rPr>
        <w:t xml:space="preserve">Referências</w:t>
      </w:r>
    </w:p>
    <w:bookmarkStart w:id="176" w:name="refs"/>
    <w:bookmarkStart w:id="131" w:name="ref-almeida2019"/>
    <w:p>
      <w:pPr>
        <w:pStyle w:val="Bibliography"/>
        <w:spacing w:line="240" w:lineRule="auto" w:before="0" w:after="120"/>
        <w:ind w:firstLine="0" w:left="0"/>
        <w:jc w:val="left"/>
      </w:pPr>
      <w:r>
        <w:rPr>
          <w:rFonts w:ascii="Arial" w:hAnsi="Arial"/>
          <w:sz w:val="22"/>
        </w:rPr>
        <w:t xml:space="preserve">ALMEIDA, Silvio Luiz de.</w:t>
      </w:r>
      <w:r>
        <w:rPr>
          <w:rFonts w:ascii="Arial" w:hAnsi="Arial"/>
          <w:sz w:val="22"/>
        </w:rPr>
        <w:t xml:space="preserve"> </w:t>
      </w:r>
      <w:r>
        <w:rPr>
          <w:rFonts w:ascii="Arial" w:hAnsi="Arial"/>
          <w:b/>
          <w:bCs/>
          <w:sz w:val="22"/>
        </w:rPr>
        <w:t xml:space="preserve">Racismo Estrutural</w:t>
      </w:r>
      <w:r>
        <w:rPr>
          <w:rFonts w:ascii="Arial" w:hAnsi="Arial"/>
          <w:sz w:val="22"/>
        </w:rPr>
        <w:t xml:space="preserve">. S</w:t>
      </w:r>
      <w:r>
        <w:rPr>
          <w:rFonts w:ascii="Arial" w:hAnsi="Arial"/>
          <w:sz w:val="22"/>
        </w:rPr>
        <w:t xml:space="preserve">ã</w:t>
      </w:r>
      <w:r>
        <w:rPr>
          <w:rFonts w:ascii="Arial" w:hAnsi="Arial"/>
          <w:sz w:val="22"/>
        </w:rPr>
        <w:t xml:space="preserve">o Paulo: Janda</w:t>
      </w:r>
      <w:r>
        <w:rPr>
          <w:rFonts w:ascii="Arial" w:hAnsi="Arial"/>
          <w:sz w:val="22"/>
        </w:rPr>
        <w:t xml:space="preserve">í</w:t>
      </w:r>
      <w:r>
        <w:rPr>
          <w:rFonts w:ascii="Arial" w:hAnsi="Arial"/>
          <w:sz w:val="22"/>
        </w:rPr>
        <w:t xml:space="preserve">ra, 2019.</w:t>
      </w:r>
    </w:p>
    <w:bookmarkEnd w:id="131"/>
    <w:bookmarkStart w:id="132" w:name="ref-angrist2009"/>
    <w:p>
      <w:pPr>
        <w:pStyle w:val="Bibliography"/>
        <w:spacing w:line="240" w:lineRule="auto" w:before="0" w:after="120"/>
        <w:ind w:firstLine="0" w:left="0"/>
        <w:jc w:val="left"/>
      </w:pPr>
      <w:r>
        <w:rPr>
          <w:rFonts w:ascii="Arial" w:hAnsi="Arial"/>
          <w:sz w:val="22"/>
        </w:rPr>
        <w:t xml:space="preserve">ANGRIST, Joshua D.; PISCHKE, Jörn-Steffen.</w:t>
      </w:r>
      <w:r>
        <w:rPr>
          <w:rFonts w:ascii="Arial" w:hAnsi="Arial"/>
          <w:sz w:val="22"/>
        </w:rPr>
        <w:t xml:space="preserve"> </w:t>
      </w:r>
      <w:r>
        <w:rPr>
          <w:rFonts w:ascii="Arial" w:hAnsi="Arial"/>
          <w:b/>
          <w:bCs/>
          <w:sz w:val="22"/>
        </w:rPr>
        <w:t xml:space="preserve">Mostly Harmless Econometrics: An Empiricist’s Companion</w:t>
      </w:r>
      <w:r>
        <w:rPr>
          <w:rFonts w:ascii="Arial" w:hAnsi="Arial"/>
          <w:sz w:val="22"/>
        </w:rPr>
        <w:t xml:space="preserve">. Princeton: Princeton University Press, 2009.</w:t>
      </w:r>
    </w:p>
    <w:bookmarkEnd w:id="132"/>
    <w:bookmarkStart w:id="133" w:name="ref-arrow1973"/>
    <w:p>
      <w:pPr>
        <w:pStyle w:val="Bibliography"/>
        <w:spacing w:line="240" w:lineRule="auto" w:before="0" w:after="120"/>
        <w:ind w:firstLine="0" w:left="0"/>
        <w:jc w:val="left"/>
      </w:pPr>
      <w:r>
        <w:rPr>
          <w:rFonts w:ascii="Arial" w:hAnsi="Arial"/>
          <w:sz w:val="22"/>
        </w:rPr>
        <w:t xml:space="preserve">ARROW, Kenneth J. The Theory of Discrimination.</w:t>
      </w:r>
      <w:r>
        <w:rPr>
          <w:rFonts w:ascii="Arial" w:hAnsi="Arial"/>
          <w:sz w:val="22"/>
        </w:rPr>
        <w:t xml:space="preserve"> </w:t>
      </w:r>
      <w:r>
        <w:rPr>
          <w:rFonts w:ascii="Arial" w:hAnsi="Arial"/>
          <w:i/>
          <w:iCs/>
          <w:sz w:val="22"/>
        </w:rPr>
        <w:t xml:space="preserve">In</w:t>
      </w:r>
      <w:r>
        <w:rPr>
          <w:rFonts w:ascii="Arial" w:hAnsi="Arial"/>
          <w:sz w:val="22"/>
        </w:rPr>
        <w:t xml:space="preserve">: ASHENFELTER, Orley; REES, Albert (Orgs.).</w:t>
      </w:r>
      <w:r>
        <w:rPr>
          <w:rFonts w:ascii="Arial" w:hAnsi="Arial"/>
          <w:sz w:val="22"/>
        </w:rPr>
        <w:t xml:space="preserve"> </w:t>
      </w:r>
      <w:r>
        <w:rPr>
          <w:rFonts w:ascii="Arial" w:hAnsi="Arial"/>
          <w:b/>
          <w:bCs/>
          <w:sz w:val="22"/>
        </w:rPr>
        <w:t xml:space="preserve">Discrimination in Labor Markets</w:t>
      </w:r>
      <w:r>
        <w:rPr>
          <w:rFonts w:ascii="Arial" w:hAnsi="Arial"/>
          <w:sz w:val="22"/>
        </w:rPr>
        <w:t xml:space="preserve">. Princeton, NJ: Princeton University Press, 1973. p. 3–33.</w:t>
      </w:r>
    </w:p>
    <w:bookmarkEnd w:id="133"/>
    <w:bookmarkStart w:id="134" w:name="ref-becker1957"/>
    <w:p>
      <w:pPr>
        <w:pStyle w:val="Bibliography"/>
        <w:spacing w:line="240" w:lineRule="auto" w:before="0" w:after="120"/>
        <w:ind w:firstLine="0" w:left="0"/>
        <w:jc w:val="left"/>
      </w:pPr>
      <w:r>
        <w:rPr>
          <w:rFonts w:ascii="Arial" w:hAnsi="Arial"/>
          <w:sz w:val="22"/>
        </w:rPr>
        <w:t xml:space="preserve">BECKER, Gary S.</w:t>
      </w:r>
      <w:r>
        <w:rPr>
          <w:rFonts w:ascii="Arial" w:hAnsi="Arial"/>
          <w:sz w:val="22"/>
        </w:rPr>
        <w:t xml:space="preserve"> </w:t>
      </w:r>
      <w:r>
        <w:rPr>
          <w:rFonts w:ascii="Arial" w:hAnsi="Arial"/>
          <w:b/>
          <w:bCs/>
          <w:sz w:val="22"/>
        </w:rPr>
        <w:t xml:space="preserve">The Economics of Discrimination</w:t>
      </w:r>
      <w:r>
        <w:rPr>
          <w:rFonts w:ascii="Arial" w:hAnsi="Arial"/>
          <w:sz w:val="22"/>
        </w:rPr>
        <w:t xml:space="preserve">. Chicago: University of Chicago Press, 1957.</w:t>
      </w:r>
    </w:p>
    <w:bookmarkEnd w:id="134"/>
    <w:bookmarkStart w:id="135" w:name="ref-bickel2008"/>
    <w:p>
      <w:pPr>
        <w:pStyle w:val="Bibliography"/>
        <w:spacing w:line="240" w:lineRule="auto" w:before="0" w:after="120"/>
        <w:ind w:firstLine="0" w:left="0"/>
        <w:jc w:val="left"/>
      </w:pPr>
      <w:r>
        <w:rPr>
          <w:rFonts w:ascii="Arial" w:hAnsi="Arial"/>
          <w:sz w:val="22"/>
        </w:rPr>
        <w:t xml:space="preserve">BICKEL, Peter J.; SAKOV, Anat. On the Choice of</w:t>
      </w:r>
      <w:r>
        <w:rPr>
          <w:rFonts w:ascii="Arial" w:hAnsi="Arial"/>
          <w:sz w:val="22"/>
        </w:rPr>
        <w:t xml:space="preserve"> </w:t>
      </w:r>
      <m:oMath>
        <m:r>
          <m:t>m</m:t>
        </m:r>
      </m:oMath>
      <w:r>
        <w:rPr>
          <w:rFonts w:ascii="Arial" w:hAnsi="Arial"/>
          <w:sz w:val="22"/>
        </w:rPr>
        <w:t xml:space="preserve"> </w:t>
      </w:r>
      <w:r>
        <w:rPr>
          <w:rFonts w:ascii="Arial" w:hAnsi="Arial"/>
          <w:sz w:val="22"/>
        </w:rPr>
        <w:t xml:space="preserve">in the</w:t>
      </w:r>
      <w:r>
        <w:rPr>
          <w:rFonts w:ascii="Arial" w:hAnsi="Arial"/>
          <w:sz w:val="22"/>
        </w:rPr>
        <w:t xml:space="preserve"> </w:t>
      </w:r>
      <m:oMath>
        <m:r>
          <m:t>m</m:t>
        </m:r>
      </m:oMath>
      <w:r>
        <w:rPr>
          <w:rFonts w:ascii="Arial" w:hAnsi="Arial"/>
          <w:sz w:val="22"/>
        </w:rPr>
        <w:t xml:space="preserve"> </w:t>
      </w:r>
      <w:r>
        <w:rPr>
          <w:rFonts w:ascii="Arial" w:hAnsi="Arial"/>
          <w:sz w:val="22"/>
        </w:rPr>
        <w:t xml:space="preserve">out of</w:t>
      </w:r>
      <w:r>
        <w:rPr>
          <w:rFonts w:ascii="Arial" w:hAnsi="Arial"/>
          <w:sz w:val="22"/>
        </w:rPr>
        <w:t xml:space="preserve"> </w:t>
      </w:r>
      <m:oMath>
        <m:r>
          <m:t>n</m:t>
        </m:r>
      </m:oMath>
      <w:r>
        <w:rPr>
          <w:rFonts w:ascii="Arial" w:hAnsi="Arial"/>
          <w:sz w:val="22"/>
        </w:rPr>
        <w:t xml:space="preserve"> </w:t>
      </w:r>
      <w:r>
        <w:rPr>
          <w:rFonts w:ascii="Arial" w:hAnsi="Arial"/>
          <w:sz w:val="22"/>
        </w:rPr>
        <w:t xml:space="preserve">Bootstrap and Confidence Bounds for Extrema.</w:t>
      </w:r>
      <w:r>
        <w:rPr>
          <w:rFonts w:ascii="Arial" w:hAnsi="Arial"/>
          <w:sz w:val="22"/>
        </w:rPr>
        <w:t xml:space="preserve"> </w:t>
      </w:r>
      <w:r>
        <w:rPr>
          <w:rFonts w:ascii="Arial" w:hAnsi="Arial"/>
          <w:b/>
          <w:bCs/>
          <w:sz w:val="22"/>
        </w:rPr>
        <w:t xml:space="preserve">Statistica Sinica</w:t>
      </w:r>
      <w:r>
        <w:rPr>
          <w:rFonts w:ascii="Arial" w:hAnsi="Arial"/>
          <w:sz w:val="22"/>
        </w:rPr>
        <w:t xml:space="preserve">, v. 18, n. 3, p. 967–985, 2008.</w:t>
      </w:r>
    </w:p>
    <w:bookmarkEnd w:id="135"/>
    <w:bookmarkStart w:id="136" w:name="ref-blinder1973"/>
    <w:p>
      <w:pPr>
        <w:pStyle w:val="Bibliography"/>
        <w:spacing w:line="240" w:lineRule="auto" w:before="0" w:after="120"/>
        <w:ind w:firstLine="0" w:left="0"/>
        <w:jc w:val="left"/>
      </w:pPr>
      <w:r>
        <w:rPr>
          <w:rFonts w:ascii="Arial" w:hAnsi="Arial"/>
          <w:sz w:val="22"/>
        </w:rPr>
        <w:t xml:space="preserve">BLINDER, Alan S. Wage Discrimination: Reduced Form and Structural Estimates.</w:t>
      </w:r>
      <w:r>
        <w:rPr>
          <w:rFonts w:ascii="Arial" w:hAnsi="Arial"/>
          <w:sz w:val="22"/>
        </w:rPr>
        <w:t xml:space="preserve"> </w:t>
      </w:r>
      <w:r>
        <w:rPr>
          <w:rFonts w:ascii="Arial" w:hAnsi="Arial"/>
          <w:b/>
          <w:bCs/>
          <w:sz w:val="22"/>
        </w:rPr>
        <w:t xml:space="preserve">Journal of Human Resources</w:t>
      </w:r>
      <w:r>
        <w:rPr>
          <w:rFonts w:ascii="Arial" w:hAnsi="Arial"/>
          <w:sz w:val="22"/>
        </w:rPr>
        <w:t xml:space="preserve">, v. 8, n. 4, p. 436–455, 1973.</w:t>
      </w:r>
    </w:p>
    <w:bookmarkEnd w:id="136"/>
    <w:bookmarkStart w:id="137" w:name="ref-brasil1995lei9029"/>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9.029, de 13 de abril de 1995. Proíbe a exigência de atestados de gravidez e esterilização, e outras práticas discriminatórias, para efeitos admissionais ou de permanência da relação jurídica de trabalho</w:t>
      </w:r>
      <w:r>
        <w:rPr>
          <w:rFonts w:ascii="Arial" w:hAnsi="Arial"/>
          <w:sz w:val="22"/>
        </w:rPr>
        <w:t xml:space="preserve">. Diário Oficial da União, Brasília, DF, 1995.</w:t>
      </w:r>
    </w:p>
    <w:bookmarkEnd w:id="137"/>
    <w:bookmarkStart w:id="138" w:name="ref-brasil2010lei12288"/>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12.288, de 20 de julho de 2010. Institui o Estatuto da Igualdade Racial</w:t>
      </w:r>
      <w:r>
        <w:rPr>
          <w:rFonts w:ascii="Arial" w:hAnsi="Arial"/>
          <w:sz w:val="22"/>
        </w:rPr>
        <w:t xml:space="preserve">. Diário Oficial da União, Brasília, DF, 2010.</w:t>
      </w:r>
    </w:p>
    <w:bookmarkEnd w:id="138"/>
    <w:bookmarkStart w:id="139" w:name="ref-brasil2012lei127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12.711, de 29 de agosto de 2012. Dispõe sobre o ingresso nas universidades federais e nas instituições federais de ensino técnico de nível médio</w:t>
      </w:r>
      <w:r>
        <w:rPr>
          <w:rFonts w:ascii="Arial" w:hAnsi="Arial"/>
          <w:sz w:val="22"/>
        </w:rPr>
        <w:t xml:space="preserve">. Diário Oficial da União, Brasília, DF, 2012.</w:t>
      </w:r>
    </w:p>
    <w:bookmarkEnd w:id="139"/>
    <w:bookmarkStart w:id="140" w:name="ref-brasil2014lei12990"/>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w:t>
      </w:r>
      <w:r>
        <w:rPr>
          <w:rFonts w:ascii="Arial" w:hAnsi="Arial"/>
          <w:sz w:val="22"/>
        </w:rPr>
        <w:t xml:space="preserve">. Diário Oficial da União, Brasília, DF, 2014.</w:t>
      </w:r>
    </w:p>
    <w:bookmarkEnd w:id="140"/>
    <w:bookmarkStart w:id="141" w:name="ref-brasil2023decreto1144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Decreto n. 11.443, de 21 de março de 2023. Dispõe sobre o preenchimento por pessoas negras de percentual mínimo de cargos em comissão e funções de confiança no âmbito da administração pública federal</w:t>
      </w:r>
      <w:r>
        <w:rPr>
          <w:rFonts w:ascii="Arial" w:hAnsi="Arial"/>
          <w:sz w:val="22"/>
        </w:rPr>
        <w:t xml:space="preserve">. Diário Oficial da União, Brasília, DF, b2023.</w:t>
      </w:r>
    </w:p>
    <w:bookmarkEnd w:id="141"/>
    <w:bookmarkStart w:id="142" w:name="ref-brasil2023lei146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14.611, de 3 de julho de 2023. Dispõe sobre a igualdade salarial e de critérios remuneratórios entre mulheres e homens</w:t>
      </w:r>
      <w:r>
        <w:rPr>
          <w:rFonts w:ascii="Arial" w:hAnsi="Arial"/>
          <w:sz w:val="22"/>
        </w:rPr>
        <w:t xml:space="preserve">. Diário Oficial da União, Brasília, DF, c2023.</w:t>
      </w:r>
    </w:p>
    <w:bookmarkEnd w:id="142"/>
    <w:bookmarkStart w:id="143" w:name="ref-brasil2023lei1472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14.723, de 13 de novembro de 2023. Altera a Lei n. 12.711, de 29 de agosto de 2012, para dispor sobre o programa especial para o acesso às instituições federais de educação superior e de ensino técnico de nível médio</w:t>
      </w:r>
      <w:r>
        <w:rPr>
          <w:rFonts w:ascii="Arial" w:hAnsi="Arial"/>
          <w:sz w:val="22"/>
        </w:rPr>
        <w:t xml:space="preserve">. Diário Oficial da União, Brasília, DF, a2023.</w:t>
      </w:r>
    </w:p>
    <w:bookmarkEnd w:id="143"/>
    <w:bookmarkStart w:id="144" w:name="ref-brasil2025lei15142"/>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15.142, de 3 de junho de 2025. Dispõe sobre a reserva às pessoas pretas e pardas, indígenas e quilombolas de vagas oferecidas em concursos públicos e em processos seletivos simplificados no âmbito da administração pública federal</w:t>
      </w:r>
      <w:r>
        <w:rPr>
          <w:rFonts w:ascii="Arial" w:hAnsi="Arial"/>
          <w:sz w:val="22"/>
        </w:rPr>
        <w:t xml:space="preserve">. Diário Oficial da União, Brasília, DF, 2025.</w:t>
      </w:r>
    </w:p>
    <w:bookmarkEnd w:id="144"/>
    <w:bookmarkStart w:id="145" w:name="ref-breiman2001"/>
    <w:p>
      <w:pPr>
        <w:pStyle w:val="Bibliography"/>
        <w:spacing w:line="240" w:lineRule="auto" w:before="0" w:after="120"/>
        <w:ind w:firstLine="0" w:left="0"/>
        <w:jc w:val="left"/>
      </w:pPr>
      <w:r>
        <w:rPr>
          <w:rFonts w:ascii="Arial" w:hAnsi="Arial"/>
          <w:sz w:val="22"/>
        </w:rPr>
        <w:t xml:space="preserve">BREIMAN, Leo. Random Forests.</w:t>
      </w:r>
      <w:r>
        <w:rPr>
          <w:rFonts w:ascii="Arial" w:hAnsi="Arial"/>
          <w:sz w:val="22"/>
        </w:rPr>
        <w:t xml:space="preserve"> </w:t>
      </w:r>
      <w:r>
        <w:rPr>
          <w:rFonts w:ascii="Arial" w:hAnsi="Arial"/>
          <w:b/>
          <w:bCs/>
          <w:sz w:val="22"/>
        </w:rPr>
        <w:t xml:space="preserve">Machine Learning</w:t>
      </w:r>
      <w:r>
        <w:rPr>
          <w:rFonts w:ascii="Arial" w:hAnsi="Arial"/>
          <w:sz w:val="22"/>
        </w:rPr>
        <w:t xml:space="preserve">, v. 45, n. 1, p. 5–32, 2001.</w:t>
      </w:r>
    </w:p>
    <w:bookmarkEnd w:id="145"/>
    <w:bookmarkStart w:id="146" w:name="ref-cameron2008"/>
    <w:p>
      <w:pPr>
        <w:pStyle w:val="Bibliography"/>
        <w:spacing w:line="240" w:lineRule="auto" w:before="0" w:after="120"/>
        <w:ind w:firstLine="0" w:left="0"/>
        <w:jc w:val="left"/>
      </w:pPr>
      <w:r>
        <w:rPr>
          <w:rFonts w:ascii="Arial" w:hAnsi="Arial"/>
          <w:sz w:val="22"/>
        </w:rPr>
        <w:t xml:space="preserve">CAMERON, A. Colin; GELBACH, Jonah B.; MILLER, Douglas L. Bootstrap-Based Improvements for Inference with Clustered Errors.</w:t>
      </w:r>
      <w:r>
        <w:rPr>
          <w:rFonts w:ascii="Arial" w:hAnsi="Arial"/>
          <w:sz w:val="22"/>
        </w:rPr>
        <w:t xml:space="preserve"> </w:t>
      </w:r>
      <w:r>
        <w:rPr>
          <w:rFonts w:ascii="Arial" w:hAnsi="Arial"/>
          <w:b/>
          <w:bCs/>
          <w:sz w:val="22"/>
        </w:rPr>
        <w:t xml:space="preserve">The Review of Economics and Statistics</w:t>
      </w:r>
      <w:r>
        <w:rPr>
          <w:rFonts w:ascii="Arial" w:hAnsi="Arial"/>
          <w:sz w:val="22"/>
        </w:rPr>
        <w:t xml:space="preserve">, v. 90, n. 3, p. 414–427, 2008.</w:t>
      </w:r>
    </w:p>
    <w:bookmarkEnd w:id="146"/>
    <w:bookmarkStart w:id="148" w:name="ref-chen2016"/>
    <w:p>
      <w:pPr>
        <w:pStyle w:val="Bibliography"/>
        <w:spacing w:line="240" w:lineRule="auto" w:before="0" w:after="120"/>
        <w:ind w:firstLine="0" w:left="0"/>
        <w:jc w:val="left"/>
      </w:pPr>
      <w:r>
        <w:rPr>
          <w:rFonts w:ascii="Arial" w:hAnsi="Arial"/>
          <w:sz w:val="22"/>
        </w:rPr>
        <w:t xml:space="preserve">CHEN, Tianqi; GUESTRIN, Carlos.</w:t>
      </w:r>
      <w:r>
        <w:rPr>
          <w:rFonts w:ascii="Arial" w:hAnsi="Arial"/>
          <w:sz w:val="22"/>
        </w:rPr>
        <w:t xml:space="preserve"> </w:t>
      </w:r>
      <w:hyperlink r:id="rId147">
        <w:r>
          <w:rPr>
            <w:rStyle w:val="Hyperlink"/>
          </w:rPr>
          <w:t xml:space="preserve">XGBoost</w:t>
        </w:r>
        <w:r>
          <w:rPr>
            <w:rStyle w:val="Hyperlink"/>
          </w:rPr>
          <w:t xml:space="preserve">: A Scalable Tree Boosting System</w:t>
        </w:r>
      </w:hyperlink>
      <w:r>
        <w:rPr>
          <w:rFonts w:ascii="Arial" w:hAnsi="Arial"/>
          <w:sz w:val="22"/>
        </w:rPr>
        <w:t xml:space="preserve">.</w:t>
      </w:r>
      <w:r>
        <w:rPr>
          <w:rFonts w:ascii="Arial" w:hAnsi="Arial"/>
          <w:sz w:val="22"/>
        </w:rPr>
        <w:t xml:space="preserve"> </w:t>
      </w:r>
      <w:r>
        <w:rPr>
          <w:rFonts w:ascii="Arial" w:hAnsi="Arial"/>
          <w:i/>
          <w:iCs/>
          <w:sz w:val="22"/>
        </w:rPr>
        <w:t xml:space="preserve">In</w:t>
      </w:r>
      <w:r>
        <w:rPr>
          <w:rFonts w:ascii="Arial" w:hAnsi="Arial"/>
          <w:sz w:val="22"/>
        </w:rPr>
        <w:t xml:space="preserve">:</w:t>
      </w:r>
      <w:r>
        <w:rPr>
          <w:rFonts w:ascii="Arial" w:hAnsi="Arial"/>
          <w:sz w:val="22"/>
        </w:rPr>
        <w:t xml:space="preserve"> </w:t>
      </w:r>
      <w:r>
        <w:rPr>
          <w:rFonts w:ascii="Arial" w:hAnsi="Arial"/>
          <w:b/>
          <w:bCs/>
          <w:sz w:val="22"/>
        </w:rPr>
        <w:t xml:space="preserve">Proceedings of the 22nd ACM SIGKDD International Conference on Knowledge Discovery and Data Mining</w:t>
      </w:r>
      <w:r>
        <w:rPr>
          <w:rFonts w:ascii="Arial" w:hAnsi="Arial"/>
          <w:sz w:val="22"/>
        </w:rPr>
        <w:t xml:space="preserve">. San Francisco: ACM, 2016. p. 785–794.</w:t>
      </w:r>
    </w:p>
    <w:bookmarkEnd w:id="148"/>
    <w:bookmarkStart w:id="149" w:name="ref-crenshaw1989"/>
    <w:p>
      <w:pPr>
        <w:pStyle w:val="Bibliography"/>
        <w:spacing w:line="240" w:lineRule="auto" w:before="0" w:after="120"/>
        <w:ind w:firstLine="0" w:left="0"/>
        <w:jc w:val="left"/>
      </w:pPr>
      <w:r>
        <w:rPr>
          <w:rFonts w:ascii="Arial" w:hAnsi="Arial"/>
          <w:sz w:val="22"/>
        </w:rPr>
        <w:t xml:space="preserve">CRENSHAW, Kimberlé. Demarginalizing the Intersection of Race and Sex: A Black Feminist Critique of Antidiscrimination Doctrine.</w:t>
      </w:r>
      <w:r>
        <w:rPr>
          <w:rFonts w:ascii="Arial" w:hAnsi="Arial"/>
          <w:sz w:val="22"/>
        </w:rPr>
        <w:t xml:space="preserve"> </w:t>
      </w:r>
      <w:r>
        <w:rPr>
          <w:rFonts w:ascii="Arial" w:hAnsi="Arial"/>
          <w:b/>
          <w:bCs/>
          <w:sz w:val="22"/>
        </w:rPr>
        <w:t xml:space="preserve">University of Chicago Legal Forum</w:t>
      </w:r>
      <w:r>
        <w:rPr>
          <w:rFonts w:ascii="Arial" w:hAnsi="Arial"/>
          <w:sz w:val="22"/>
        </w:rPr>
        <w:t xml:space="preserve">, v. 1989, n. 1, p. 139–167, 1989.</w:t>
      </w:r>
    </w:p>
    <w:bookmarkEnd w:id="149"/>
    <w:bookmarkStart w:id="150" w:name="ref-duan1983"/>
    <w:p>
      <w:pPr>
        <w:pStyle w:val="Bibliography"/>
        <w:spacing w:line="240" w:lineRule="auto" w:before="0" w:after="120"/>
        <w:ind w:firstLine="0" w:left="0"/>
        <w:jc w:val="left"/>
      </w:pPr>
      <w:r>
        <w:rPr>
          <w:rFonts w:ascii="Arial" w:hAnsi="Arial"/>
          <w:sz w:val="22"/>
        </w:rPr>
        <w:t xml:space="preserve">DUAN, Naihua. Smearing Estimate: A Nonparametric Retransformation Method.</w:t>
      </w:r>
      <w:r>
        <w:rPr>
          <w:rFonts w:ascii="Arial" w:hAnsi="Arial"/>
          <w:sz w:val="22"/>
        </w:rPr>
        <w:t xml:space="preserve"> </w:t>
      </w:r>
      <w:r>
        <w:rPr>
          <w:rFonts w:ascii="Arial" w:hAnsi="Arial"/>
          <w:b/>
          <w:bCs/>
          <w:sz w:val="22"/>
        </w:rPr>
        <w:t xml:space="preserve">Journal of the American Statistical Association</w:t>
      </w:r>
      <w:r>
        <w:rPr>
          <w:rFonts w:ascii="Arial" w:hAnsi="Arial"/>
          <w:sz w:val="22"/>
        </w:rPr>
        <w:t xml:space="preserve">, v. 78, n. 383, p. 605–610, 1983.</w:t>
      </w:r>
    </w:p>
    <w:bookmarkEnd w:id="150"/>
    <w:bookmarkStart w:id="151" w:name="ref-favero2024"/>
    <w:p>
      <w:pPr>
        <w:pStyle w:val="Bibliography"/>
        <w:spacing w:line="240" w:lineRule="auto" w:before="0" w:after="120"/>
        <w:ind w:firstLine="0" w:left="0"/>
        <w:jc w:val="left"/>
      </w:pPr>
      <w:r>
        <w:rPr>
          <w:rFonts w:ascii="Arial" w:hAnsi="Arial"/>
          <w:sz w:val="22"/>
        </w:rPr>
        <w:t xml:space="preserve">FÁVERO, Luiz Paulo; BELFIORE, Patrícia.</w:t>
      </w:r>
      <w:r>
        <w:rPr>
          <w:rFonts w:ascii="Arial" w:hAnsi="Arial"/>
          <w:sz w:val="22"/>
        </w:rPr>
        <w:t xml:space="preserve"> </w:t>
      </w:r>
      <w:r>
        <w:rPr>
          <w:rFonts w:ascii="Arial" w:hAnsi="Arial"/>
          <w:b/>
          <w:bCs/>
          <w:sz w:val="22"/>
        </w:rPr>
        <w:t xml:space="preserve">Manual de Análise de Dados: estatística e machine learning com Excel, SPSS, Stata, R e Python</w:t>
      </w:r>
      <w:r>
        <w:rPr>
          <w:rFonts w:ascii="Arial" w:hAnsi="Arial"/>
          <w:sz w:val="22"/>
        </w:rPr>
        <w:t xml:space="preserve">. 2. ed. Rio de Janeiro: GEN LTC, 2024.</w:t>
      </w:r>
    </w:p>
    <w:bookmarkEnd w:id="151"/>
    <w:bookmarkStart w:id="152" w:name="ref-firpo2018"/>
    <w:p>
      <w:pPr>
        <w:pStyle w:val="Bibliography"/>
        <w:spacing w:line="240" w:lineRule="auto" w:before="0" w:after="120"/>
        <w:ind w:firstLine="0" w:left="0"/>
        <w:jc w:val="left"/>
      </w:pPr>
      <w:r>
        <w:rPr>
          <w:rFonts w:ascii="Arial" w:hAnsi="Arial"/>
          <w:sz w:val="22"/>
        </w:rPr>
        <w:t xml:space="preserve">FIRPO, Sergio P.; FORTIN, Nicole M.; LEMIEUX, Thomas. Decomposing Wage Distributions Using Recentered Influence Function Regressions.</w:t>
      </w:r>
      <w:r>
        <w:rPr>
          <w:rFonts w:ascii="Arial" w:hAnsi="Arial"/>
          <w:sz w:val="22"/>
        </w:rPr>
        <w:t xml:space="preserve"> </w:t>
      </w:r>
      <w:r>
        <w:rPr>
          <w:rFonts w:ascii="Arial" w:hAnsi="Arial"/>
          <w:b/>
          <w:bCs/>
          <w:sz w:val="22"/>
        </w:rPr>
        <w:t xml:space="preserve">Econometrics</w:t>
      </w:r>
      <w:r>
        <w:rPr>
          <w:rFonts w:ascii="Arial" w:hAnsi="Arial"/>
          <w:sz w:val="22"/>
        </w:rPr>
        <w:t xml:space="preserve">, v. 6, n. 2, p. 28, 2018.</w:t>
      </w:r>
    </w:p>
    <w:bookmarkEnd w:id="152"/>
    <w:bookmarkStart w:id="153" w:name="ref-frank2013"/>
    <w:p>
      <w:pPr>
        <w:pStyle w:val="Bibliography"/>
        <w:spacing w:line="240" w:lineRule="auto" w:before="0" w:after="120"/>
        <w:ind w:firstLine="0" w:left="0"/>
        <w:jc w:val="left"/>
      </w:pPr>
      <w:r>
        <w:rPr>
          <w:rFonts w:ascii="Arial" w:hAnsi="Arial"/>
          <w:sz w:val="22"/>
        </w:rPr>
        <w:t xml:space="preserve">FRANK, Kenneth A.</w:t>
      </w:r>
      <w:r>
        <w:rPr>
          <w:rFonts w:ascii="Arial" w:hAnsi="Arial"/>
          <w:sz w:val="22"/>
        </w:rPr>
        <w:t xml:space="preserve"> </w:t>
      </w:r>
      <w:r>
        <w:rPr>
          <w:rFonts w:ascii="Arial" w:hAnsi="Arial"/>
          <w:i/>
          <w:iCs/>
          <w:sz w:val="22"/>
        </w:rPr>
        <w:t xml:space="preserve">et al.</w:t>
      </w:r>
      <w:r>
        <w:rPr>
          <w:rFonts w:ascii="Arial" w:hAnsi="Arial"/>
          <w:sz w:val="22"/>
        </w:rPr>
        <w:t xml:space="preserve"> What Would It Take to Change an Inference? Using Rubin’s Causal Model to Interpret the Robustness of Causal Inferences.</w:t>
      </w:r>
      <w:r>
        <w:rPr>
          <w:rFonts w:ascii="Arial" w:hAnsi="Arial"/>
          <w:sz w:val="22"/>
        </w:rPr>
        <w:t xml:space="preserve"> </w:t>
      </w:r>
      <w:r>
        <w:rPr>
          <w:rFonts w:ascii="Arial" w:hAnsi="Arial"/>
          <w:b/>
          <w:bCs/>
          <w:sz w:val="22"/>
        </w:rPr>
        <w:t xml:space="preserve">Educational Evaluation and Policy Analysis</w:t>
      </w:r>
      <w:r>
        <w:rPr>
          <w:rFonts w:ascii="Arial" w:hAnsi="Arial"/>
          <w:sz w:val="22"/>
        </w:rPr>
        <w:t xml:space="preserve">, v. 35, n. 4, p. 437–460, 2013.</w:t>
      </w:r>
    </w:p>
    <w:bookmarkEnd w:id="153"/>
    <w:bookmarkStart w:id="154" w:name="ref-geron2021"/>
    <w:p>
      <w:pPr>
        <w:pStyle w:val="Bibliography"/>
        <w:spacing w:line="240" w:lineRule="auto" w:before="0" w:after="120"/>
        <w:ind w:firstLine="0" w:left="0"/>
        <w:jc w:val="left"/>
      </w:pPr>
      <w:r>
        <w:rPr>
          <w:rFonts w:ascii="Arial" w:hAnsi="Arial"/>
          <w:sz w:val="22"/>
        </w:rPr>
        <w:t xml:space="preserve">GÉRON, Aurélien.</w:t>
      </w:r>
      <w:r>
        <w:rPr>
          <w:rFonts w:ascii="Arial" w:hAnsi="Arial"/>
          <w:sz w:val="22"/>
        </w:rPr>
        <w:t xml:space="preserve"> </w:t>
      </w:r>
      <w:r>
        <w:rPr>
          <w:rFonts w:ascii="Arial" w:hAnsi="Arial"/>
          <w:b/>
          <w:bCs/>
          <w:sz w:val="22"/>
        </w:rPr>
        <w:t xml:space="preserve">Mãos à obra: aprendizado de máquina com Scikit-Learn, Keras &amp; TensorFlow: conceitos, ferramentas e técnicas para a construção de sistemas inteligentes</w:t>
      </w:r>
      <w:r>
        <w:rPr>
          <w:rFonts w:ascii="Arial" w:hAnsi="Arial"/>
          <w:sz w:val="22"/>
        </w:rPr>
        <w:t xml:space="preserve">. Tradução: Cibelle Ravaglia. 2. ed. Rio de Janeiro: Alta Books, 2021.</w:t>
      </w:r>
    </w:p>
    <w:bookmarkEnd w:id="154"/>
    <w:bookmarkStart w:id="155" w:name="ref-granovetter1973"/>
    <w:p>
      <w:pPr>
        <w:pStyle w:val="Bibliography"/>
        <w:spacing w:line="240" w:lineRule="auto" w:before="0" w:after="120"/>
        <w:ind w:firstLine="0" w:left="0"/>
        <w:jc w:val="left"/>
      </w:pPr>
      <w:r>
        <w:rPr>
          <w:rFonts w:ascii="Arial" w:hAnsi="Arial"/>
          <w:sz w:val="22"/>
        </w:rPr>
        <w:t xml:space="preserve">GRANOVETTER, Mark S. The Strength of Weak Ties.</w:t>
      </w:r>
      <w:r>
        <w:rPr>
          <w:rFonts w:ascii="Arial" w:hAnsi="Arial"/>
          <w:sz w:val="22"/>
        </w:rPr>
        <w:t xml:space="preserve"> </w:t>
      </w:r>
      <w:r>
        <w:rPr>
          <w:rFonts w:ascii="Arial" w:hAnsi="Arial"/>
          <w:b/>
          <w:bCs/>
          <w:sz w:val="22"/>
        </w:rPr>
        <w:t xml:space="preserve">American Journal of Sociology</w:t>
      </w:r>
      <w:r>
        <w:rPr>
          <w:rFonts w:ascii="Arial" w:hAnsi="Arial"/>
          <w:sz w:val="22"/>
        </w:rPr>
        <w:t xml:space="preserve">, v. 78, n. 6, p. 1360–1380, 1973.</w:t>
      </w:r>
    </w:p>
    <w:bookmarkEnd w:id="155"/>
    <w:bookmarkStart w:id="156" w:name="ref-hasenbalg1979"/>
    <w:p>
      <w:pPr>
        <w:pStyle w:val="Bibliography"/>
        <w:spacing w:line="240" w:lineRule="auto" w:before="0" w:after="120"/>
        <w:ind w:firstLine="0" w:left="0"/>
        <w:jc w:val="left"/>
      </w:pPr>
      <w:r>
        <w:rPr>
          <w:rFonts w:ascii="Arial" w:hAnsi="Arial"/>
          <w:sz w:val="22"/>
        </w:rPr>
        <w:t xml:space="preserve">HASENBALG, Carlos.</w:t>
      </w:r>
      <w:r>
        <w:rPr>
          <w:rFonts w:ascii="Arial" w:hAnsi="Arial"/>
          <w:sz w:val="22"/>
        </w:rPr>
        <w:t xml:space="preserve"> </w:t>
      </w:r>
      <w:r>
        <w:rPr>
          <w:rFonts w:ascii="Arial" w:hAnsi="Arial"/>
          <w:b/>
          <w:bCs/>
          <w:sz w:val="22"/>
        </w:rPr>
        <w:t xml:space="preserve">Discriminação e Desigualdades Raciais no Brasil</w:t>
      </w:r>
      <w:r>
        <w:rPr>
          <w:rFonts w:ascii="Arial" w:hAnsi="Arial"/>
          <w:sz w:val="22"/>
        </w:rPr>
        <w:t xml:space="preserve">. Rio de Janeiro: Graal, 1979.</w:t>
      </w:r>
    </w:p>
    <w:bookmarkEnd w:id="156"/>
    <w:bookmarkStart w:id="157" w:name="ref-henriques2001"/>
    <w:p>
      <w:pPr>
        <w:pStyle w:val="Bibliography"/>
        <w:spacing w:line="240" w:lineRule="auto" w:before="0" w:after="120"/>
        <w:ind w:firstLine="0" w:left="0"/>
        <w:jc w:val="left"/>
      </w:pPr>
      <w:r>
        <w:rPr>
          <w:rFonts w:ascii="Arial" w:hAnsi="Arial"/>
          <w:sz w:val="22"/>
        </w:rPr>
        <w:t xml:space="preserve">HENRIQUES, Ricardo. Desigualdade Racial no Brasil: Evolução das Condições de Vida na Década de 90.</w:t>
      </w:r>
      <w:r>
        <w:rPr>
          <w:rFonts w:ascii="Arial" w:hAnsi="Arial"/>
          <w:sz w:val="22"/>
        </w:rPr>
        <w:t xml:space="preserve"> </w:t>
      </w:r>
      <w:r>
        <w:rPr>
          <w:rFonts w:ascii="Arial" w:hAnsi="Arial"/>
          <w:b/>
          <w:bCs/>
          <w:sz w:val="22"/>
        </w:rPr>
        <w:t xml:space="preserve">Texto para Discussão IPEA</w:t>
      </w:r>
      <w:r>
        <w:rPr>
          <w:rFonts w:ascii="Arial" w:hAnsi="Arial"/>
          <w:sz w:val="22"/>
        </w:rPr>
        <w:t xml:space="preserve">, n. 807, 2001.</w:t>
      </w:r>
    </w:p>
    <w:bookmarkEnd w:id="157"/>
    <w:bookmarkStart w:id="158" w:name="ref-ibge_pof_2019"/>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de Orçamentos Familiares 2017–2018: análise da qualidade de vida (Índice de Perda de Qualidade de Vida)</w:t>
      </w:r>
      <w:r>
        <w:rPr>
          <w:rFonts w:ascii="Arial" w:hAnsi="Arial"/>
          <w:sz w:val="22"/>
        </w:rPr>
        <w:t xml:space="preserve">. Rio de Janeiro: Instituto Brasileiro de Geografia e Estatística, 2019.</w:t>
      </w:r>
    </w:p>
    <w:bookmarkEnd w:id="158"/>
    <w:bookmarkStart w:id="159" w:name="ref-ibge_pnad_2023"/>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Notas Metodológicas</w:t>
      </w:r>
      <w:r>
        <w:rPr>
          <w:rFonts w:ascii="Arial" w:hAnsi="Arial"/>
          <w:sz w:val="22"/>
        </w:rPr>
        <w:t xml:space="preserve">. Rio de Janeiro: Instituto Brasileiro de Geografia e Estatística, 2023.</w:t>
      </w:r>
    </w:p>
    <w:bookmarkEnd w:id="159"/>
    <w:bookmarkStart w:id="160" w:name="ref-ibge_rendimentos_2025"/>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Rendimento de Todas as Fontes 2025</w:t>
      </w:r>
      <w:r>
        <w:rPr>
          <w:rFonts w:ascii="Arial" w:hAnsi="Arial"/>
          <w:sz w:val="22"/>
        </w:rPr>
        <w:t xml:space="preserve">. Rio de Janeiro: Instituto Brasileiro de Geografia e Estatística, 2025.</w:t>
      </w:r>
    </w:p>
    <w:bookmarkEnd w:id="160"/>
    <w:bookmarkStart w:id="161" w:name="ref-koenker1978"/>
    <w:p>
      <w:pPr>
        <w:pStyle w:val="Bibliography"/>
        <w:spacing w:line="240" w:lineRule="auto" w:before="0" w:after="120"/>
        <w:ind w:firstLine="0" w:left="0"/>
        <w:jc w:val="left"/>
      </w:pPr>
      <w:r>
        <w:rPr>
          <w:rFonts w:ascii="Arial" w:hAnsi="Arial"/>
          <w:sz w:val="22"/>
        </w:rPr>
        <w:t xml:space="preserve">KOENKER, Roger; BASSETT, Gilbert. Regression Quantiles.</w:t>
      </w:r>
      <w:r>
        <w:rPr>
          <w:rFonts w:ascii="Arial" w:hAnsi="Arial"/>
          <w:sz w:val="22"/>
        </w:rPr>
        <w:t xml:space="preserve"> </w:t>
      </w:r>
      <w:r>
        <w:rPr>
          <w:rFonts w:ascii="Arial" w:hAnsi="Arial"/>
          <w:b/>
          <w:bCs/>
          <w:sz w:val="22"/>
        </w:rPr>
        <w:t xml:space="preserve">Econometrica</w:t>
      </w:r>
      <w:r>
        <w:rPr>
          <w:rFonts w:ascii="Arial" w:hAnsi="Arial"/>
          <w:sz w:val="22"/>
        </w:rPr>
        <w:t xml:space="preserve">, v. 46, n. 1, p. 33–50, 1978.</w:t>
      </w:r>
    </w:p>
    <w:bookmarkEnd w:id="161"/>
    <w:bookmarkStart w:id="162" w:name="ref-lundberg2017"/>
    <w:p>
      <w:pPr>
        <w:pStyle w:val="Bibliography"/>
        <w:spacing w:line="240" w:lineRule="auto" w:before="0" w:after="120"/>
        <w:ind w:firstLine="0" w:left="0"/>
        <w:jc w:val="left"/>
      </w:pPr>
      <w:r>
        <w:rPr>
          <w:rFonts w:ascii="Arial" w:hAnsi="Arial"/>
          <w:sz w:val="22"/>
        </w:rPr>
        <w:t xml:space="preserve">LUNDBERG, Scott M.; LEE, Su-In. A Unified Approach to Interpreting Model Predictions.</w:t>
      </w:r>
      <w:r>
        <w:rPr>
          <w:rFonts w:ascii="Arial" w:hAnsi="Arial"/>
          <w:sz w:val="22"/>
        </w:rPr>
        <w:t xml:space="preserve"> </w:t>
      </w:r>
      <w:r>
        <w:rPr>
          <w:rFonts w:ascii="Arial" w:hAnsi="Arial"/>
          <w:b/>
          <w:bCs/>
          <w:sz w:val="22"/>
        </w:rPr>
        <w:t xml:space="preserve">Advances in Neural Information Processing Systems</w:t>
      </w:r>
      <w:r>
        <w:rPr>
          <w:rFonts w:ascii="Arial" w:hAnsi="Arial"/>
          <w:sz w:val="22"/>
        </w:rPr>
        <w:t xml:space="preserve">, v. 30, 2017.</w:t>
      </w:r>
    </w:p>
    <w:bookmarkEnd w:id="162"/>
    <w:bookmarkStart w:id="163" w:name="ref-manski1993"/>
    <w:p>
      <w:pPr>
        <w:pStyle w:val="Bibliography"/>
        <w:spacing w:line="240" w:lineRule="auto" w:before="0" w:after="120"/>
        <w:ind w:firstLine="0" w:left="0"/>
        <w:jc w:val="left"/>
      </w:pPr>
      <w:r>
        <w:rPr>
          <w:rFonts w:ascii="Arial" w:hAnsi="Arial"/>
          <w:sz w:val="22"/>
        </w:rPr>
        <w:t xml:space="preserve">MANSKI, Charles F. Identification of Endogenous Social Effects: The Reflection Problem.</w:t>
      </w:r>
      <w:r>
        <w:rPr>
          <w:rFonts w:ascii="Arial" w:hAnsi="Arial"/>
          <w:sz w:val="22"/>
        </w:rPr>
        <w:t xml:space="preserve"> </w:t>
      </w:r>
      <w:r>
        <w:rPr>
          <w:rFonts w:ascii="Arial" w:hAnsi="Arial"/>
          <w:b/>
          <w:bCs/>
          <w:sz w:val="22"/>
        </w:rPr>
        <w:t xml:space="preserve">Review of Economic Studies</w:t>
      </w:r>
      <w:r>
        <w:rPr>
          <w:rFonts w:ascii="Arial" w:hAnsi="Arial"/>
          <w:sz w:val="22"/>
        </w:rPr>
        <w:t xml:space="preserve">, v. 60, n. 3, p. 531–542, 1993.</w:t>
      </w:r>
    </w:p>
    <w:bookmarkEnd w:id="163"/>
    <w:bookmarkStart w:id="164" w:name="ref-marques2010"/>
    <w:p>
      <w:pPr>
        <w:pStyle w:val="Bibliography"/>
        <w:spacing w:line="240" w:lineRule="auto" w:before="0" w:after="120"/>
        <w:ind w:firstLine="0" w:left="0"/>
        <w:jc w:val="left"/>
      </w:pPr>
      <w:r>
        <w:rPr>
          <w:rFonts w:ascii="Arial" w:hAnsi="Arial"/>
          <w:sz w:val="22"/>
        </w:rPr>
        <w:t xml:space="preserve">MARQUES, Eduardo. Redes Sociais, Segregação e Pobreza em São Paulo.</w:t>
      </w:r>
      <w:r>
        <w:rPr>
          <w:rFonts w:ascii="Arial" w:hAnsi="Arial"/>
          <w:sz w:val="22"/>
        </w:rPr>
        <w:t xml:space="preserve"> </w:t>
      </w:r>
      <w:r>
        <w:rPr>
          <w:rFonts w:ascii="Arial" w:hAnsi="Arial"/>
          <w:b/>
          <w:bCs/>
          <w:sz w:val="22"/>
        </w:rPr>
        <w:t xml:space="preserve">Dados: Revista de Ciências Sociais</w:t>
      </w:r>
      <w:r>
        <w:rPr>
          <w:rFonts w:ascii="Arial" w:hAnsi="Arial"/>
          <w:sz w:val="22"/>
        </w:rPr>
        <w:t xml:space="preserve">, v. 53, n. 1, p. 5–50, 2010.</w:t>
      </w:r>
    </w:p>
    <w:bookmarkEnd w:id="164"/>
    <w:bookmarkStart w:id="165" w:name="ref-oaxaca1973"/>
    <w:p>
      <w:pPr>
        <w:pStyle w:val="Bibliography"/>
        <w:spacing w:line="240" w:lineRule="auto" w:before="0" w:after="120"/>
        <w:ind w:firstLine="0" w:left="0"/>
        <w:jc w:val="left"/>
      </w:pPr>
      <w:r>
        <w:rPr>
          <w:rFonts w:ascii="Arial" w:hAnsi="Arial"/>
          <w:sz w:val="22"/>
        </w:rPr>
        <w:t xml:space="preserve">OAXACA, Ronald. Male-Female Wage Differentials in Urban Labor Markets.</w:t>
      </w:r>
      <w:r>
        <w:rPr>
          <w:rFonts w:ascii="Arial" w:hAnsi="Arial"/>
          <w:sz w:val="22"/>
        </w:rPr>
        <w:t xml:space="preserve"> </w:t>
      </w:r>
      <w:r>
        <w:rPr>
          <w:rFonts w:ascii="Arial" w:hAnsi="Arial"/>
          <w:b/>
          <w:bCs/>
          <w:sz w:val="22"/>
        </w:rPr>
        <w:t xml:space="preserve">International Economic Review</w:t>
      </w:r>
      <w:r>
        <w:rPr>
          <w:rFonts w:ascii="Arial" w:hAnsi="Arial"/>
          <w:sz w:val="22"/>
        </w:rPr>
        <w:t xml:space="preserve">, v. 14, n. 3, p. 693–709, 1973.</w:t>
      </w:r>
    </w:p>
    <w:bookmarkEnd w:id="165"/>
    <w:bookmarkStart w:id="166" w:name="ref-oaxaca_ransom1999"/>
    <w:p>
      <w:pPr>
        <w:pStyle w:val="Bibliography"/>
        <w:spacing w:line="240" w:lineRule="auto" w:before="0" w:after="120"/>
        <w:ind w:firstLine="0" w:left="0"/>
        <w:jc w:val="left"/>
      </w:pPr>
      <w:r>
        <w:rPr>
          <w:rFonts w:ascii="Arial" w:hAnsi="Arial"/>
          <w:sz w:val="22"/>
        </w:rPr>
        <w:t xml:space="preserve">OAXACA, Ronald L.; RANSOM, Michael R. Identification in Detailed Wage Decompositions.</w:t>
      </w:r>
      <w:r>
        <w:rPr>
          <w:rFonts w:ascii="Arial" w:hAnsi="Arial"/>
          <w:sz w:val="22"/>
        </w:rPr>
        <w:t xml:space="preserve"> </w:t>
      </w:r>
      <w:r>
        <w:rPr>
          <w:rFonts w:ascii="Arial" w:hAnsi="Arial"/>
          <w:b/>
          <w:bCs/>
          <w:sz w:val="22"/>
        </w:rPr>
        <w:t xml:space="preserve">Review of Economics and Statistics</w:t>
      </w:r>
      <w:r>
        <w:rPr>
          <w:rFonts w:ascii="Arial" w:hAnsi="Arial"/>
          <w:sz w:val="22"/>
        </w:rPr>
        <w:t xml:space="preserve">, v. 81, n. 1, p. 154–157, 1999.</w:t>
      </w:r>
    </w:p>
    <w:bookmarkEnd w:id="166"/>
    <w:bookmarkStart w:id="167" w:name="ref-pager2007"/>
    <w:p>
      <w:pPr>
        <w:pStyle w:val="Bibliography"/>
        <w:spacing w:line="240" w:lineRule="auto" w:before="0" w:after="120"/>
        <w:ind w:firstLine="0" w:left="0"/>
        <w:jc w:val="left"/>
      </w:pPr>
      <w:r>
        <w:rPr>
          <w:rFonts w:ascii="Arial" w:hAnsi="Arial"/>
          <w:sz w:val="22"/>
        </w:rPr>
        <w:t xml:space="preserve">PAGER, Devah.</w:t>
      </w:r>
      <w:r>
        <w:rPr>
          <w:rFonts w:ascii="Arial" w:hAnsi="Arial"/>
          <w:sz w:val="22"/>
        </w:rPr>
        <w:t xml:space="preserve"> </w:t>
      </w:r>
      <w:r>
        <w:rPr>
          <w:rFonts w:ascii="Arial" w:hAnsi="Arial"/>
          <w:b/>
          <w:bCs/>
          <w:sz w:val="22"/>
        </w:rPr>
        <w:t xml:space="preserve">Marked: Race, Crime, and Finding Work in an Era of Mass Incarceration</w:t>
      </w:r>
      <w:r>
        <w:rPr>
          <w:rFonts w:ascii="Arial" w:hAnsi="Arial"/>
          <w:sz w:val="22"/>
        </w:rPr>
        <w:t xml:space="preserve">. Chicago: University of Chicago Press, 2007.</w:t>
      </w:r>
    </w:p>
    <w:bookmarkEnd w:id="167"/>
    <w:bookmarkStart w:id="168" w:name="ref-raudenbush2002"/>
    <w:p>
      <w:pPr>
        <w:pStyle w:val="Bibliography"/>
        <w:spacing w:line="240" w:lineRule="auto" w:before="0" w:after="120"/>
        <w:ind w:firstLine="0" w:left="0"/>
        <w:jc w:val="left"/>
      </w:pPr>
      <w:r>
        <w:rPr>
          <w:rFonts w:ascii="Arial" w:hAnsi="Arial"/>
          <w:sz w:val="22"/>
        </w:rPr>
        <w:t xml:space="preserve">RAUDENBUSH, Stephen W.; BRYK, Anthony S.</w:t>
      </w:r>
      <w:r>
        <w:rPr>
          <w:rFonts w:ascii="Arial" w:hAnsi="Arial"/>
          <w:sz w:val="22"/>
        </w:rPr>
        <w:t xml:space="preserve"> </w:t>
      </w:r>
      <w:r>
        <w:rPr>
          <w:rFonts w:ascii="Arial" w:hAnsi="Arial"/>
          <w:b/>
          <w:bCs/>
          <w:sz w:val="22"/>
        </w:rPr>
        <w:t xml:space="preserve">Hierarchical Linear Models: Applications and Data Analysis Methods</w:t>
      </w:r>
      <w:r>
        <w:rPr>
          <w:rFonts w:ascii="Arial" w:hAnsi="Arial"/>
          <w:sz w:val="22"/>
        </w:rPr>
        <w:t xml:space="preserve">. 2. ed. Thousand Oaks, CA: Sage, 2002.</w:t>
      </w:r>
    </w:p>
    <w:bookmarkEnd w:id="168"/>
    <w:bookmarkStart w:id="169" w:name="ref-sampson1997"/>
    <w:p>
      <w:pPr>
        <w:pStyle w:val="Bibliography"/>
        <w:spacing w:line="240" w:lineRule="auto" w:before="0" w:after="120"/>
        <w:ind w:firstLine="0" w:left="0"/>
        <w:jc w:val="left"/>
      </w:pPr>
      <w:r>
        <w:rPr>
          <w:rFonts w:ascii="Arial" w:hAnsi="Arial"/>
          <w:sz w:val="22"/>
        </w:rPr>
        <w:t xml:space="preserve">SAMPSON, Robert J.; RAUDENBUSH, Stephen W.; EARLS, Felton. Neighborhoods and Violent Crime: A Multilevel Study of Collective Efficacy.</w:t>
      </w:r>
      <w:r>
        <w:rPr>
          <w:rFonts w:ascii="Arial" w:hAnsi="Arial"/>
          <w:sz w:val="22"/>
        </w:rPr>
        <w:t xml:space="preserve"> </w:t>
      </w:r>
      <w:r>
        <w:rPr>
          <w:rFonts w:ascii="Arial" w:hAnsi="Arial"/>
          <w:b/>
          <w:bCs/>
          <w:sz w:val="22"/>
        </w:rPr>
        <w:t xml:space="preserve">Science</w:t>
      </w:r>
      <w:r>
        <w:rPr>
          <w:rFonts w:ascii="Arial" w:hAnsi="Arial"/>
          <w:sz w:val="22"/>
        </w:rPr>
        <w:t xml:space="preserve">, v. 277, p. 918–924, 1997.</w:t>
      </w:r>
    </w:p>
    <w:bookmarkEnd w:id="169"/>
    <w:bookmarkStart w:id="170" w:name="ref-soares2009"/>
    <w:p>
      <w:pPr>
        <w:pStyle w:val="Bibliography"/>
        <w:spacing w:line="240" w:lineRule="auto" w:before="0" w:after="120"/>
        <w:ind w:firstLine="0" w:left="0"/>
        <w:jc w:val="left"/>
      </w:pPr>
      <w:r>
        <w:rPr>
          <w:rFonts w:ascii="Arial" w:hAnsi="Arial"/>
          <w:sz w:val="22"/>
        </w:rPr>
        <w:t xml:space="preserve">SOARES, Sergei. Desigualdade Racial de Renda no Brasil: 1976–2006.</w:t>
      </w:r>
      <w:r>
        <w:rPr>
          <w:rFonts w:ascii="Arial" w:hAnsi="Arial"/>
          <w:sz w:val="22"/>
        </w:rPr>
        <w:t xml:space="preserve"> </w:t>
      </w:r>
      <w:r>
        <w:rPr>
          <w:rFonts w:ascii="Arial" w:hAnsi="Arial"/>
          <w:b/>
          <w:bCs/>
          <w:sz w:val="22"/>
        </w:rPr>
        <w:t xml:space="preserve">Estudos Econômicos</w:t>
      </w:r>
      <w:r>
        <w:rPr>
          <w:rFonts w:ascii="Arial" w:hAnsi="Arial"/>
          <w:sz w:val="22"/>
        </w:rPr>
        <w:t xml:space="preserve">, v. 39, n. 4, p. 803–825, 2009.</w:t>
      </w:r>
    </w:p>
    <w:bookmarkEnd w:id="170"/>
    <w:bookmarkStart w:id="171" w:name="ref-telles2004"/>
    <w:p>
      <w:pPr>
        <w:pStyle w:val="Bibliography"/>
        <w:spacing w:line="240" w:lineRule="auto" w:before="0" w:after="120"/>
        <w:ind w:firstLine="0" w:left="0"/>
        <w:jc w:val="left"/>
      </w:pPr>
      <w:r>
        <w:rPr>
          <w:rFonts w:ascii="Arial" w:hAnsi="Arial"/>
          <w:sz w:val="22"/>
        </w:rPr>
        <w:t xml:space="preserve">TELLES, Edward E.</w:t>
      </w:r>
      <w:r>
        <w:rPr>
          <w:rFonts w:ascii="Arial" w:hAnsi="Arial"/>
          <w:sz w:val="22"/>
        </w:rPr>
        <w:t xml:space="preserve"> </w:t>
      </w:r>
      <w:r>
        <w:rPr>
          <w:rFonts w:ascii="Arial" w:hAnsi="Arial"/>
          <w:b/>
          <w:bCs/>
          <w:sz w:val="22"/>
        </w:rPr>
        <w:t xml:space="preserve">Race in Another America: The Significance of Skin Color in Brazil</w:t>
      </w:r>
      <w:r>
        <w:rPr>
          <w:rFonts w:ascii="Arial" w:hAnsi="Arial"/>
          <w:sz w:val="22"/>
        </w:rPr>
        <w:t xml:space="preserve">. Princeton: Princeton University Press, 2004.</w:t>
      </w:r>
    </w:p>
    <w:bookmarkEnd w:id="171"/>
    <w:bookmarkStart w:id="172" w:name="ref-vanderweele2017"/>
    <w:p>
      <w:pPr>
        <w:pStyle w:val="Bibliography"/>
        <w:spacing w:line="240" w:lineRule="auto" w:before="0" w:after="120"/>
        <w:ind w:firstLine="0" w:left="0"/>
        <w:jc w:val="left"/>
      </w:pPr>
      <w:r>
        <w:rPr>
          <w:rFonts w:ascii="Arial" w:hAnsi="Arial"/>
          <w:sz w:val="22"/>
        </w:rPr>
        <w:t xml:space="preserve">VANDERWEELE, Tyler J.; DING, Peng. Sensitivity Analysis in Observational Research: Introducing the E-Value.</w:t>
      </w:r>
      <w:r>
        <w:rPr>
          <w:rFonts w:ascii="Arial" w:hAnsi="Arial"/>
          <w:sz w:val="22"/>
        </w:rPr>
        <w:t xml:space="preserve"> </w:t>
      </w:r>
      <w:r>
        <w:rPr>
          <w:rFonts w:ascii="Arial" w:hAnsi="Arial"/>
          <w:b/>
          <w:bCs/>
          <w:sz w:val="22"/>
        </w:rPr>
        <w:t xml:space="preserve">Annals of Internal Medicine</w:t>
      </w:r>
      <w:r>
        <w:rPr>
          <w:rFonts w:ascii="Arial" w:hAnsi="Arial"/>
          <w:sz w:val="22"/>
        </w:rPr>
        <w:t xml:space="preserve">, v. 167, n. 4, p. 268–274, 2017.</w:t>
      </w:r>
    </w:p>
    <w:bookmarkEnd w:id="172"/>
    <w:bookmarkStart w:id="174" w:name="ref-wilm2026"/>
    <w:p>
      <w:pPr>
        <w:pStyle w:val="Bibliography"/>
        <w:spacing w:line="240" w:lineRule="auto" w:before="0" w:after="120"/>
        <w:ind w:firstLine="0" w:left="0"/>
        <w:jc w:val="left"/>
      </w:pPr>
      <w:r>
        <w:rPr>
          <w:rFonts w:ascii="Arial" w:hAnsi="Arial"/>
          <w:sz w:val="22"/>
        </w:rPr>
        <w:t xml:space="preserve">WILM, Melissa</w:t>
      </w:r>
      <w:r>
        <w:rPr>
          <w:rFonts w:ascii="Arial" w:hAnsi="Arial"/>
          <w:sz w:val="22"/>
        </w:rPr>
        <w:t xml:space="preserve"> </w:t>
      </w:r>
      <w:r>
        <w:rPr>
          <w:rFonts w:ascii="Arial" w:hAnsi="Arial"/>
          <w:i/>
          <w:iCs/>
          <w:sz w:val="22"/>
        </w:rPr>
        <w:t xml:space="preserve">et al.</w:t>
      </w:r>
      <w:r>
        <w:rPr>
          <w:rFonts w:ascii="Arial" w:hAnsi="Arial"/>
          <w:sz w:val="22"/>
        </w:rPr>
        <w:t xml:space="preserve"> </w:t>
      </w:r>
      <w:r>
        <w:rPr>
          <w:rFonts w:ascii="Arial" w:hAnsi="Arial"/>
          <w:b/>
          <w:bCs/>
          <w:sz w:val="22"/>
        </w:rPr>
        <w:t xml:space="preserve">Índice de Progresso Social Brasil 2026: resumo executivo</w:t>
      </w:r>
      <w:r>
        <w:rPr>
          <w:rFonts w:ascii="Arial" w:hAnsi="Arial"/>
          <w:sz w:val="22"/>
        </w:rPr>
        <w:t xml:space="preserve">. Belém: Imazon, 2026. Disponível em: &lt;</w:t>
      </w:r>
      <w:hyperlink r:id="rId173">
        <w:r>
          <w:rPr>
            <w:rStyle w:val="Hyperlink"/>
          </w:rPr>
          <w:t xml:space="preserve">https://imazon.org.br/relatorios/indice-de-progresso-social-brasil-2026</w:t>
        </w:r>
      </w:hyperlink>
      <w:r>
        <w:rPr>
          <w:rFonts w:ascii="Arial" w:hAnsi="Arial"/>
          <w:sz w:val="22"/>
        </w:rPr>
        <w:t xml:space="preserve">&gt;.</w:t>
      </w:r>
    </w:p>
    <w:bookmarkEnd w:id="174"/>
    <w:bookmarkStart w:id="175" w:name="ref-wilson1987"/>
    <w:p>
      <w:pPr>
        <w:pStyle w:val="Bibliography"/>
        <w:spacing w:line="240" w:lineRule="auto" w:before="0" w:after="120"/>
        <w:ind w:firstLine="0" w:left="0"/>
        <w:jc w:val="left"/>
      </w:pPr>
      <w:r>
        <w:rPr>
          <w:rFonts w:ascii="Arial" w:hAnsi="Arial"/>
          <w:sz w:val="22"/>
        </w:rPr>
        <w:t xml:space="preserve">WILSON, William J.</w:t>
      </w:r>
      <w:r>
        <w:rPr>
          <w:rFonts w:ascii="Arial" w:hAnsi="Arial"/>
          <w:sz w:val="22"/>
        </w:rPr>
        <w:t xml:space="preserve"> </w:t>
      </w:r>
      <w:r>
        <w:rPr>
          <w:rFonts w:ascii="Arial" w:hAnsi="Arial"/>
          <w:b/>
          <w:bCs/>
          <w:sz w:val="22"/>
        </w:rPr>
        <w:t xml:space="preserve">The Truly Disadvantaged: The Inner City, the Underclass, and Public Policy</w:t>
      </w:r>
      <w:r>
        <w:rPr>
          <w:rFonts w:ascii="Arial" w:hAnsi="Arial"/>
          <w:sz w:val="22"/>
        </w:rPr>
        <w:t xml:space="preserve">. Chicago: University of Chicago Press, 1987.</w:t>
      </w:r>
    </w:p>
    <w:bookmarkEnd w:id="175"/>
    <w:bookmarkEnd w:id="176"/>
    <w:bookmarkEnd w:id="177"/>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vertAlign w:val="superscript"/>
        </w:rPr>
        <w:footnoteRef/>
      </w:r>
      <w: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t xml:space="preserve"> </w:t>
      </w:r>
      <w:r>
        <w:t xml:space="preserve">(variância entre</w:t>
      </w:r>
      <w:r>
        <w:t xml:space="preserve"> </w:t>
      </w:r>
      <w:r>
        <w:t xml:space="preserve">bairros) e</w:t>
      </w:r>
      <w:r>
        <w:t xml:space="preserve"> </w:t>
      </w:r>
      <m:oMath>
        <m:sSup>
          <m:e>
            <m:acc>
              <m:accPr>
                <m:chr m:val="̂"/>
              </m:accPr>
              <m:e>
                <m:r>
                  <m:t>σ</m:t>
                </m:r>
              </m:e>
            </m:acc>
          </m:e>
          <m:sup>
            <m:r>
              <m:t>2</m:t>
            </m:r>
          </m:sup>
        </m:sSup>
        <m:r>
          <m:rPr>
            <m:sty m:val="p"/>
          </m:rPr>
          <m:t>=</m:t>
        </m:r>
        <m:r>
          <m:t>0</m:t>
        </m:r>
        <m:r>
          <m:rPr>
            <m:sty m:val="p"/>
          </m:rPr>
          <m:t>,</m:t>
        </m:r>
        <m:r>
          <m:t>5524</m:t>
        </m:r>
      </m:oMath>
      <w:r>
        <w:t xml:space="preserve"> </w:t>
      </w:r>
      <w:r>
        <w:t xml:space="preserve">(variância entre pessoas do mesmo bairro), com</w:t>
      </w:r>
      <w:r>
        <w:t xml:space="preserve"> </w:t>
      </w:r>
      <w:r>
        <w:t xml:space="preserve">ICC</w:t>
      </w:r>
      <w: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t xml:space="preserve">.</w:t>
      </w:r>
    </w:p>
  </w:footnote>
  <w:footnote w:id="36">
    <w:p>
      <w:pPr>
        <w:pStyle w:val="FootnoteText"/>
      </w:pPr>
      <w:r>
        <w:rPr>
          <w:rStyle w:val="FootnoteReference"/>
          <w:vertAlign w:val="superscript"/>
        </w:rPr>
        <w:footnoteRef/>
      </w:r>
      <w:r>
        <w:t xml:space="preserve"> </w:t>
      </w:r>
      <w:r>
        <w:t xml:space="preserve">Os modelos têm o logaritmo do rendimento como variável dependente, de modo que o coeficiente está em log-pontos. A variação percentual correspondente é</w:t>
      </w:r>
      <w: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t xml:space="preserve">, e não</w:t>
      </w:r>
      <w:r>
        <w:t xml:space="preserve"> </w:t>
      </w:r>
      <m:oMath>
        <m:acc>
          <m:accPr>
            <m:chr m:val="̂"/>
          </m:accPr>
          <m:e>
            <m:r>
              <m:t>β</m:t>
            </m:r>
          </m:e>
        </m:acc>
        <m:r>
          <m:rPr>
            <m:sty m:val="p"/>
          </m:rPr>
          <m:t>×</m:t>
        </m:r>
        <m:r>
          <m:t>100</m:t>
        </m:r>
      </m:oMath>
      <w:r>
        <w:t xml:space="preserve">: para</w:t>
      </w:r>
      <w:r>
        <w:t xml:space="preserve"> </w:t>
      </w:r>
      <m:oMath>
        <m:acc>
          <m:accPr>
            <m:chr m:val="̂"/>
          </m:accPr>
          <m:e>
            <m:r>
              <m:t>β</m:t>
            </m:r>
          </m:e>
        </m:acc>
        <m:r>
          <m:rPr>
            <m:sty m:val="p"/>
          </m:rPr>
          <m:t>=</m:t>
        </m:r>
        <m:r>
          <m:rPr>
            <m:sty m:val="p"/>
          </m:rPr>
          <m:t>−</m:t>
        </m:r>
        <m:r>
          <m:t>0</m:t>
        </m:r>
        <m:r>
          <m:rPr>
            <m:sty m:val="p"/>
          </m:rPr>
          <m:t>,</m:t>
        </m:r>
        <m:r>
          <m:t>1104</m:t>
        </m:r>
      </m:oMath>
      <w:r>
        <w:t xml:space="preserve">, por exemplo, tem-se</w:t>
      </w:r>
      <w:r>
        <w:t xml:space="preserve"> </w:t>
      </w:r>
      <m:oMath>
        <m:r>
          <m:rPr>
            <m:sty m:val="p"/>
          </m:rPr>
          <m:t>−</m:t>
        </m:r>
        <m:r>
          <m:t>10</m:t>
        </m:r>
        <m:r>
          <m:rPr>
            <m:sty m:val="p"/>
          </m:rPr>
          <m:t>,</m:t>
        </m:r>
        <m:r>
          <m:t>5</m:t>
        </m:r>
        <m:r>
          <m:rPr>
            <m:sty m:val="p"/>
          </m:rPr>
          <m:t>%</m:t>
        </m:r>
      </m:oMath>
      <w:r>
        <w:t xml:space="preserve">, e não</w:t>
      </w:r>
      <w:r>
        <w:t xml:space="preserve"> </w:t>
      </w:r>
      <m:oMath>
        <m:r>
          <m:rPr>
            <m:sty m:val="p"/>
          </m:rPr>
          <m:t>−</m:t>
        </m:r>
        <m:r>
          <m:t>11</m:t>
        </m:r>
        <m:r>
          <m:rPr>
            <m:sty m:val="p"/>
          </m:rPr>
          <m:t>,</m:t>
        </m:r>
        <m:r>
          <m:t>0</m:t>
        </m:r>
        <m:r>
          <m:rPr>
            <m:sty m:val="p"/>
          </m:rPr>
          <m:t>%</m:t>
        </m:r>
      </m:oMath>
      <w:r>
        <w:t xml:space="preserve">. As duas leituras se aproximam quando o coeficiente é pequeno e divergem à medida que ele cresce em módulo; todos os percentuais de gap deste trabalho usam a primeira forma.</w:t>
      </w:r>
    </w:p>
  </w:footnote>
  <w:footnote w:id="37">
    <w:p>
      <w:pPr>
        <w:pStyle w:val="FootnoteText"/>
      </w:pPr>
      <w:r>
        <w:rPr>
          <w:rStyle w:val="FootnoteReference"/>
          <w:vertAlign w:val="superscript"/>
        </w:rPr>
        <w:footnoteRef/>
      </w:r>
      <w: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t xml:space="preserve">, IC 95%: [−0,0679; −0,0658].</w:t>
      </w:r>
    </w:p>
  </w:footnote>
  <w:footnote w:id="38">
    <w:p>
      <w:pPr>
        <w:pStyle w:val="FootnoteText"/>
      </w:pPr>
      <w:r>
        <w:rPr>
          <w:rStyle w:val="FootnoteReference"/>
          <w:vertAlign w:val="superscript"/>
        </w:rPr>
        <w:footnoteRef/>
      </w:r>
      <w:r>
        <w:t xml:space="preserve"> </w:t>
      </w:r>
      <m:oMath>
        <m:sSup>
          <m:e>
            <m:acc>
              <m:accPr>
                <m:chr m:val="̂"/>
              </m:accPr>
              <m:e>
                <m:r>
                  <m:t>τ</m:t>
                </m:r>
              </m:e>
            </m:acc>
          </m:e>
          <m:sup>
            <m:r>
              <m:t>2</m:t>
            </m:r>
          </m:sup>
        </m:sSup>
      </m:oMath>
      <w:r>
        <w:t xml:space="preserve"> </w:t>
      </w:r>
      <w:r>
        <w:t xml:space="preserve">cai de 0,1012 para</w:t>
      </w:r>
      <w:r>
        <w:t xml:space="preserve"> </w:t>
      </w:r>
      <w:r>
        <w:t xml:space="preserve">0,0454; LR</w:t>
      </w:r>
      <w:r>
        <w:t xml:space="preserve"> </w:t>
      </w:r>
      <m:oMath>
        <m:r>
          <m:rPr>
            <m:sty m:val="p"/>
          </m:rPr>
          <m:t>=</m:t>
        </m:r>
      </m:oMath>
      <w:r>
        <w:t xml:space="preserve"> </w:t>
      </w:r>
      <w:r>
        <w:t xml:space="preserve">29.811, 3 g.l.,</w:t>
      </w:r>
      <w:r>
        <w:t xml:space="preserve"> </w:t>
      </w:r>
      <m:oMath>
        <m:r>
          <m:t>p</m:t>
        </m:r>
        <m:r>
          <m:rPr>
            <m:sty m:val="p"/>
          </m:rPr>
          <m:t>&lt;</m:t>
        </m:r>
        <m:r>
          <m:t>0</m:t>
        </m:r>
        <m:r>
          <m:rPr>
            <m:sty m:val="p"/>
          </m:rPr>
          <m:t>,</m:t>
        </m:r>
        <m:r>
          <m:t>001</m:t>
        </m:r>
      </m:oMath>
      <w:r>
        <w:t xml:space="preserve">.</w:t>
      </w:r>
    </w:p>
  </w:footnote>
  <w:footnote w:id="39">
    <w:p>
      <w:pPr>
        <w:pStyle w:val="FootnoteText"/>
      </w:pPr>
      <w:r>
        <w:rPr>
          <w:rStyle w:val="FootnoteReference"/>
          <w:vertAlign w:val="superscript"/>
        </w:rPr>
        <w:footnoteRef/>
      </w:r>
      <w:r>
        <w:t xml:space="preserve"> </w:t>
      </w:r>
      <w:r>
        <w:t xml:space="preserve">IC 95% de</w:t>
      </w:r>
      <w:r>
        <w:t xml:space="preserve"> </w:t>
      </w:r>
      <m:oMath>
        <m:sSubSup>
          <m:e>
            <m:acc>
              <m:accPr>
                <m:chr m:val="̂"/>
              </m:accPr>
              <m:e>
                <m:r>
                  <m:t>β</m:t>
                </m:r>
              </m:e>
            </m:acc>
          </m:e>
          <m:sub>
            <m:r>
              <m:rPr>
                <m:nor/>
                <m:sty m:val="p"/>
              </m:rPr>
              <m:t>negro</m:t>
            </m:r>
          </m:sub>
          <m:sup>
            <m:r>
              <m:t>M</m:t>
            </m:r>
            <m:r>
              <m:t>3</m:t>
            </m:r>
          </m:sup>
        </m:sSubSup>
      </m:oMath>
      <w:r>
        <w:t xml:space="preserve">: [−0,0639; −0,0619]. O ICC cai para 0,076 e os controles acumulados explicam</w:t>
      </w:r>
      <w:r>
        <w:t xml:space="preserve"> </w:t>
      </w:r>
      <w:r>
        <w:t xml:space="preserve">90,1% da variância entre bairros do M0; a escada completa está nas linhas</w:t>
      </w:r>
      <w:r>
        <w:t xml:space="preserve"> </w:t>
      </w:r>
      <w:r>
        <w:t xml:space="preserve">inferiores da Tabela 4.</w:t>
      </w:r>
    </w:p>
  </w:footnote>
  <w:footnote w:id="40">
    <w:p>
      <w:pPr>
        <w:pStyle w:val="FootnoteText"/>
      </w:pPr>
      <w:r>
        <w:rPr>
          <w:rStyle w:val="FootnoteReference"/>
          <w:vertAlign w:val="superscript"/>
        </w:rPr>
        <w:footnoteRef/>
      </w:r>
      <w:r>
        <w:t xml:space="preserve"> </w:t>
      </w:r>
      <w:r>
        <w:t xml:space="preserve">Estimado com</w:t>
      </w:r>
      <w:r>
        <w:t xml:space="preserve"> </w:t>
      </w:r>
      <w:r>
        <w:rPr>
          <w:rStyle w:val="VerbatimChar"/>
        </w:rPr>
        <w:t xml:space="preserve">lme4</w:t>
      </w:r>
      <w:r>
        <w:t xml:space="preserve"> </w:t>
      </w:r>
      <w: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2">
    <w:p>
      <w:pPr>
        <w:pStyle w:val="FootnoteText"/>
      </w:pPr>
      <w:r>
        <w:rPr>
          <w:rStyle w:val="FootnoteReference"/>
          <w:vertAlign w:val="superscript"/>
        </w:rPr>
        <w:footnoteRef/>
      </w:r>
      <w:r>
        <w:t xml:space="preserve"> </w:t>
      </w:r>
      <m:oMath>
        <m:sSubSup>
          <m:e>
            <m:acc>
              <m:accPr>
                <m:chr m:val="̂"/>
              </m:accPr>
              <m:e>
                <m:r>
                  <m:t>τ</m:t>
                </m:r>
              </m:e>
            </m:acc>
          </m:e>
          <m:sub>
            <m:r>
              <m:t>1</m:t>
            </m:r>
          </m:sub>
          <m:sup>
            <m:r>
              <m:t>2</m:t>
            </m:r>
          </m:sup>
        </m:sSubSup>
        <m:r>
          <m:rPr>
            <m:sty m:val="p"/>
          </m:rPr>
          <m:t>=</m:t>
        </m:r>
        <m:r>
          <m:t>0</m:t>
        </m:r>
        <m:r>
          <m:rPr>
            <m:sty m:val="p"/>
          </m:rPr>
          <m:t>,</m:t>
        </m:r>
        <m:r>
          <m:t>0210</m:t>
        </m:r>
      </m:oMath>
      <w:r>
        <w:t xml:space="preserve">, componente de variância da inclinação</w:t>
      </w:r>
      <w:r>
        <w:t xml:space="preserve"> </w:t>
      </w:r>
      <w:r>
        <w:t xml:space="preserve">aleatória de</w:t>
      </w:r>
      <w:r>
        <w:t xml:space="preserve"> </w:t>
      </w:r>
      <w:r>
        <w:rPr>
          <w:rStyle w:val="VerbatimChar"/>
        </w:rPr>
        <w:t xml:space="preserve">negro</w:t>
      </w:r>
      <w:r>
        <w:t xml:space="preserve"> </w:t>
      </w:r>
      <w:r>
        <w:t xml:space="preserve">por UPA.</w:t>
      </w:r>
    </w:p>
  </w:footnote>
  <w:footnote w:id="70">
    <w:p>
      <w:pPr>
        <w:pStyle w:val="FootnoteText"/>
      </w:pPr>
      <w:r>
        <w:rPr>
          <w:rStyle w:val="FootnoteReference"/>
          <w:vertAlign w:val="superscript"/>
        </w:rPr>
        <w:footnoteRef/>
      </w:r>
      <w:r>
        <w:t xml:space="preserve"> </w:t>
      </w:r>
      <w:r>
        <w:rPr>
          <w:rStyle w:val="VerbatimChar"/>
        </w:rPr>
        <w:t xml:space="preserve">lme4::glmer</w:t>
      </w:r>
      <w:r>
        <w:t xml:space="preserve"> </w:t>
      </w:r>
      <w:r>
        <w:t xml:space="preserve">com</w:t>
      </w:r>
      <w:r>
        <w:t xml:space="preserve"> </w:t>
      </w:r>
      <w:r>
        <w:rPr>
          <w:rStyle w:val="VerbatimChar"/>
        </w:rPr>
        <w:t xml:space="preserve">nAGQ = 0</w:t>
      </w:r>
      <w:r>
        <w:t xml:space="preserve"> </w:t>
      </w:r>
      <w:r>
        <w:t xml:space="preserve">— os efeitos fixos são estimados</w:t>
      </w:r>
      <w:r>
        <w:t xml:space="preserve"> </w:t>
      </w:r>
      <w:r>
        <w:t xml:space="preserve">junto com os modos condicionais, aproximação mais rápida que a de Laplace e adequada a</w:t>
      </w:r>
      <w:r>
        <w:t xml:space="preserve"> </w:t>
      </w:r>
      <m:oMath>
        <m:r>
          <m:t>N</m:t>
        </m:r>
      </m:oMath>
      <w:r>
        <w:t xml:space="preserve"> </w:t>
      </w:r>
      <w:r>
        <w:t xml:space="preserve">de milhões —, sobre a população completa.</w:t>
      </w:r>
      <w:r>
        <w:t xml:space="preserve"> </w:t>
      </w:r>
      <w:r>
        <w:t xml:space="preserve">Os degraus são: A1 individual; A2</w:t>
      </w:r>
      <w:r>
        <w:t xml:space="preserve"> </w:t>
      </w:r>
      <m:oMath>
        <m:r>
          <m:rPr>
            <m:sty m:val="p"/>
          </m:rPr>
          <m:t>+</m:t>
        </m:r>
      </m:oMath>
      <w:r>
        <w:t xml:space="preserve"> </w:t>
      </w:r>
      <w:r>
        <w:t xml:space="preserve">contexto do bairro; A3</w:t>
      </w:r>
      <w:r>
        <w:t xml:space="preserve"> </w:t>
      </w:r>
      <m:oMath>
        <m:r>
          <m:rPr>
            <m:sty m:val="p"/>
          </m:rPr>
          <m:t>+</m:t>
        </m:r>
      </m:oMath>
      <w:r>
        <w:t xml:space="preserve"> </w:t>
      </w:r>
      <w:r>
        <w:t xml:space="preserve">vínculo (formalidade,</w:t>
      </w:r>
      <w:r>
        <w:t xml:space="preserve"> </w:t>
      </w:r>
      <w:r>
        <w:t xml:space="preserve">setor público, conta própria, doméstico), que é desfecho da própria discriminação e por</w:t>
      </w:r>
      <w:r>
        <w:t xml:space="preserve"> </w:t>
      </w:r>
      <w:r>
        <w:t xml:space="preserve">isso faz do A3 um limite inferior; A4</w:t>
      </w:r>
      <w:r>
        <w:t xml:space="preserve"> </w:t>
      </w:r>
      <m:oMath>
        <m:r>
          <m:rPr>
            <m:sty m:val="p"/>
          </m:rPr>
          <m:t>+</m:t>
        </m:r>
      </m:oMath>
      <w:r>
        <w:t xml:space="preserve"> </w:t>
      </w:r>
      <w:r>
        <w:t xml:space="preserve">interação</w:t>
      </w:r>
      <w:r>
        <w:t xml:space="preserve"> </w:t>
      </w:r>
      <w:r>
        <w:rPr>
          <w:rStyle w:val="VerbatimChar"/>
        </w:rPr>
        <w:t xml:space="preserve">negro</w:t>
      </w:r>
      <m:oMath>
        <m:r>
          <m:rPr>
            <m:sty m:val="p"/>
          </m:rPr>
          <m:t>×</m:t>
        </m:r>
      </m:oMath>
      <w:r>
        <w:t xml:space="preserve">credencial. A</w:t>
      </w:r>
      <w:r>
        <w:t xml:space="preserve"> </w:t>
      </w:r>
      <w:r>
        <w:t xml:space="preserve">Tabela 7 traz</w:t>
      </w:r>
      <w:r>
        <w:t xml:space="preserve"> </w:t>
      </w:r>
      <w:r>
        <w:t xml:space="preserve">odds ratios</w:t>
      </w:r>
      <w:r>
        <w:t xml:space="preserve">, efeitos marginais, ICC e</w:t>
      </w:r>
      <w:r>
        <w:t xml:space="preserve"> </w:t>
      </w:r>
      <w:r>
        <w:t xml:space="preserve">E-values; a Tabela 8, o ajuste e a classificação.</w:t>
      </w:r>
    </w:p>
  </w:footnote>
  <w:footnote w:id="71">
    <w:p>
      <w:pPr>
        <w:pStyle w:val="FootnoteText"/>
      </w:pPr>
      <w:r>
        <w:rPr>
          <w:rStyle w:val="FootnoteReference"/>
          <w:vertAlign w:val="superscript"/>
        </w:rPr>
        <w:footnoteRef/>
      </w:r>
      <w:r>
        <w:t xml:space="preserve"> </w:t>
      </w:r>
      <w:r>
        <w:t xml:space="preserve">Correlação intraclasse latente do M1:</w:t>
      </w:r>
      <w:r>
        <w:t xml:space="preserve"> </w:t>
      </w:r>
      <w:r>
        <w:t xml:space="preserve">0,087 para o cargo qualificado e 0,221 para o top 10%, com</w:t>
      </w:r>
      <w:r>
        <w:t xml:space="preserve"> </w:t>
      </w:r>
      <w:r>
        <w:t xml:space="preserve">ICC</w:t>
      </w:r>
      <w: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t xml:space="preserve">. O teste de razão de verossimilhança contra o logit sem</w:t>
      </w:r>
      <w:r>
        <w:t xml:space="preserve"> </w:t>
      </w:r>
      <w:r>
        <w:t xml:space="preserve">efeito aleatório dá LR</w:t>
      </w:r>
      <w:r>
        <w:t xml:space="preserve"> </w:t>
      </w:r>
      <m:oMath>
        <m:r>
          <m:rPr>
            <m:sty m:val="p"/>
          </m:rPr>
          <m:t>=</m:t>
        </m:r>
      </m:oMath>
      <w:r>
        <w:t xml:space="preserve"> </w:t>
      </w:r>
      <w:r>
        <w:t xml:space="preserve">77.940 para o cargo e 80.791 para o top 10%</w:t>
      </w:r>
      <w:r>
        <w:t xml:space="preserve"> </w:t>
      </w:r>
      <w:r>
        <w:t xml:space="preserve">(1 g.l.,</w:t>
      </w:r>
      <w:r>
        <w:t xml:space="preserve"> </w:t>
      </w:r>
      <m:oMath>
        <m:r>
          <m:t>p</m:t>
        </m:r>
        <m:r>
          <m:rPr>
            <m:sty m:val="p"/>
          </m:rPr>
          <m:t>&lt;</m:t>
        </m:r>
        <m:r>
          <m:t>0</m:t>
        </m:r>
        <m:r>
          <m:rPr>
            <m:sty m:val="p"/>
          </m:rPr>
          <m:t>,</m:t>
        </m:r>
        <m:r>
          <m:t>001</m:t>
        </m:r>
      </m:oMath>
      <w:r>
        <w:t xml:space="preserve">).</w:t>
      </w:r>
    </w:p>
  </w:footnote>
  <w:footnote w:id="72">
    <w:p>
      <w:pPr>
        <w:pStyle w:val="FootnoteText"/>
      </w:pPr>
      <w:r>
        <w:rPr>
          <w:rStyle w:val="FootnoteReference"/>
          <w:vertAlign w:val="superscript"/>
        </w:rPr>
        <w:footnoteRef/>
      </w:r>
      <w:r>
        <w:t xml:space="preserve"> </w:t>
      </w:r>
      <w:r>
        <w:t xml:space="preserve">IC 95% 0,810–0,818.</w:t>
      </w:r>
      <w:r>
        <w:t xml:space="preserve"> </w:t>
      </w:r>
      <w:r>
        <w:t xml:space="preserve">Odds ratio</w:t>
      </w:r>
      <w:r>
        <w:t xml:space="preserve"> </w:t>
      </w:r>
      <w:r>
        <w:t xml:space="preserve">abaixo de 1 é</w:t>
      </w:r>
      <w:r>
        <w:t xml:space="preserve"> </w:t>
      </w:r>
      <w:r>
        <w:t xml:space="preserve">desvantagem; acima de 1, vantagem.</w:t>
      </w:r>
    </w:p>
  </w:footnote>
  <w:footnote w:id="73">
    <w:p>
      <w:pPr>
        <w:pStyle w:val="FootnoteText"/>
      </w:pPr>
      <w:r>
        <w:rPr>
          <w:rStyle w:val="FootnoteReference"/>
          <w:vertAlign w:val="superscript"/>
        </w:rPr>
        <w:footnoteRef/>
      </w:r>
      <w:r>
        <w:t xml:space="preserve"> </w:t>
      </w:r>
      <w:r>
        <w:t xml:space="preserve">AUC de 0,878 com</w:t>
      </w:r>
      <w:r>
        <w:t xml:space="preserve"> </w:t>
      </w:r>
      <w:r>
        <w:t xml:space="preserve">efeitos aleatórios e 0,870 só com efeitos fixos, para o cargo qualificado;</w:t>
      </w:r>
      <w:r>
        <w:t xml:space="preserve"> </w:t>
      </w:r>
      <w:r>
        <w:t xml:space="preserve">no</w:t>
      </w:r>
      <w:r>
        <w:t xml:space="preserve"> </w:t>
      </w:r>
      <w:r>
        <w:t xml:space="preserve">cutoff</w:t>
      </w:r>
      <w:r>
        <w:t xml:space="preserve"> </w:t>
      </w:r>
      <w:r>
        <w:t xml:space="preserve">de Youden (0,30), sensibilidade 0,79 e</w:t>
      </w:r>
      <w:r>
        <w:t xml:space="preserve"> </w:t>
      </w:r>
      <w:r>
        <w:t xml:space="preserve">especificidade 0,79. O teste de Hosmer–Lemeshow rejeita a calibração</w:t>
      </w:r>
      <w:r>
        <w:t xml:space="preserve"> </w:t>
      </w:r>
      <w:r>
        <w:t xml:space="preserve">perfeita em todos os degraus — inevitável com</w:t>
      </w:r>
      <w:r>
        <w:t xml:space="preserve"> </w:t>
      </w:r>
      <m:oMath>
        <m:r>
          <m:t>N</m:t>
        </m:r>
      </m:oMath>
      <w:r>
        <w:t xml:space="preserve"> </w:t>
      </w:r>
      <w:r>
        <w:t xml:space="preserve">de milhões</w:t>
      </w:r>
      <w:r>
        <w:t xml:space="preserve"> </w:t>
      </w:r>
      <w:r>
        <w:t xml:space="preserve">(Angrist; Pischke, 2009)</w:t>
      </w:r>
      <w:r>
        <w:t xml:space="preserve"> </w:t>
      </w:r>
      <w:r>
        <w:t xml:space="preserve">—,</w:t>
      </w:r>
      <w:r>
        <w:t xml:space="preserve"> </w:t>
      </w:r>
      <w:r>
        <w:t xml:space="preserve">mas a estatística cai 69% no top 20% e 54% no top 10%, embora suba no cargo qualificado ao se acrescentar o vínculo (A3).</w:t>
      </w:r>
    </w:p>
  </w:footnote>
  <w:footnote w:id="90">
    <w:p>
      <w:pPr>
        <w:pStyle w:val="FootnoteText"/>
      </w:pPr>
      <w:r>
        <w:rPr>
          <w:rStyle w:val="FootnoteReference"/>
          <w:vertAlign w:val="superscript"/>
        </w:rPr>
        <w:footnoteRef/>
      </w:r>
      <w:r>
        <w:t xml:space="preserve"> </w:t>
      </w:r>
      <w:r>
        <w:t xml:space="preserve">GLMM de acesso reespecificado com</w:t>
      </w:r>
      <w:r>
        <w:t xml:space="preserve"> </w:t>
      </w:r>
      <w:r>
        <w:rPr>
          <w:rStyle w:val="VerbatimChar"/>
        </w:rPr>
        <w:t xml:space="preserve">grupo_rg</w:t>
      </w:r>
      <w:r>
        <w:t xml:space="preserve"> </w:t>
      </w:r>
      <w:r>
        <w:t xml:space="preserve">(homem branco como</w:t>
      </w:r>
      <w:r>
        <w:t xml:space="preserve"> </w:t>
      </w:r>
      <w:r>
        <w:t xml:space="preserve">referência, mulher branca, homem negro, mulher negra) e a interação</w:t>
      </w:r>
      <w:r>
        <w:t xml:space="preserve"> </w:t>
      </w:r>
      <w:r>
        <w:rPr>
          <w:rStyle w:val="VerbatimChar"/>
        </w:rPr>
        <w:t xml:space="preserve">negro</w:t>
      </w:r>
      <m:oMath>
        <m:r>
          <m:rPr>
            <m:sty m:val="p"/>
          </m:rPr>
          <m:t>×</m:t>
        </m:r>
      </m:oMath>
      <w:r>
        <w:rPr>
          <w:rStyle w:val="VerbatimChar"/>
        </w:rPr>
        <w:t xml:space="preserve">sexo_fem</w:t>
      </w:r>
      <w:r>
        <w:t xml:space="preserve">, em três desfechos: ocupação qualificada (CBO 1–4),</w:t>
      </w:r>
      <w:r>
        <w:t xml:space="preserve"> </w:t>
      </w:r>
      <w:r>
        <w:t xml:space="preserve">renda no top 20% e no top 10%.</w:t>
      </w:r>
    </w:p>
  </w:footnote>
  <w:footnote w:id="96">
    <w:p>
      <w:pPr>
        <w:pStyle w:val="FootnoteText"/>
      </w:pPr>
      <w:r>
        <w:rPr>
          <w:rStyle w:val="FootnoteReference"/>
          <w:vertAlign w:val="superscript"/>
        </w:rPr>
        <w:footnoteRef/>
      </w:r>
      <w:r>
        <w:t xml:space="preserve"> </w:t>
      </w:r>
      <w:r>
        <w:t xml:space="preserve">A interação</w:t>
      </w:r>
      <w:r>
        <w:t xml:space="preserve"> </w:t>
      </w:r>
      <w:r>
        <w:rPr>
          <w:rStyle w:val="VerbatimChar"/>
        </w:rPr>
        <w:t xml:space="preserve">negro</w:t>
      </w:r>
      <m:oMath>
        <m:r>
          <m:rPr>
            <m:sty m:val="p"/>
          </m:rPr>
          <m:t>×</m:t>
        </m:r>
      </m:oMath>
      <w:r>
        <w:rPr>
          <w:rStyle w:val="VerbatimChar"/>
        </w:rPr>
        <w:t xml:space="preserve">sexo_fem</w:t>
      </w:r>
      <w:r>
        <w:t xml:space="preserve"> </w:t>
      </w:r>
      <w:r>
        <w:t xml:space="preserve">é</w:t>
      </w:r>
      <w:r>
        <w:t xml:space="preserve"> </w:t>
      </w:r>
      <w:r>
        <w:t xml:space="preserve">sub-aditiva</w:t>
      </w:r>
      <w:r>
        <w:t xml:space="preserve"> </w:t>
      </w:r>
      <w:r>
        <w:t xml:space="preserve">em todos os desfechos (OR </w:t>
      </w:r>
      <m:oMath>
        <m:r>
          <m:rPr>
            <m:sty m:val="p"/>
          </m:rPr>
          <m:t>=</m:t>
        </m:r>
        <m:r>
          <m:t>1</m:t>
        </m:r>
        <m:r>
          <m:rPr>
            <m:sty m:val="p"/>
          </m:rPr>
          <m:t>,</m:t>
        </m:r>
        <m:r>
          <m:t>10</m:t>
        </m:r>
      </m:oMath>
      <w:r>
        <w:t xml:space="preserve"> </w:t>
      </w:r>
      <w:r>
        <w:t xml:space="preserve">no acesso;</w:t>
      </w:r>
      <w:r>
        <w:t xml:space="preserve"> </w:t>
      </w:r>
      <m:oMath>
        <m:r>
          <m:rPr>
            <m:sty m:val="p"/>
          </m:rPr>
          <m:t>=</m:t>
        </m:r>
        <m:r>
          <m:t>1</m:t>
        </m:r>
        <m:r>
          <m:rPr>
            <m:sty m:val="p"/>
          </m:rPr>
          <m:t>,</m:t>
        </m:r>
        <m:r>
          <m:t>04</m:t>
        </m:r>
      </m:oMath>
      <w:r>
        <w:t xml:space="preserve"> </w:t>
      </w:r>
      <w:r>
        <w:t xml:space="preserve">no top 10%): a penalidade racial é um pouco menor entre</w:t>
      </w:r>
      <w:r>
        <w:t xml:space="preserve"> </w:t>
      </w:r>
      <w:r>
        <w:t xml:space="preserve">mulheres do que entre homens, o que atenua a soma sem desfazê-la.</w:t>
      </w:r>
    </w:p>
  </w:footnote>
  <w:footnote w:id="102">
    <w:p>
      <w:pPr>
        <w:pStyle w:val="FootnoteText"/>
      </w:pPr>
      <w:r>
        <w:rPr>
          <w:rStyle w:val="FootnoteReference"/>
          <w:vertAlign w:val="superscript"/>
        </w:rPr>
        <w:footnoteRef/>
      </w:r>
      <w:r>
        <w:t xml:space="preserve"> </w:t>
      </w:r>
      <w:r>
        <w:t xml:space="preserve">Profundidade 10, com</w:t>
      </w:r>
      <w: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t xml:space="preserve"> </w:t>
      </w:r>
      <w:r>
        <w:t xml:space="preserve">entre os</w:t>
      </w:r>
      <w:r>
        <w:t xml:space="preserve"> </w:t>
      </w:r>
      <w:r>
        <w:t xml:space="preserve">folds</w:t>
      </w:r>
      <w:r>
        <w:t xml:space="preserve">, contra</w:t>
      </w:r>
      <w:r>
        <w:t xml:space="preserve"> </w:t>
      </w:r>
      <w:r>
        <w:t xml:space="preserve">0,6294</w:t>
      </w:r>
      <w:r>
        <w:t xml:space="preserve"> </w:t>
      </w:r>
      <m:oMath>
        <m:r>
          <m:rPr>
            <m:sty m:val="p"/>
          </m:rPr>
          <m:t>±</m:t>
        </m:r>
      </m:oMath>
      <w:r>
        <w:t xml:space="preserve"> </w:t>
      </w:r>
      <w:r>
        <w:t xml:space="preserve">0,0006 da profundidade 6 de referência, sobre</w:t>
      </w:r>
      <w:r>
        <w:t xml:space="preserve"> </w:t>
      </w:r>
      <w:r>
        <w:t xml:space="preserve">6.159.418 observações de treino.</w:t>
      </w:r>
    </w:p>
  </w:footnote>
  <w:footnote w:id="104">
    <w:p>
      <w:pPr>
        <w:pStyle w:val="FootnoteText"/>
      </w:pPr>
      <w:r>
        <w:rPr>
          <w:rStyle w:val="FootnoteReference"/>
          <w:vertAlign w:val="superscript"/>
        </w:rPr>
        <w:footnoteRef/>
      </w:r>
      <w:r>
        <w:t xml:space="preserve"> </w:t>
      </w:r>
      <w:r>
        <w:t xml:space="preserve">População completa,</w:t>
      </w:r>
      <w:r>
        <w:t xml:space="preserve"> </w:t>
      </w:r>
      <m:oMath>
        <m:r>
          <m:t>N</m:t>
        </m:r>
        <m:r>
          <m:rPr>
            <m:sty m:val="p"/>
          </m:rPr>
          <m:t>=</m:t>
        </m:r>
        <m:r>
          <m:t>7.699</m:t>
        </m:r>
        <m:r>
          <m:t>.273</m:t>
        </m:r>
      </m:oMath>
      <w:r>
        <w:t xml:space="preserve">, com 80% para</w:t>
      </w:r>
      <w:r>
        <w:t xml:space="preserve"> </w:t>
      </w:r>
      <w:r>
        <w:t xml:space="preserve">treino e 20% para teste; o mesmo</w:t>
      </w:r>
      <w:r>
        <w:t xml:space="preserve"> </w:t>
      </w:r>
      <w:r>
        <w:t xml:space="preserve">gap</w:t>
      </w:r>
      <w:r>
        <w:t xml:space="preserve"> </w:t>
      </w:r>
      <w:r>
        <w:t xml:space="preserve">aparece no Random Forest.</w:t>
      </w:r>
    </w:p>
  </w:footnote>
  <w:footnote w:id="110">
    <w:p>
      <w:pPr>
        <w:pStyle w:val="FootnoteText"/>
      </w:pPr>
      <w:r>
        <w:rPr>
          <w:rStyle w:val="FootnoteReference"/>
          <w:vertAlign w:val="superscript"/>
        </w:rPr>
        <w:footnoteRef/>
      </w:r>
      <w:r>
        <w:t xml:space="preserve"> </w:t>
      </w:r>
      <w:r>
        <w:t xml:space="preserve">15</w:t>
      </w:r>
      <w:r>
        <w:rPr>
          <w:vertAlign w:val="superscript"/>
        </w:rPr>
        <w:t xml:space="preserve">a</w:t>
      </w:r>
      <w:r>
        <w:t xml:space="preserve"> </w:t>
      </w:r>
      <w:r>
        <w:t xml:space="preserve">de 27 variáveis no modelo sem renda de vizinhança, contra</w:t>
      </w:r>
      <w:r>
        <w:t xml:space="preserve"> </w:t>
      </w:r>
      <w:r>
        <w:t xml:space="preserve">14</w:t>
      </w:r>
      <w:r>
        <w:rPr>
          <w:vertAlign w:val="superscript"/>
        </w:rPr>
        <w:t xml:space="preserve">a</w:t>
      </w:r>
      <w:r>
        <w:t xml:space="preserve"> </w:t>
      </w:r>
      <w:r>
        <w:t xml:space="preserve">de 28 no modelo completo.</w:t>
      </w:r>
    </w:p>
  </w:footnote>
  <w:footnote w:id="111">
    <w:p>
      <w:pPr>
        <w:pStyle w:val="FootnoteText"/>
      </w:pPr>
      <w:r>
        <w:rPr>
          <w:rStyle w:val="FootnoteReference"/>
          <w:vertAlign w:val="superscript"/>
        </w:rPr>
        <w:footnoteRef/>
      </w:r>
      <w:r>
        <w:t xml:space="preserve"> </w:t>
      </w:r>
      <w:r>
        <w:t xml:space="preserve">Contribuição média da variável racial à previsão, com sinal:</w:t>
      </w:r>
      <w:r>
        <w:t xml:space="preserve"> </w:t>
      </w:r>
      <m:oMath>
        <m:r>
          <m:rPr>
            <m:sty m:val="p"/>
          </m:rPr>
          <m:t>−</m:t>
        </m:r>
        <m:r>
          <m:t>0</m:t>
        </m:r>
        <m:r>
          <m:rPr>
            <m:sty m:val="p"/>
          </m:rPr>
          <m:t>,</m:t>
        </m:r>
        <m:r>
          <m:t>0241</m:t>
        </m:r>
      </m:oMath>
      <w:r>
        <w:t xml:space="preserve"> </w:t>
      </w:r>
      <w:r>
        <w:t xml:space="preserve">log-pontos entre os negros e</w:t>
      </w:r>
      <w:r>
        <w:t xml:space="preserve"> </w:t>
      </w:r>
      <m:oMath>
        <m:r>
          <m:rPr>
            <m:sty m:val="p"/>
          </m:rPr>
          <m:t>+</m:t>
        </m:r>
        <m:r>
          <m:t>0</m:t>
        </m:r>
        <m:r>
          <m:rPr>
            <m:sty m:val="p"/>
          </m:rPr>
          <m:t>,</m:t>
        </m:r>
        <m:r>
          <m:t>0299</m:t>
        </m:r>
      </m:oMath>
      <w:r>
        <w:t xml:space="preserve"> </w:t>
      </w:r>
      <w:r>
        <w:t xml:space="preserve">entre os brancos (XGBoost,</w:t>
      </w:r>
      <w:r>
        <w:t xml:space="preserve"> </w:t>
      </w:r>
      <m:oMath>
        <m:sSub>
          <m:e>
            <m:r>
              <m:t>N</m:t>
            </m:r>
          </m:e>
          <m:sub>
            <m:r>
              <m:rPr>
                <m:nor/>
                <m:sty m:val="p"/>
              </m:rPr>
              <m:t>SHAP</m:t>
            </m:r>
          </m:sub>
        </m:sSub>
        <m:r>
          <m:rPr>
            <m:sty m:val="p"/>
          </m:rPr>
          <m:t>=</m:t>
        </m:r>
        <m:r>
          <m:t>50.000</m:t>
        </m:r>
      </m:oMath>
      <w:r>
        <w:t xml:space="preserve">;</w:t>
      </w:r>
      <w:r>
        <w:t xml:space="preserve"> </w:t>
      </w:r>
      <w:r>
        <w:rPr>
          <w:rStyle w:val="VerbatimChar"/>
        </w:rPr>
        <w:t xml:space="preserve">shap_negro_por_grupo.csv</w:t>
      </w:r>
      <w:r>
        <w:t xml:space="preserve">). A média de um</w:t>
      </w:r>
      <w:r>
        <w:t xml:space="preserve"> </w:t>
      </w:r>
      <w:r>
        <w:t xml:space="preserve">grupo mede o desvio em relação à previsão média da base, que mistura os dois; o</w:t>
      </w:r>
      <w:r>
        <w:t xml:space="preserve"> </w:t>
      </w:r>
      <w:r>
        <w:t xml:space="preserve">que corresponde ao coeficiente racial das regressões é o contraste entre elas.</w:t>
      </w:r>
    </w:p>
  </w:footnote>
  <w:footnote w:id="121">
    <w:p>
      <w:pPr>
        <w:pStyle w:val="FootnoteText"/>
      </w:pPr>
      <w:r>
        <w:rPr>
          <w:rStyle w:val="FootnoteReference"/>
          <w:vertAlign w:val="superscript"/>
        </w:rPr>
        <w:footnoteRef/>
      </w:r>
      <w:r>
        <w:t xml:space="preserve"> </w:t>
      </w:r>
      <w:r>
        <w:t xml:space="preserve">Calculado sobre a população completa da PEA com renda positiva. Dos</w:t>
      </w:r>
      <w:r>
        <w:t xml:space="preserve"> </w:t>
      </w:r>
      <m:oMath>
        <m:r>
          <m:t>23</m:t>
        </m:r>
      </m:oMath>
      <w:r>
        <w:t xml:space="preserve"> </w:t>
      </w:r>
      <w:r>
        <w:t xml:space="preserve">preditores analisados, VIF máximo </w:t>
      </w:r>
      <m:oMath>
        <m:r>
          <m:rPr>
            <m:sty m:val="p"/>
          </m:rPr>
          <m:t>=</m:t>
        </m:r>
        <m:r>
          <m:t>2</m:t>
        </m:r>
        <m:r>
          <m:rPr>
            <m:sty m:val="p"/>
          </m:rPr>
          <m:t>,</m:t>
        </m:r>
        <m:r>
          <m:t>66</m:t>
        </m:r>
      </m:oMath>
      <w:r>
        <w:t xml:space="preserve"> </w:t>
      </w:r>
      <w:r>
        <w:t xml:space="preserve">(CBO: Profissionais); 0 variáveis críticas</w:t>
      </w:r>
      <w:r>
        <w:t xml:space="preserve"> </w:t>
      </w:r>
      <w:r>
        <w:t xml:space="preserve">(VIF </w:t>
      </w:r>
      <m:oMath>
        <m:r>
          <m:rPr>
            <m:sty m:val="p"/>
          </m:rPr>
          <m:t>&gt;</m:t>
        </m:r>
        <m:r>
          <m:t>10</m:t>
        </m:r>
      </m:oMath>
      <w:r>
        <w:t xml:space="preserve">); 0 variáveis altas (</w:t>
      </w:r>
      <m:oMath>
        <m:r>
          <m:t>5</m:t>
        </m:r>
      </m:oMath>
      <w:r>
        <w:t xml:space="preserve">–</w:t>
      </w:r>
      <m:oMath>
        <m:r>
          <m:t>10</m:t>
        </m:r>
      </m:oMath>
      <w:r>
        <w:t xml:space="preserve">);</w:t>
      </w:r>
      <w:r>
        <w:t xml:space="preserve"> </w:t>
      </w:r>
      <w:r>
        <w:t xml:space="preserve">6 variáveis moderadas (</w:t>
      </w:r>
      <m:oMath>
        <m:r>
          <m:t>2</m:t>
        </m:r>
      </m:oMath>
      <w:r>
        <w:t xml:space="preserve">–</w:t>
      </w:r>
      <m:oMath>
        <m:r>
          <m:t>5</m:t>
        </m:r>
      </m:oMath>
      <w:r>
        <w:t xml:space="preserve">);</w:t>
      </w:r>
      <w:r>
        <w:t xml:space="preserve"> </w:t>
      </w:r>
      <w:r>
        <w:t xml:space="preserve">17 variáveis baixas (</w:t>
      </w:r>
      <m:oMath>
        <m:r>
          <m:rPr>
            <m:sty m:val="p"/>
          </m:rPr>
          <m:t>&lt;</m:t>
        </m:r>
        <m:r>
          <m:t>2</m:t>
        </m:r>
      </m:oMath>
      <w:r>
        <w:t xml:space="preserve">).</w:t>
      </w:r>
    </w:p>
  </w:footnote>
  <w:footnote w:id="123">
    <w:p>
      <w:pPr>
        <w:pStyle w:val="FootnoteText"/>
      </w:pPr>
      <w:r>
        <w:rPr>
          <w:rStyle w:val="FootnoteReference"/>
          <w:vertAlign w:val="superscript"/>
        </w:rPr>
        <w:footnoteRef/>
      </w:r>
      <w:r>
        <w:t xml:space="preserve"> </w:t>
      </w:r>
      <w:r>
        <w:t xml:space="preserve">Índice de Perda de Qualidade de Vida (IPQV; quanto maior, pior) de 0</w:t>
      </w:r>
      <w:r>
        <w:t xml:space="preserve">,</w:t>
      </w:r>
      <w:r>
        <w:t xml:space="preserve">183 para chefes pretos ou pardos, contra 0</w:t>
      </w:r>
      <w:r>
        <w:t xml:space="preserve">,</w:t>
      </w:r>
      <w:r>
        <w:t xml:space="preserve">122 para brancos; Gini do rendimento domiciliar</w:t>
      </w:r>
      <w:r>
        <w:t xml:space="preserve"> </w:t>
      </w:r>
      <w:r>
        <w:t xml:space="preserve">per capita</w:t>
      </w:r>
      <w:r>
        <w:t xml:space="preserve"> </w:t>
      </w:r>
      <w:r>
        <w:t xml:space="preserve">de 0</w:t>
      </w:r>
      <w:r>
        <w:t xml:space="preserve">,</w:t>
      </w:r>
      <w:r>
        <w:t xml:space="preserve">491 em 2025</w:t>
      </w:r>
      <w:r>
        <w:t xml:space="preserve"> </w:t>
      </w:r>
      <w:r>
        <w:t xml:space="preserve">(IBGE, 2019, 2025)</w:t>
      </w:r>
      <w:r>
        <w:t xml:space="preserve">.</w:t>
      </w:r>
    </w:p>
  </w:footnote>
  <w:footnote w:id="124">
    <w:p>
      <w:pPr>
        <w:pStyle w:val="FootnoteText"/>
      </w:pPr>
      <w:r>
        <w:rPr>
          <w:rStyle w:val="FootnoteReference"/>
          <w:vertAlign w:val="superscript"/>
        </w:rPr>
        <w:footnoteRef/>
      </w:r>
      <w:r>
        <w:t xml:space="preserve"> </w:t>
      </w:r>
      <w:r>
        <w:t xml:space="preserve">O Gini estimado neste trabalho refere-se ao rendimento do trabalho entre ocupados (em torno de 0</w:t>
      </w:r>
      <w:r>
        <w:t xml:space="preserve">,</w:t>
      </w:r>
      <w:r>
        <w:t xml:space="preserve">47), ao passo que o do IBGE é domiciliar</w:t>
      </w:r>
      <w:r>
        <w:t xml:space="preserve"> </w:t>
      </w:r>
      <w:r>
        <w:t xml:space="preserve">per capita</w:t>
      </w:r>
      <w:r>
        <w:t xml:space="preserve"> </w:t>
      </w:r>
      <w:r>
        <w:t xml:space="preserve">e de todas as fontes. Os níveis são próximos, mas as medidas podem divergir em tendência: a alta de 2025 é puxada por renda não-trabalho do topo, que não transita pelo rendimento dos ocupados.</w:t>
      </w:r>
    </w:p>
  </w:footnote>
  <w:footnote w:id="125">
    <w:p>
      <w:pPr>
        <w:pStyle w:val="FootnoteText"/>
      </w:pPr>
      <w:r>
        <w:rPr>
          <w:rStyle w:val="FootnoteReference"/>
          <w:vertAlign w:val="superscript"/>
        </w:rPr>
        <w:footnoteRef/>
      </w:r>
      <w:r>
        <w:t xml:space="preserve"> </w:t>
      </w:r>
      <m:oMath>
        <m:r>
          <m:t>δ</m:t>
        </m:r>
        <m:r>
          <m:rPr>
            <m:sty m:val="p"/>
          </m:rPr>
          <m:t>=</m:t>
        </m:r>
        <m:r>
          <m:t>0</m:t>
        </m:r>
        <m:r>
          <m:rPr>
            <m:sty m:val="p"/>
          </m:rPr>
          <m:t>,</m:t>
        </m:r>
        <m:r>
          <m:t>000928</m:t>
        </m:r>
      </m:oMath>
      <w:r>
        <w:t xml:space="preserve"> </w:t>
      </w:r>
      <w:r>
        <w:t xml:space="preserve">log-ponto por ano, IC 95%</w:t>
      </w:r>
      <w:r>
        <w:t xml:space="preserve"> </w:t>
      </w:r>
      <m:oMath>
        <m:r>
          <m:rPr>
            <m:sty m:val="p"/>
          </m:rPr>
          <m:t>[</m:t>
        </m:r>
        <m:r>
          <m:t>0</m:t>
        </m:r>
        <m:r>
          <m:rPr>
            <m:sty m:val="p"/>
          </m:rPr>
          <m:t>,</m:t>
        </m:r>
        <m:r>
          <m:t>000133</m:t>
        </m:r>
        <m:r>
          <m:rPr>
            <m:sty m:val="p"/>
          </m:rPr>
          <m:t>;</m:t>
        </m:r>
        <m:r>
          <m:t> </m:t>
        </m:r>
        <m:r>
          <m:t>0</m:t>
        </m:r>
        <m:r>
          <m:rPr>
            <m:sty m:val="p"/>
          </m:rPr>
          <m:t>,</m:t>
        </m:r>
        <m:r>
          <m:t>001723</m:t>
        </m:r>
        <m:r>
          <m:rPr>
            <m:sty m:val="p"/>
          </m:rPr>
          <m:t>]</m:t>
        </m:r>
      </m:oMath>
      <w:r>
        <w:t xml:space="preserve">,</w:t>
      </w:r>
      <w:r>
        <w:t xml:space="preserve"> </w:t>
      </w:r>
      <m:oMath>
        <m:r>
          <m:t>p</m:t>
        </m:r>
        <m:r>
          <m:rPr>
            <m:sty m:val="p"/>
          </m:rPr>
          <m:t>=</m:t>
        </m:r>
        <m:r>
          <m:t>0</m:t>
        </m:r>
        <m:r>
          <m:rPr>
            <m:sty m:val="p"/>
          </m:rPr>
          <m:t>,</m:t>
        </m:r>
        <m:r>
          <m:t>027</m:t>
        </m:r>
      </m:oMath>
      <w:r>
        <w:t xml:space="preserve">, por mínimos quadrados ponderados sobre o</w:t>
      </w:r>
      <w:r>
        <w:t xml:space="preserve"> </w:t>
      </w:r>
      <m:oMath>
        <m:sSub>
          <m:e>
            <m:acc>
              <m:accPr>
                <m:chr m:val="̂"/>
              </m:accPr>
              <m:e>
                <m:r>
                  <m:t>β</m:t>
                </m:r>
              </m:e>
            </m:acc>
          </m:e>
          <m:sub>
            <m:r>
              <m:rPr>
                <m:nor/>
                <m:sty m:val="p"/>
              </m:rPr>
              <m:t>negro</m:t>
            </m:r>
          </m:sub>
        </m:sSub>
      </m:oMath>
      <w:r>
        <w:t xml:space="preserve"> </w:t>
      </w:r>
      <w: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4" Type="http://schemas.openxmlformats.org/officeDocument/2006/relationships/image" Target="media/rId74.png"/><Relationship Id="rId58" Type="http://schemas.openxmlformats.org/officeDocument/2006/relationships/image" Target="media/rId58.png"/><Relationship Id="rId64" Type="http://schemas.openxmlformats.org/officeDocument/2006/relationships/image" Target="media/rId64.png"/><Relationship Id="rId84" Type="http://schemas.openxmlformats.org/officeDocument/2006/relationships/image" Target="media/rId84.png"/><Relationship Id="rId92" Type="http://schemas.openxmlformats.org/officeDocument/2006/relationships/image" Target="media/rId92.png"/><Relationship Id="rId43" Type="http://schemas.openxmlformats.org/officeDocument/2006/relationships/image" Target="media/rId43.png"/><Relationship Id="rId51" Type="http://schemas.openxmlformats.org/officeDocument/2006/relationships/image" Target="media/rId51.png"/><Relationship Id="rId47" Type="http://schemas.openxmlformats.org/officeDocument/2006/relationships/image" Target="media/rId47.png"/><Relationship Id="rId106" Type="http://schemas.openxmlformats.org/officeDocument/2006/relationships/image" Target="media/rId106.png"/><Relationship Id="rId112" Type="http://schemas.openxmlformats.org/officeDocument/2006/relationships/image" Target="media/rId112.png"/><Relationship Id="rId115" Type="http://schemas.openxmlformats.org/officeDocument/2006/relationships/image" Target="media/rId115.png"/><Relationship Id="rId147" Type="http://schemas.openxmlformats.org/officeDocument/2006/relationships/hyperlink" Target="https://doi.org/10.1145/2939672.2939785" TargetMode="External"/><Relationship Id="rId173"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47" Type="http://schemas.openxmlformats.org/officeDocument/2006/relationships/hyperlink" Target="https://doi.org/10.1145/2939672.2939785" TargetMode="External"/><Relationship Id="rId173"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2026-10-05T00:15:48Z</dcterms:created>
  <dcterms:modified xsi:type="dcterms:W3CDTF">2026-10-05T00:15:48Z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C:\Users\user\Documents\ProjetoRacismoPNAD\relatorio_tcc.bib</vt:lpwstr>
  </property>
  <property fmtid="{D5CDD505-2E9C-101B-9397-08002B2CF9AE}" pid="3" name="csl">
    <vt:lpwstr>C:\Users\user\Documents\ProjetoRacismoPNAD\tcc\scripts\abnt.csl</vt:lpwstr>
  </property>
</Properties>
</file>