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−4,73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19,7% a 2,1% (Figura 5). Segundo, o ESTADO não dissolve a barreira: o setor público atenua o gap SALARIAL racial (7,7% vs 11,1% no privado) e o homogeneíza entre UFs, mas NÃO atenua a barreira de ACESSO (OR=0,705 vs 0,698) — o concurso equaliza a remuneração de quem entra, não a entrada. Terceiro, o GÊNERO segue padrão próprio e complementar: mulheres acessam mais ocupações qualificadas (OR=1,99) mas muito menos o topo de renda (OR=0,518)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Hipóteses complementares: o papel ambíguo do Estado</w:t>
      </w:r>
    </w:p>
    <w:p>
      <w:pPr>
        <w:ind w:firstLine="709"/>
        <w:jc w:val="both"/>
      </w:pPr>
      <w:r>
        <w:t>Um conjunto de hipóteses adicionais testa diretamente a hipótese alternativa de que o Estado promoveria — ou, ao menos, não dissolveria — a desigualdade racial. Os resultados são ambíguos e refinam a tese central. Como indutor de igualdade GERAL, o Estado funciona: o setor público reduz levemente a desigualdade de renda (índice de Gini inferior ao do privado; H1). Mas como dissolvente da barreira RACIAL, não: embora o público atenue o gap racial (H2, Figura 6) — coerente com a camada sistêmica anterior —, ele PIORA o gap de gênero (−21,2% no público contra −18,9% no privado; H3): o concurso equaliza a entrada, mas a promoção às posições de liderança reflete, ou amplifica, os vieses do setor privado. No agregado (H4), o país combina pleno emprego histórico com renda real estagnada — produz ocupação, não prosperidade igualitária. E a armadilha da qualificação persiste (H5): a proporção de trabalhadores negros em ocupações de alta qualificação (≈11%) é cerca de metade da de brancos (≈22%), gap estável na década. Em síntese, o Estado mitiga a desigualdade GERAL, mas não a RACIAL — sustentando parcialmente a hipótese alternativa e reforçando o caráter sistêmico do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755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Hipóteses do Estado (H2/H3): gap racial e de gênero por setor (gaps controlados) — o público atenua o racial, mas agrava o de gênero.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7), coerente com o fato de a maior barreira ser de acesso. A versão regionalizada mostra, ainda, que concentrar o orçamento nas UFs de maior penalidade (lideradas por DF, 20,8%)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7.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Granularidade da SNA. A PNAD não coleta vínculos interpessoais; a rede é de GRUPOS demográficos conectados por co-residência na UPA, não de indivíduos. Betweenness e constraint devem ser lidos como posição estrutural de grupos no espaço da segregação residencial — o andaime macroestrutural da formação de redes —, e não como intermediação interpessoal medida.</w:t>
      </w:r>
    </w:p>
    <w:p>
      <w:pPr>
        <w:ind w:firstLine="709"/>
        <w:jc w:val="both"/>
      </w:pPr>
      <w:r>
        <w:t>Caráter normativo da PO. TOPSIS e programação linear são ferramentas prescritivas, dependentes de pesos de critério e premissas de efetividade; indicam priorização condicional a essas premissas e requerem validação empírica no contexto brasileiro.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