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pPr>
        <w:pStyle w:val="Heading2"/>
        <w:spacing w:before="240" w:after="120"/>
      </w:pPr>
      <w:r>
        <w:rPr>
          <w:rFonts w:ascii="Arial" w:hAnsi="Arial"/>
          <w:b/>
          <w:color w:val="000000"/>
          <w:sz w:val="26"/>
        </w:rPr>
        <w:t>4.1g Interseccionalidade raça×gênero: acesso vs. topo da renda</w:t>
      </w:r>
    </w:p>
    <w:p>
      <w:pPr>
        <w:spacing w:after="120" w:lineRule="auto" w:line="360"/>
        <w:ind w:firstLine="709"/>
        <w:jc w:val="both"/>
      </w:pPr>
      <w:r>
        <w:rPr>
          <w:rFonts w:ascii="Times New Roman" w:hAnsi="Times New Roman"/>
          <w:b w:val="0"/>
          <w:i w:val="0"/>
          <w:sz w:val="24"/>
        </w:rPr>
        <w:t>Os modelos anteriores tratam raça e gênero de forma aditiva. Uma leitura interseccional pergunta se a desvantagem de ser negra e mulher é a soma das partes. Reespecificamos o GLMM de acesso com um fator de quatro grupos (grupo_rg: homem branco [referência], mulher branca, homem negro, mulher negra) e a interação negro×sexo_fem, em três desfechos: acesso a ocupação qualificada (CBO 1–4), renda no top 20% e no top 10%.</w:t>
      </w:r>
    </w:p>
    <w:p>
      <w:pPr>
        <w:spacing w:before="120"/>
        <w:jc w:val="center"/>
      </w:pPr>
      <w:r>
        <w:drawing>
          <wp:inline xmlns:a="http://schemas.openxmlformats.org/drawingml/2006/main" xmlns:pic="http://schemas.openxmlformats.org/drawingml/2006/picture">
            <wp:extent cx="5040000" cy="3332732"/>
            <wp:docPr id="19" name="Picture 19"/>
            <wp:cNvGraphicFramePr>
              <a:graphicFrameLocks noChangeAspect="1"/>
            </wp:cNvGraphicFramePr>
            <a:graphic>
              <a:graphicData uri="http://schemas.openxmlformats.org/drawingml/2006/picture">
                <pic:pic>
                  <pic:nvPicPr>
                    <pic:cNvPr id="0" name="grupo_rg_interseccional.png"/>
                    <pic:cNvPicPr/>
                  </pic:nvPicPr>
                  <pic:blipFill>
                    <a:blip r:embed="rId27"/>
                    <a:stretch>
                      <a:fillRect/>
                    </a:stretch>
                  </pic:blipFill>
                  <pic:spPr>
                    <a:xfrm>
                      <a:off x="0" y="0"/>
                      <a:ext cx="5040000" cy="3332732"/>
                    </a:xfrm>
                    <a:prstGeom prst="rect"/>
                  </pic:spPr>
                </pic:pic>
              </a:graphicData>
            </a:graphic>
          </wp:inline>
        </w:drawing>
      </w:r>
    </w:p>
    <w:p>
      <w:pPr>
        <w:spacing w:before="40" w:after="200"/>
        <w:jc w:val="center"/>
      </w:pPr>
      <w:r>
        <w:rPr>
          <w:rFonts w:ascii="Arial" w:hAnsi="Arial"/>
          <w:b w:val="0"/>
          <w:sz w:val="20"/>
        </w:rPr>
        <w:t>Figura – Razões de chance dos quatro grupos raça×gênero vs. homem branco, em três desfechos. A mulher negra é alçada no acesso à categoria, mas torna-se a mais excluída no topo da renda.</w:t>
      </w:r>
    </w:p>
    <w:p>
      <w:pPr>
        <w:spacing w:after="120" w:lineRule="auto" w:line="360"/>
        <w:ind w:firstLine="709"/>
        <w:jc w:val="both"/>
      </w:pPr>
      <w:r>
        <w:rPr>
          <w:rFonts w:ascii="Times New Roman" w:hAnsi="Times New Roman"/>
          <w:b w:val="0"/>
          <w:i w:val="0"/>
          <w:sz w:val="24"/>
        </w:rPr>
        <w:t>O resultado revela uma inversão. No acesso à categoria qualificada, a mulher negra tem OR=1,33 — acima do homem branco —, porque o efeito de gênero é positivo nesse desfecho (profissões credenciadas feminizadas, em CBO 1–4); o grupo mais penalizado é o homem negro (OR=0,65). No topo da renda, porém, o quadro inverte: a mulher negra passa a ser a mais excluída de todos — OR=0,34 no decil superior, abaixo da mulher branca (0,49) e do homem negro (0,65). A interação negro×sexo_fem é sub-aditiva em todos os desfechos (OR=1,14 no acesso; 1,07 no top 10%): a penalidade racial é ligeiramente menor entre mulheres, mas isso não impede que a mulher negra acumule a barreira racial e o teto de vidro de gênero exatamente onde mais importa para a ascensão — o topo da distribuição. O teto de vidro, portanto, não é racial nem sexualmente neutro: recai com força máxima sobre a mulher negra, que pode entrar em ocupações qualificadas, mas é sistematicamente barrada de chegar ao topo da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20" name="Picture 20"/>
            <wp:cNvGraphicFramePr>
              <a:graphicFrameLocks noChangeAspect="1"/>
            </wp:cNvGraphicFramePr>
            <a:graphic>
              <a:graphicData uri="http://schemas.openxmlformats.org/drawingml/2006/picture">
                <pic:pic>
                  <pic:nvPicPr>
                    <pic:cNvPr id="0" name="kmeans_perfis_k3.png"/>
                    <pic:cNvPicPr/>
                  </pic:nvPicPr>
                  <pic:blipFill>
                    <a:blip r:embed="rId28"/>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1" name="Picture 21"/>
            <wp:cNvGraphicFramePr>
              <a:graphicFrameLocks noChangeAspect="1"/>
            </wp:cNvGraphicFramePr>
            <a:graphic>
              <a:graphicData uri="http://schemas.openxmlformats.org/drawingml/2006/picture">
                <pic:pic>
                  <pic:nvPicPr>
                    <pic:cNvPr id="0" name="kmeans_gap_racial_k3.png"/>
                    <pic:cNvPicPr/>
                  </pic:nvPicPr>
                  <pic:blipFill>
                    <a:blip r:embed="rId29"/>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2" name="Picture 22"/>
            <wp:cNvGraphicFramePr>
              <a:graphicFrameLocks noChangeAspect="1"/>
            </wp:cNvGraphicFramePr>
            <a:graphic>
              <a:graphicData uri="http://schemas.openxmlformats.org/drawingml/2006/picture">
                <pic:pic>
                  <pic:nvPicPr>
                    <pic:cNvPr id="0" name="shap_beeswarm_xgb.png"/>
                    <pic:cNvPicPr/>
                  </pic:nvPicPr>
                  <pic:blipFill>
                    <a:blip r:embed="rId30"/>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3" name="Picture 23"/>
            <wp:cNvGraphicFramePr>
              <a:graphicFrameLocks noChangeAspect="1"/>
            </wp:cNvGraphicFramePr>
            <a:graphic>
              <a:graphicData uri="http://schemas.openxmlformats.org/drawingml/2006/picture">
                <pic:pic>
                  <pic:nvPicPr>
                    <pic:cNvPr id="0" name="shap_dependence_negro_xgb.png"/>
                    <pic:cNvPicPr/>
                  </pic:nvPicPr>
                  <pic:blipFill>
                    <a:blip r:embed="rId31"/>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4" name="Picture 24"/>
            <wp:cNvGraphicFramePr>
              <a:graphicFrameLocks noChangeAspect="1"/>
            </wp:cNvGraphicFramePr>
            <a:graphic>
              <a:graphicData uri="http://schemas.openxmlformats.org/drawingml/2006/picture">
                <pic:pic>
                  <pic:nvPicPr>
                    <pic:cNvPr id="0" name="shap_waterfall_A_branco_alta_renda_xgb.png"/>
                    <pic:cNvPicPr/>
                  </pic:nvPicPr>
                  <pic:blipFill>
                    <a:blip r:embed="rId32"/>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5" name="Picture 25"/>
            <wp:cNvGraphicFramePr>
              <a:graphicFrameLocks noChangeAspect="1"/>
            </wp:cNvGraphicFramePr>
            <a:graphic>
              <a:graphicData uri="http://schemas.openxmlformats.org/drawingml/2006/picture">
                <pic:pic>
                  <pic:nvPicPr>
                    <pic:cNvPr id="0" name="shap_waterfall_B_negro_alta_renda_xgb.png"/>
                    <pic:cNvPicPr/>
                  </pic:nvPicPr>
                  <pic:blipFill>
                    <a:blip r:embed="rId33"/>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6" name="Picture 26"/>
            <wp:cNvGraphicFramePr>
              <a:graphicFrameLocks noChangeAspect="1"/>
            </wp:cNvGraphicFramePr>
            <a:graphic>
              <a:graphicData uri="http://schemas.openxmlformats.org/drawingml/2006/picture">
                <pic:pic>
                  <pic:nvPicPr>
                    <pic:cNvPr id="0" name="shap_waterfall_C_negro_baixa_renda_xgb.png"/>
                    <pic:cNvPicPr/>
                  </pic:nvPicPr>
                  <pic:blipFill>
                    <a:blip r:embed="rId34"/>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7" name="Picture 27"/>
            <wp:cNvGraphicFramePr>
              <a:graphicFrameLocks noChangeAspect="1"/>
            </wp:cNvGraphicFramePr>
            <a:graphic>
              <a:graphicData uri="http://schemas.openxmlformats.org/drawingml/2006/picture">
                <pic:pic>
                  <pic:nvPicPr>
                    <pic:cNvPr id="0" name="sna_expandida_rede.png"/>
                    <pic:cNvPicPr/>
                  </pic:nvPicPr>
                  <pic:blipFill>
                    <a:blip r:embed="rId35"/>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8" name="Picture 28"/>
            <wp:cNvGraphicFramePr>
              <a:graphicFrameLocks noChangeAspect="1"/>
            </wp:cNvGraphicFramePr>
            <a:graphic>
              <a:graphicData uri="http://schemas.openxmlformats.org/drawingml/2006/picture">
                <pic:pic>
                  <pic:nvPicPr>
                    <pic:cNvPr id="0" name="sna_rede_demografica.png"/>
                    <pic:cNvPicPr/>
                  </pic:nvPicPr>
                  <pic:blipFill>
                    <a:blip r:embed="rId36"/>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9" name="Picture 29"/>
            <wp:cNvGraphicFramePr>
              <a:graphicFrameLocks noChangeAspect="1"/>
            </wp:cNvGraphicFramePr>
            <a:graphic>
              <a:graphicData uri="http://schemas.openxmlformats.org/drawingml/2006/picture">
                <pic:pic>
                  <pic:nvPicPr>
                    <pic:cNvPr id="0" name="sna_constraint_vs_renda.png"/>
                    <pic:cNvPicPr/>
                  </pic:nvPicPr>
                  <pic:blipFill>
                    <a:blip r:embed="rId37"/>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30" name="Picture 30"/>
            <wp:cNvGraphicFramePr>
              <a:graphicFrameLocks noChangeAspect="1"/>
            </wp:cNvGraphicFramePr>
            <a:graphic>
              <a:graphicData uri="http://schemas.openxmlformats.org/drawingml/2006/picture">
                <pic:pic>
                  <pic:nvPicPr>
                    <pic:cNvPr id="0" name="sna_homofilia_por_educ.png"/>
                    <pic:cNvPicPr/>
                  </pic:nvPicPr>
                  <pic:blipFill>
                    <a:blip r:embed="rId38"/>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1" name="Picture 31"/>
            <wp:cNvGraphicFramePr>
              <a:graphicFrameLocks noChangeAspect="1"/>
            </wp:cNvGraphicFramePr>
            <a:graphic>
              <a:graphicData uri="http://schemas.openxmlformats.org/drawingml/2006/picture">
                <pic:pic>
                  <pic:nvPicPr>
                    <pic:cNvPr id="0" name="sna_temporal_gap.png"/>
                    <pic:cNvPicPr/>
                  </pic:nvPicPr>
                  <pic:blipFill>
                    <a:blip r:embed="rId39"/>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2" name="Picture 32"/>
            <wp:cNvGraphicFramePr>
              <a:graphicFrameLocks noChangeAspect="1"/>
            </wp:cNvGraphicFramePr>
            <a:graphic>
              <a:graphicData uri="http://schemas.openxmlformats.org/drawingml/2006/picture">
                <pic:pic>
                  <pic:nvPicPr>
                    <pic:cNvPr id="0" name="predicoes_por_perfil.png"/>
                    <pic:cNvPicPr/>
                  </pic:nvPicPr>
                  <pic:blipFill>
                    <a:blip r:embed="rId40"/>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3" name="Picture 33"/>
            <wp:cNvGraphicFramePr>
              <a:graphicFrameLocks noChangeAspect="1"/>
            </wp:cNvGraphicFramePr>
            <a:graphic>
              <a:graphicData uri="http://schemas.openxmlformats.org/drawingml/2006/picture">
                <pic:pic>
                  <pic:nvPicPr>
                    <pic:cNvPr id="0" name="predicoes_contrafactual.png"/>
                    <pic:cNvPicPr/>
                  </pic:nvPicPr>
                  <pic:blipFill>
                    <a:blip r:embed="rId41"/>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4" name="Picture 34"/>
            <wp:cNvGraphicFramePr>
              <a:graphicFrameLocks noChangeAspect="1"/>
            </wp:cNvGraphicFramePr>
            <a:graphic>
              <a:graphicData uri="http://schemas.openxmlformats.org/drawingml/2006/picture">
                <pic:pic>
                  <pic:nvPicPr>
                    <pic:cNvPr id="0" name="oaxaca_decomposicao.png"/>
                    <pic:cNvPicPr/>
                  </pic:nvPicPr>
                  <pic:blipFill>
                    <a:blip r:embed="rId42"/>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5" name="Picture 35"/>
            <wp:cNvGraphicFramePr>
              <a:graphicFrameLocks noChangeAspect="1"/>
            </wp:cNvGraphicFramePr>
            <a:graphic>
              <a:graphicData uri="http://schemas.openxmlformats.org/drawingml/2006/picture">
                <pic:pic>
                  <pic:nvPicPr>
                    <pic:cNvPr id="0" name="oaxaca_coeficientes.png"/>
                    <pic:cNvPicPr/>
                  </pic:nvPicPr>
                  <pic:blipFill>
                    <a:blip r:embed="rId43"/>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6" name="Picture 36"/>
            <wp:cNvGraphicFramePr>
              <a:graphicFrameLocks noChangeAspect="1"/>
            </wp:cNvGraphicFramePr>
            <a:graphic>
              <a:graphicData uri="http://schemas.openxmlformats.org/drawingml/2006/picture">
                <pic:pic>
                  <pic:nvPicPr>
                    <pic:cNvPr id="0" name="oaxaca_por_variavel.png"/>
                    <pic:cNvPicPr/>
                  </pic:nvPicPr>
                  <pic:blipFill>
                    <a:blip r:embed="rId44"/>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ob_por_sexo.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8" name="Picture 38"/>
            <wp:cNvGraphicFramePr>
              <a:graphicFrameLocks noChangeAspect="1"/>
            </wp:cNvGraphicFramePr>
            <a:graphic>
              <a:graphicData uri="http://schemas.openxmlformats.org/drawingml/2006/picture">
                <pic:pic>
                  <pic:nvPicPr>
                    <pic:cNvPr id="0" name="ob_estabilidade_temporal.png"/>
                    <pic:cNvPicPr/>
                  </pic:nvPicPr>
                  <pic:blipFill>
                    <a:blip r:embed="rId46"/>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9" name="Picture 39"/>
            <wp:cNvGraphicFramePr>
              <a:graphicFrameLocks noChangeAspect="1"/>
            </wp:cNvGraphicFramePr>
            <a:graphic>
              <a:graphicData uri="http://schemas.openxmlformats.org/drawingml/2006/picture">
                <pic:pic>
                  <pic:nvPicPr>
                    <pic:cNvPr id="0" name="fig4_gap_faixa_etaria.png"/>
                    <pic:cNvPicPr/>
                  </pic:nvPicPr>
                  <pic:blipFill>
                    <a:blip r:embed="rId47"/>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taxa_ocupacao.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1" name="Picture 41"/>
            <wp:cNvGraphicFramePr>
              <a:graphicFrameLocks noChangeAspect="1"/>
            </wp:cNvGraphicFramePr>
            <a:graphic>
              <a:graphicData uri="http://schemas.openxmlformats.org/drawingml/2006/picture">
                <pic:pic>
                  <pic:nvPicPr>
                    <pic:cNvPr id="0" name="segreg_renda_por_area.png"/>
                    <pic:cNvPicPr/>
                  </pic:nvPicPr>
                  <pic:blipFill>
                    <a:blip r:embed="rId4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2" name="Picture 42"/>
            <wp:cNvGraphicFramePr>
              <a:graphicFrameLocks noChangeAspect="1"/>
            </wp:cNvGraphicFramePr>
            <a:graphic>
              <a:graphicData uri="http://schemas.openxmlformats.org/drawingml/2006/picture">
                <pic:pic>
                  <pic:nvPicPr>
                    <pic:cNvPr id="0" name="segreg_gap_por_area.png"/>
                    <pic:cNvPicPr/>
                  </pic:nvPicPr>
                  <pic:blipFill>
                    <a:blip r:embed="rId50"/>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3" name="Picture 43"/>
            <wp:cNvGraphicFramePr>
              <a:graphicFrameLocks noChangeAspect="1"/>
            </wp:cNvGraphicFramePr>
            <a:graphic>
              <a:graphicData uri="http://schemas.openxmlformats.org/drawingml/2006/picture">
                <pic:pic>
                  <pic:nvPicPr>
                    <pic:cNvPr id="0" name="segregacao_gap_area_ci.png"/>
                    <pic:cNvPicPr/>
                  </pic:nvPicPr>
                  <pic:blipFill>
                    <a:blip r:embed="rId51"/>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4" name="Picture 44"/>
            <wp:cNvGraphicFramePr>
              <a:graphicFrameLocks noChangeAspect="1"/>
            </wp:cNvGraphicFramePr>
            <a:graphic>
              <a:graphicData uri="http://schemas.openxmlformats.org/drawingml/2006/picture">
                <pic:pic>
                  <pic:nvPicPr>
                    <pic:cNvPr id="0" name="segreg_temporal_metro_interior.png"/>
                    <pic:cNvPicPr/>
                  </pic:nvPicPr>
                  <pic:blipFill>
                    <a:blip r:embed="rId52"/>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5" name="Picture 45"/>
            <wp:cNvGraphicFramePr>
              <a:graphicFrameLocks noChangeAspect="1"/>
            </wp:cNvGraphicFramePr>
            <a:graphic>
              <a:graphicData uri="http://schemas.openxmlformats.org/drawingml/2006/picture">
                <pic:pic>
                  <pic:nvPicPr>
                    <pic:cNvPr id="0" name="comp_grupo_cbo_capital.png"/>
                    <pic:cNvPicPr/>
                  </pic:nvPicPr>
                  <pic:blipFill>
                    <a:blip r:embed="rId53"/>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6" name="Picture 46"/>
            <wp:cNvGraphicFramePr>
              <a:graphicFrameLocks noChangeAspect="1"/>
            </wp:cNvGraphicFramePr>
            <a:graphic>
              <a:graphicData uri="http://schemas.openxmlformats.org/drawingml/2006/picture">
                <pic:pic>
                  <pic:nvPicPr>
                    <pic:cNvPr id="0" name="comp_razao_grupo_cbo.png"/>
                    <pic:cNvPicPr/>
                  </pic:nvPicPr>
                  <pic:blipFill>
                    <a:blip r:embed="rId54"/>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7" name="Picture 47"/>
            <wp:cNvGraphicFramePr>
              <a:graphicFrameLocks noChangeAspect="1"/>
            </wp:cNvGraphicFramePr>
            <a:graphic>
              <a:graphicData uri="http://schemas.openxmlformats.org/drawingml/2006/picture">
                <pic:pic>
                  <pic:nvPicPr>
                    <pic:cNvPr id="0" name="comp_representacao_topo.png"/>
                    <pic:cNvPicPr/>
                  </pic:nvPicPr>
                  <pic:blipFill>
                    <a:blip r:embed="rId55"/>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8" name="Picture 48"/>
            <wp:cNvGraphicFramePr>
              <a:graphicFrameLocks noChangeAspect="1"/>
            </wp:cNvGraphicFramePr>
            <a:graphic>
              <a:graphicData uri="http://schemas.openxmlformats.org/drawingml/2006/picture">
                <pic:pic>
                  <pic:nvPicPr>
                    <pic:cNvPr id="0" name="comp_formalidade.png"/>
                    <pic:cNvPicPr/>
                  </pic:nvPicPr>
                  <pic:blipFill>
                    <a:blip r:embed="rId56"/>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9" name="Picture 49"/>
            <wp:cNvGraphicFramePr>
              <a:graphicFrameLocks noChangeAspect="1"/>
            </wp:cNvGraphicFramePr>
            <a:graphic>
              <a:graphicData uri="http://schemas.openxmlformats.org/drawingml/2006/picture">
                <pic:pic>
                  <pic:nvPicPr>
                    <pic:cNvPr id="0" name="comp_ratio_renda.png"/>
                    <pic:cNvPicPr/>
                  </pic:nvPicPr>
                  <pic:blipFill>
                    <a:blip r:embed="rId57"/>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50" name="Picture 50"/>
            <wp:cNvGraphicFramePr>
              <a:graphicFrameLocks noChangeAspect="1"/>
            </wp:cNvGraphicFramePr>
            <a:graphic>
              <a:graphicData uri="http://schemas.openxmlformats.org/drawingml/2006/picture">
                <pic:pic>
                  <pic:nvPicPr>
                    <pic:cNvPr id="0" name="logit_gap_bruto.png"/>
                    <pic:cNvPicPr/>
                  </pic:nvPicPr>
                  <pic:blipFill>
                    <a:blip r:embed="rId58"/>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1" name="Picture 51"/>
            <wp:cNvGraphicFramePr>
              <a:graphicFrameLocks noChangeAspect="1"/>
            </wp:cNvGraphicFramePr>
            <a:graphic>
              <a:graphicData uri="http://schemas.openxmlformats.org/drawingml/2006/picture">
                <pic:pic>
                  <pic:nvPicPr>
                    <pic:cNvPr id="0" name="glmm_glassceil_forest.png"/>
                    <pic:cNvPicPr/>
                  </pic:nvPicPr>
                  <pic:blipFill>
                    <a:blip r:embed="rId59"/>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da especificação de cobertura completa é 21,6% (M1) e 10,7% (M2) — abaixo do observado na amostra restrita de educ_ord, pois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2" name="Picture 52"/>
            <wp:cNvGraphicFramePr>
              <a:graphicFrameLocks noChangeAspect="1"/>
            </wp:cNvGraphicFramePr>
            <a:graphic>
              <a:graphicData uri="http://schemas.openxmlformats.org/drawingml/2006/picture">
                <pic:pic>
                  <pic:nvPicPr>
                    <pic:cNvPr id="0" name="glmm_glassceil_probpredita.png"/>
                    <pic:cNvPicPr/>
                  </pic:nvPicPr>
                  <pic:blipFill>
                    <a:blip r:embed="rId60"/>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3" name="Picture 53"/>
            <wp:cNvGraphicFramePr>
              <a:graphicFrameLocks noChangeAspect="1"/>
            </wp:cNvGraphicFramePr>
            <a:graphic>
              <a:graphicData uri="http://schemas.openxmlformats.org/drawingml/2006/picture">
                <pic:pic>
                  <pic:nvPicPr>
                    <pic:cNvPr id="0" name="logit_decomposicao_gap.png"/>
                    <pic:cNvPicPr/>
                  </pic:nvPicPr>
                  <pic:blipFill>
                    <a:blip r:embed="rId61"/>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4" name="Picture 54"/>
            <wp:cNvGraphicFramePr>
              <a:graphicFrameLocks noChangeAspect="1"/>
            </wp:cNvGraphicFramePr>
            <a:graphic>
              <a:graphicData uri="http://schemas.openxmlformats.org/drawingml/2006/picture">
                <pic:pic>
                  <pic:nvPicPr>
                    <pic:cNvPr id="0" name="quantreg_trajetoria.png"/>
                    <pic:cNvPicPr/>
                  </pic:nvPicPr>
                  <pic:blipFill>
                    <a:blip r:embed="rId62"/>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5" name="Picture 55"/>
            <wp:cNvGraphicFramePr>
              <a:graphicFrameLocks noChangeAspect="1"/>
            </wp:cNvGraphicFramePr>
            <a:graphic>
              <a:graphicData uri="http://schemas.openxmlformats.org/drawingml/2006/picture">
                <pic:pic>
                  <pic:nvPicPr>
                    <pic:cNvPr id="0" name="quantreg_mediacao_ocp.png"/>
                    <pic:cNvPicPr/>
                  </pic:nvPicPr>
                  <pic:blipFill>
                    <a:blip r:embed="rId63"/>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6" name="Picture 56"/>
            <wp:cNvGraphicFramePr>
              <a:graphicFrameLocks noChangeAspect="1"/>
            </wp:cNvGraphicFramePr>
            <a:graphic>
              <a:graphicData uri="http://schemas.openxmlformats.org/drawingml/2006/picture">
                <pic:pic>
                  <pic:nvPicPr>
                    <pic:cNvPr id="0" name="qr_kb_test.png"/>
                    <pic:cNvPicPr/>
                  </pic:nvPicPr>
                  <pic:blipFill>
                    <a:blip r:embed="rId64"/>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7" name="Picture 57"/>
            <wp:cNvGraphicFramePr>
              <a:graphicFrameLocks noChangeAspect="1"/>
            </wp:cNvGraphicFramePr>
            <a:graphic>
              <a:graphicData uri="http://schemas.openxmlformats.org/drawingml/2006/picture">
                <pic:pic>
                  <pic:nvPicPr>
                    <pic:cNvPr id="0" name="qr_por_sexo.png"/>
                    <pic:cNvPicPr/>
                  </pic:nvPicPr>
                  <pic:blipFill>
                    <a:blip r:embed="rId65"/>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8" name="Picture 58"/>
            <wp:cNvGraphicFramePr>
              <a:graphicFrameLocks noChangeAspect="1"/>
            </wp:cNvGraphicFramePr>
            <a:graphic>
              <a:graphicData uri="http://schemas.openxmlformats.org/drawingml/2006/picture">
                <pic:pic>
                  <pic:nvPicPr>
                    <pic:cNvPr id="0" name="qr_glassceil_completo.png"/>
                    <pic:cNvPicPr/>
                  </pic:nvPicPr>
                  <pic:blipFill>
                    <a:blip r:embed="rId66"/>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9" name="Picture 59"/>
            <wp:cNvGraphicFramePr>
              <a:graphicFrameLocks noChangeAspect="1"/>
            </wp:cNvGraphicFramePr>
            <a:graphic>
              <a:graphicData uri="http://schemas.openxmlformats.org/drawingml/2006/picture">
                <pic:pic>
                  <pic:nvPicPr>
                    <pic:cNvPr id="0" name="sensibilidade_konfound_evalues.png"/>
                    <pic:cNvPicPr/>
                  </pic:nvPicPr>
                  <pic:blipFill>
                    <a:blip r:embed="rId67"/>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60" name="Picture 60"/>
            <wp:cNvGraphicFramePr>
              <a:graphicFrameLocks noChangeAspect="1"/>
            </wp:cNvGraphicFramePr>
            <a:graphic>
              <a:graphicData uri="http://schemas.openxmlformats.org/drawingml/2006/picture">
                <pic:pic>
                  <pic:nvPicPr>
                    <pic:cNvPr id="0" name="interseccional_ob4grupos.png"/>
                    <pic:cNvPicPr/>
                  </pic:nvPicPr>
                  <pic:blipFill>
                    <a:blip r:embed="rId68"/>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1" name="Picture 61"/>
            <wp:cNvGraphicFramePr>
              <a:graphicFrameLocks noChangeAspect="1"/>
            </wp:cNvGraphicFramePr>
            <a:graphic>
              <a:graphicData uri="http://schemas.openxmlformats.org/drawingml/2006/picture">
                <pic:pic>
                  <pic:nvPicPr>
                    <pic:cNvPr id="0" name="rif_ob_retornos_quantis.png"/>
                    <pic:cNvPicPr/>
                  </pic:nvPicPr>
                  <pic:blipFill>
                    <a:blip r:embed="rId69"/>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Triangulação com o Índice de Progresso Social (IPS). O IPS municipal (Imazon e parceiros, 2026), que avalia a qualidade de vida dos 5.570 municípios a partir de 57 indicadores sociais e ambientais, oferece corroboração externa e multidimensional do eixo territorial. Uma integração fina com o proxy de bairro (UPA) é inviável: a PNAD pública não divulga o município (só UF e capital/RM/interior) e o IPS é municipal — mais agregado que a UPA (sub-municipal). O IPS não valida o achado de bairro (está acima dele na escala), mas ecoa o gradiente macro: as regiões de menor progresso social (Norte e Nordeste) coincidem com as de maior penalidade racial. Usa-se, portanto, como evidência convergente do caráter territorial — não como fonte de dados integrada, e ressalvando que o IPS mede progresso social geral, não desigualdade racial.</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2" name="Picture 62"/>
            <wp:cNvGraphicFramePr>
              <a:graphicFrameLocks noChangeAspect="1"/>
            </wp:cNvGraphicFramePr>
            <a:graphic>
              <a:graphicData uri="http://schemas.openxmlformats.org/drawingml/2006/picture">
                <pic:pic>
                  <pic:nvPicPr>
                    <pic:cNvPr id="0" name="po_politicas_topsis.png"/>
                    <pic:cNvPicPr/>
                  </pic:nvPicPr>
                  <pic:blipFill>
                    <a:blip r:embed="rId70"/>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3" name="Picture 63"/>
            <wp:cNvGraphicFramePr>
              <a:graphicFrameLocks noChangeAspect="1"/>
            </wp:cNvGraphicFramePr>
            <a:graphic>
              <a:graphicData uri="http://schemas.openxmlformats.org/drawingml/2006/picture">
                <pic:pic>
                  <pic:nvPicPr>
                    <pic:cNvPr id="0" name="po_politicas_pl2_pareto.png"/>
                    <pic:cNvPicPr/>
                  </pic:nvPicPr>
                  <pic:blipFill>
                    <a:blip r:embed="rId71"/>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4" name="Picture 64"/>
            <wp:cNvGraphicFramePr>
              <a:graphicFrameLocks noChangeAspect="1"/>
            </wp:cNvGraphicFramePr>
            <a:graphic>
              <a:graphicData uri="http://schemas.openxmlformats.org/drawingml/2006/picture">
                <pic:pic>
                  <pic:nvPicPr>
                    <pic:cNvPr id="0" name="estado_h1_gini.png"/>
                    <pic:cNvPicPr/>
                  </pic:nvPicPr>
                  <pic:blipFill>
                    <a:blip r:embed="rId72"/>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5" name="Picture 65"/>
            <wp:cNvGraphicFramePr>
              <a:graphicFrameLocks noChangeAspect="1"/>
            </wp:cNvGraphicFramePr>
            <a:graphic>
              <a:graphicData uri="http://schemas.openxmlformats.org/drawingml/2006/picture">
                <pic:pic>
                  <pic:nvPicPr>
                    <pic:cNvPr id="0" name="estado_h2h3_gaps.png"/>
                    <pic:cNvPicPr/>
                  </pic:nvPicPr>
                  <pic:blipFill>
                    <a:blip r:embed="rId73"/>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6" name="Picture 66"/>
            <wp:cNvGraphicFramePr>
              <a:graphicFrameLocks noChangeAspect="1"/>
            </wp:cNvGraphicFramePr>
            <a:graphic>
              <a:graphicData uri="http://schemas.openxmlformats.org/drawingml/2006/picture">
                <pic:pic>
                  <pic:nvPicPr>
                    <pic:cNvPr id="0" name="estado_h4_tendencia.png"/>
                    <pic:cNvPicPr/>
                  </pic:nvPicPr>
                  <pic:blipFill>
                    <a:blip r:embed="rId74"/>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7" name="Picture 67"/>
            <wp:cNvGraphicFramePr>
              <a:graphicFrameLocks noChangeAspect="1"/>
            </wp:cNvGraphicFramePr>
            <a:graphic>
              <a:graphicData uri="http://schemas.openxmlformats.org/drawingml/2006/picture">
                <pic:pic>
                  <pic:nvPicPr>
                    <pic:cNvPr id="0" name="estado_h4_inclusao.png"/>
                    <pic:cNvPicPr/>
                  </pic:nvPicPr>
                  <pic:blipFill>
                    <a:blip r:embed="rId75"/>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8" name="Picture 68"/>
            <wp:cNvGraphicFramePr>
              <a:graphicFrameLocks noChangeAspect="1"/>
            </wp:cNvGraphicFramePr>
            <a:graphic>
              <a:graphicData uri="http://schemas.openxmlformats.org/drawingml/2006/picture">
                <pic:pic>
                  <pic:nvPicPr>
                    <pic:cNvPr id="0" name="estado_h5_armadilha.png"/>
                    <pic:cNvPicPr/>
                  </pic:nvPicPr>
                  <pic:blipFill>
                    <a:blip r:embed="rId76"/>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9" name="Picture 69"/>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70" name="Picture 70"/>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