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decomposições do gap e aprendizado de máquina interpretável.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(UPA); a decomposição de Oaxaca-Blinder atribui 83,8% do gap a diferenças de dotações (sobretudo de ocupação) e 16,2% à parcela não explicada, enquanto a penalidade recai de forma agravada sobre a mulher negra (penalidade interseccional de +9,5 p.p.).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2001; 200 árvores, profundidade máxima 10, mínimo de 50 observações por folha) e XGBoost (Chen; Guestrin, 2016; 300 iterações, profundidade máxima 6, taxa de aprendizado 0,05, subamostragem de 80% das linhas e colunas por árvore, regularização L1=0,1 e L2=1,0) foram ajustados para prever o rendimento, com validação por partição hold-out treino/teste (80/20, estratificação implícita por amostragem aleatória, semente fixa) — o desempenho reportado (R²=0,6168 para XGBoost e R²=0,5735 para Random Forest) refere-se ao conjunto de TESTE, não a ajuste in-sample; a diferença frente ao R² de treino (gap de overfitting ≤0,0006) é desprezível para ambos os modelos. Como validação adicional além do hold-out único, uma validação cruzada de 5 folds (subamostra de 20%, por custo computacional) confirma a estabilidade: R²=0,6163±0,0010 para XGBoost e R²=0,5746±0,0010 para Random Forest, variação desprezível entre folds. Frente a um baseline OLS simples ajustado na mesma partição (R²=0,5708), o ganho real do ML é modesto para o Random Forest (ΔR²=0,0027) e mais expressivo para o XGBoost (ΔR²=0,0460) — a maior parte da variância explicada de log-renda já é capturada pela forma funcional linear da equação de Mincer estendida; o XGBoost captura não-linearidades e interações adicionais, mas de magnitude limitada. A interpretação usou valores SHAP (Lundberg; Lee, 2017), quantificando a contribuição de cada variável e suas interações de forma não-paramétrica — uma camada de triangulação e robustez frente aos modelos econométricos, não um substituto causal para eles.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interseccionalidade — com forte mediação do território, que persiste mesmo quando se controla a escolaridade. As subseções a seguir percorrem esse sistema: partem da falha da explicação meritocrática e isolam as três camadas que a substituem.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−4,78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1. GLMM logístico (M2, população completa) — teto de vidro de acesso. OR &lt; 1 = menor chance de acesso para negros vs. brancos de mesmo perfil; IC 95% de Wald via broom.mixed (lme4::glmer); AME em pontos percentuais; E-value ≥ 2 indica robustez a confundidor não observado.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Desfecho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(negro)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AME (p.p.)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E-value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Cargo qualificado (CBO 1–4)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0,705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[0,702; 0,708]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2,19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20%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0,691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[0,688; 0,694]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2,25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10%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[0,651; 0,660]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2,42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Desenho amostral complexo. A Tabela 1 usa erro-padrão robusto a heterocedasticidade (HC1), que não incorpora o peso amostral (V1028) nem o agrupamento por UPA (conglomerado) da PNAD Contínua — a ausência desse ajuste pode inflar artificialmente a precisão reportada. Uma checagem de robustez reajusta o modelo de acesso a cargo qualificado com (i) erro-padrão cluster-robusto por UPA e (ii) peso amostral V1028 combinado ao cluster: o erro-padrão sobe de 0,0023 (HC1) para 0,0061 (cluster) e 0,0091 (cluster + peso) — quase 4,0× maior que o HC1 atual —, enquanto o odds ratio se mantém na mesma direção e magnitude (OR=0,693 ponderado vs. 0,705 HC1). O achado central (discriminação no acesso) é robusto ao desenho amostral; a precisão reportada na Tabela 1, sem esse ajuste, é de fato otimista.</w:t>
      </w: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 de teste=0,6168):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Estabilidade da hierarquia SHAP. A concordância entre os dois modelos de árvore é alta: correlação de Spearman entre os rankings completos de importância de ρ=0,839, com 10/10 variáveis coincidentes no top-10 de ambos os modelos — a hierarquia de importância territorial e ocupacional (Figura 3) não é artefato de um único algoritmo. Ressalva de transparência: a variável 'raça (negro)', embora sempre com sinal negativo (penalidade), tem posição instável entre os modelos (rank 25 no Random Forest vs. rank 11 no XGBoost) — isso não compromete a conclusão qualitativa (efeito racial direto residual mesmo após os controles), mas indica que a MAGNITUDE relativa desse efeito frente às demais variáveis, isoladamente pelo SHAP, é sensível à escolha do algoritmo, reforçando por que o efeito racial é estimado primariamente pelos modelos econométricos (HLM, Oaxaca-Blinder, GLMM) e não pelo ML.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2. Decomposição do gap por mediação (HLM de três níveis, PNAD Contínua 2016–2025). Cada modelo acrescenta controles ao anterior; o gap encolhe de −19,1% (M1) para −6,2% (M4), com 69,8% mediado por contexto de moradia e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Modelo (controles acumulados)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 negro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(%)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Mediação acum. (%)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M1 (individual)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−0,2123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−19,1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M2 (+ contexto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M3 (+ UF)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M4 (+ ocupação)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−0,0641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−6,2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69,8</w:t>
            </w:r>
          </w:p>
        </w:tc>
      </w:tr>
    </w:tbl>
    <w:p>
      <w:pPr>
        <w:spacing w:after="160"/>
      </w:pP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3. Decomposição de Oaxaca-Blinder (especificação de acesso, com ocupação e contexto como dotações; população completa). Dotações + Coeficiente = 100% do gap. Ressalva (Oaxaca &amp; Ransom, 1999): incluir ocupação como dotação subestima a discriminação — daí a complementaridade com o GLMM de acesso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do Gap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Dotação (composição: capital humano e ocupação)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83,8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Coeficiente (não explicado / discriminação)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16,2</w:t>
            </w:r>
          </w:p>
        </w:tc>
      </w:tr>
    </w:tbl>
    <w:p>
      <w:pPr>
        <w:spacing w:after="160"/>
      </w:pP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96,4% vs. o Homem Branco) e, além disso, uma penalidade EXTRA de 9,5 pontos percentuais que não se reduz à soma das penalidades de raça e de gênero isoladas — a marca da interseccionalidade (Crenshaw, 1989). As camadas reforçam-se mutuamente: a barreira de acesso e o eixo territorial pesam de modo desigual sobre os diferentes grupos.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4. Decomposição interseccional (raça × gênero) do gap vs. o Homem Branco. Dotações + Retornos = 100% do gap. A Mulher Negra acumula o maior gap (96,4%) e uma penalidade extra de 9,5 p.p. não redutível à soma dos eixos de raça e gênero (Crenshaw, 1989).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vs HB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Dotações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Retornos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Penal. extra (p.p.)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Branca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46,6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Homem Negro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Negra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96,4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9,5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Incerteza da penalidade interseccional. A penalidade extra da Tabela 4 é uma decomposição não-linear (diferença entre três ajustes OLS por subgrupo), sem erro-padrão analítico direto. Um bootstrap cluster por UPA (B=200 reamostragens, preservando a estrutura de conglomerado da PNAD) estima a penalidade em 9,5 p.p., IC 95% [8,4; 10,7] — o intervalo não inclui zero, confirmando com incerteza estatística explícita que a penalidade interseccional da mulher negra é distinta da soma dos efeitos isolados de raça e gênero. Como evidência complementar, o modelo HLM interseccional com interação tripla explícita (log-renda contínua, controlando educação superior) estima o termo raça×gênero×superior em β=−0,0434 (EP=0,0053; IC 95% [−0,0538; −0,0330]), na mesma direção.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dotações. Adota-se a especificação de acesso (ocupação e contexto como dotações; 83,8% de composição), coerente com a leitura de que a discriminação age sobretudo no acesso às ocupações — medido diretamente pelo GLMM. Como alerta Oaxaca e Ransom (1999), tratar a ocupação como dotação tende a subestimar a discriminação total, já que a segregação ocupacional é, ela própria, discriminatória; daí a complementaridade entre os métodos. Uma análise de sensibilidade explícita dimensiona esse intervalo: removendo ocupação e contexto de UPA das dotações (especificação Mincer pura), a parcela não explicada sobe de 16,2% para 75,2% do gap — ou seja, o intervalo de discriminação total, a depender de quanto da segregação ocupacional é tratada como mérito (dotação) ou como resultado de discriminação prévia (retorno), vai de 16,2% a 75,2%. As duas leituras não são contraditórias: a especificação de acesso isola a discriminação SALARIAL residual dentro da mesma ocupação (sticky floor, via RIF), enquanto a especificação sem ocupação captura também a discriminação que já opera na TRIAGEM ocupacional, quantificada diretamente pelo GLMM de acesso (Tabela 1).</w:t>
      </w:r>
    </w:p>
    <w:p>
      <w:pPr>
        <w:ind w:firstLine="709"/>
        <w:jc w:val="both"/>
      </w:pPr>
      <w:r>
        <w:t>Desenho amostral no Oaxaca-Blinder. Na mesma linha da Tabela 1, a decomposição de Oaxaca-Blinder acima não pondera por V1028 nem trata o agrupamento por UPA. Reajustando com WLS ponderado por V1028 e erro-padrão cluster-robusto por UPA, a parcela atribuída a retornos (discriminação) sobe de 16,2% (não ponderado, EP=0,0104) para 18,3% (ponderado, EP=0,0133) — na mesma direção da robustez do GLMM: o desenho amostral desloca ligeiramente as estimativas para cima e amplia o erro-padrão, sem reverter a conclusão substantiva.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interseccionalidade — com forte mediação do TERRITÓRIO (o contexto de moradia responde por mais da metade do gap). O gap é majoritariamente composição (Oaxaca: 83,8%), mas a composição é produto da discriminação no acesso às ocupações (GLMM: OR≈0,705) e convive com discriminação salarial residual, maior na base da distribuição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