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3A5F"/>
          <w:sz w:val="56"/>
          <w:szCs w:val="56"/>
        </w:rPr>
        <w:t xml:space="preserve">PlasticBegone</w:t>
      </w:r>
    </w:p>
    <w:p>
      <w:pPr>
        <w:spacing w:after="80"/>
        <w:jc w:val="center"/>
      </w:pPr>
      <w:r>
        <w:rPr>
          <w:b/>
          <w:bCs/>
          <w:sz w:val="40"/>
          <w:szCs w:val="40"/>
        </w:rPr>
        <w:t xml:space="preserve">PAC Safety Scoring Algorithm</w:t>
      </w:r>
    </w:p>
    <w:p>
      <w:pPr>
        <w:spacing w:after="480"/>
        <w:jc w:val="center"/>
      </w:pPr>
      <w:r>
        <w:rPr>
          <w:color w:val="555555"/>
          <w:sz w:val="26"/>
          <w:szCs w:val="26"/>
        </w:rPr>
        <w:t xml:space="preserve">Version 2.3.5 — Universal Materials Science Basis</w:t>
      </w:r>
    </w:p>
    <w:p>
      <w:pPr>
        <w:spacing w:after="80"/>
        <w:jc w:val="center"/>
      </w:pPr>
      <w:r>
        <w:rPr>
          <w:b/>
          <w:bCs/>
          <w:color w:val="888888"/>
          <w:sz w:val="20"/>
          <w:szCs w:val="20"/>
        </w:rPr>
        <w:t xml:space="preserve">PROPRIETARY AND CONFIDENTIAL</w:t>
      </w:r>
    </w:p>
    <w:p>
      <w:pPr>
        <w:spacing w:after="80"/>
        <w:jc w:val="center"/>
      </w:pPr>
      <w:r>
        <w:rPr>
          <w:color w:val="888888"/>
          <w:sz w:val="20"/>
          <w:szCs w:val="20"/>
        </w:rPr>
        <w:t xml:space="preserve">© 2026 PlasticBegone. All rights reserved.</w:t>
      </w:r>
    </w:p>
    <w:p>
      <w:pPr>
        <w:jc w:val="center"/>
      </w:pPr>
      <w:r>
        <w:rPr>
          <w:i/>
          <w:iCs/>
          <w:color w:val="888888"/>
          <w:sz w:val="20"/>
          <w:szCs w:val="20"/>
        </w:rPr>
        <w:t xml:space="preserve">Documentation freeze of current approved scoring behavior — June 2026</w:t>
      </w:r>
    </w:p>
    <w:p>
      <w:r>
        <w:br w:type="page"/>
      </w:r>
    </w:p>
    <w:p>
      <w:pPr>
        <w:pStyle w:val="Heading1"/>
      </w:pPr>
      <w:r>
        <w:t xml:space="preserve">About Version 2.3.5</w:t>
      </w:r>
    </w:p>
    <w:p>
      <w:pPr>
        <w:spacing w:after="120"/>
      </w:pPr>
      <w:r>
        <w:t xml:space="preserve">Version 2.3.5 is a documentation freeze. It captures the scoring behavior that actually produced the six approved cookware scores (Lodge 99, All-Clad 99, HexClad 78, GreenPan 69, Caraway 66, T-Fal 2), so that this document is a faithful description of the live system rather than an outdated reference.</w:t>
      </w:r>
    </w:p>
    <w:p>
      <w:pPr>
        <w:spacing w:after="120"/>
      </w:pPr>
      <w:r>
        <w:t xml:space="preserve">The previous written spec (2.3.4) predated a week of methodology work conducted while building the cookware subcategory. During that work the live pipeline diverged from the written document. 2.3.5 reconciles the two: every value and rule below has been confirmed against an actual approved scoring run, not reconstructed from memory.</w:t>
      </w:r>
    </w:p>
    <w:p>
      <w:pPr>
        <w:pBdr>
          <w:left w:val="single" w:color="E0A800" w:sz="18" w:space="8"/>
        </w:pBdr>
        <w:shd w:fill="FFF6E0" w:val="clear"/>
        <w:spacing w:after="160" w:before="80"/>
      </w:pPr>
      <w:r>
        <w:rPr>
          <w:i/>
          <w:iCs/>
          <w:sz w:val="21"/>
          <w:szCs w:val="21"/>
        </w:rPr>
        <w:t xml:space="preserve">2.3.5 is NOT a recalibration. It documents current approved behavior. Open calibration questions surfaced during the cookware build are listed explicitly at the end as future-version items; they do not change any of the six locked scores. Recalibration belongs in a later version, after the spreadsheet reproduction proof of the six known scores.</w:t>
      </w:r>
    </w:p>
    <w:p>
      <w:pPr>
        <w:pStyle w:val="Heading2"/>
      </w:pPr>
      <w:r>
        <w:t xml:space="preserve">Summary of changes since 2.3.4</w:t>
      </w:r>
    </w:p>
    <w:p>
      <w:pPr>
        <w:pStyle w:val="ListParagraph"/>
        <w:numPr>
          <w:ilvl w:val="0"/>
          <w:numId w:val="2"/>
        </w:numPr>
        <w:spacing w:after="60"/>
      </w:pPr>
      <w:r>
        <w:rPr>
          <w:b/>
          <w:bCs/>
        </w:rPr>
        <w:t xml:space="preserve">Third-party Non-Detect testing migration mitigation</w:t>
      </w:r>
      <w:r>
        <w:t xml:space="preserve"> — a defined Layer 2 migration multiplier (×0.58) applied to a tested food-contact coating component only.</w:t>
      </w:r>
    </w:p>
    <w:p>
      <w:pPr>
        <w:pStyle w:val="ListParagraph"/>
        <w:numPr>
          <w:ilvl w:val="0"/>
          <w:numId w:val="2"/>
        </w:numPr>
        <w:spacing w:after="60"/>
      </w:pPr>
      <w:r>
        <w:rPr>
          <w:b/>
          <w:bCs/>
        </w:rPr>
        <w:t xml:space="preserve">Known-category proprietary coatings</w:t>
      </w:r>
      <w:r>
        <w:t xml:space="preserve"> use their material-category bands (e.g. ceramic 0.35 / 0.38), not the unknown-coating extreme bands. The extreme bands and the 72 cap are reserved for genuinely unidentified coatings.</w:t>
      </w:r>
    </w:p>
    <w:p>
      <w:pPr>
        <w:pStyle w:val="ListParagraph"/>
        <w:numPr>
          <w:ilvl w:val="0"/>
          <w:numId w:val="2"/>
        </w:numPr>
        <w:spacing w:after="60"/>
      </w:pPr>
      <w:r>
        <w:rPr>
          <w:b/>
          <w:bCs/>
        </w:rPr>
        <w:t xml:space="preserve">Marketing-language deduction (−2)</w:t>
      </w:r>
      <w:r>
        <w:t xml:space="preserve"> is suppressed when manufacturer-published third-party lab testing exists; the proprietary-coating deduction (−3) is unaffected.</w:t>
      </w:r>
    </w:p>
    <w:p>
      <w:pPr>
        <w:pStyle w:val="ListParagraph"/>
        <w:numPr>
          <w:ilvl w:val="0"/>
          <w:numId w:val="2"/>
        </w:numPr>
        <w:spacing w:after="60"/>
      </w:pPr>
      <w:r>
        <w:rPr>
          <w:b/>
          <w:bCs/>
        </w:rPr>
        <w:t xml:space="preserve">Hybrid dual-surface scoring</w:t>
      </w:r>
      <w:r>
        <w:t xml:space="preserve"> — each food-contact zone is scored on its own material identity (e.g. ceramic valleys as ceramic, stainless peaks as inert stainless).</w:t>
      </w:r>
    </w:p>
    <w:p>
      <w:pPr>
        <w:pStyle w:val="ListParagraph"/>
        <w:numPr>
          <w:ilvl w:val="0"/>
          <w:numId w:val="2"/>
        </w:numPr>
        <w:spacing w:after="60"/>
      </w:pPr>
      <w:r>
        <w:rPr>
          <w:b/>
          <w:bCs/>
        </w:rPr>
        <w:t xml:space="preserve">PFAS/PTFE escalator</w:t>
      </w:r>
      <w:r>
        <w:t xml:space="preserve"> fires only on confirmed PFAS/PTFE-family material, never on an undisclosed coating that has Non-Detect testing.</w:t>
      </w:r>
    </w:p>
    <w:p>
      <w:pPr>
        <w:pStyle w:val="ListParagraph"/>
        <w:numPr>
          <w:ilvl w:val="0"/>
          <w:numId w:val="2"/>
        </w:numPr>
        <w:spacing w:after="60"/>
      </w:pPr>
      <w:r>
        <w:rPr>
          <w:b/>
          <w:bCs/>
        </w:rPr>
        <w:t xml:space="preserve">Transparency badge</w:t>
      </w:r>
      <w:r>
        <w:t xml:space="preserve"> for a known-category proprietary coating is Documentation Incomplete / Material Uncertain, not Opaque. Opaque is reserved for genuinely unknown food-contact coatings.</w:t>
      </w:r>
    </w:p>
    <w:p>
      <w:pPr>
        <w:pStyle w:val="ListParagraph"/>
        <w:numPr>
          <w:ilvl w:val="0"/>
          <w:numId w:val="2"/>
        </w:numPr>
        <w:spacing w:after="60"/>
      </w:pPr>
      <w:r>
        <w:rPr>
          <w:b/>
          <w:bCs/>
        </w:rPr>
        <w:t xml:space="preserve">Numeric Confidence Interval removed</w:t>
      </w:r>
      <w:r>
        <w:t xml:space="preserve"> — transparency is now communicated by the badge alone. The CI was never displayed and is not meaningful to consumers; removing it also removes the plausible-hazard-bands calculation from the scoring path.</w:t>
      </w:r>
    </w:p>
    <w:p>
      <w:pPr>
        <w:pStyle w:val="ListParagraph"/>
        <w:numPr>
          <w:ilvl w:val="0"/>
          <w:numId w:val="2"/>
        </w:numPr>
        <w:spacing w:after="60"/>
      </w:pPr>
      <w:r>
        <w:rPr>
          <w:b/>
          <w:bCs/>
        </w:rPr>
        <w:t xml:space="preserve">Display Layer documented</w:t>
      </w:r>
      <w:r>
        <w:t xml:space="preserve"> — the three product-page risk bars (Contact material, Migration, Use conditions), their thresholds, fill formulas, colors, and labels are now part of the spec rather than undocumented page logic.</w:t>
      </w:r>
    </w:p>
    <w:p>
      <w:pPr>
        <w:pStyle w:val="ListParagraph"/>
        <w:numPr>
          <w:ilvl w:val="0"/>
          <w:numId w:val="2"/>
        </w:numPr>
        <w:spacing w:after="60"/>
      </w:pPr>
      <w:r>
        <w:rPr>
          <w:b/>
          <w:bCs/>
        </w:rPr>
        <w:t xml:space="preserve">Canonical Material Lookup Table added</w:t>
      </w:r>
      <w:r>
        <w:t xml:space="preserve"> — the authoritative per-material hazard and migration point values from the live taxonomy, with post-taxonomy overrides and known issues (hard-anodized-aluminum duplicate, two PTFE rows). This is the single table a dropdown implementation resolves materials against. The Layer 1 and Layer 2 sections no longer carry their own scoring tables (they explain what hazard and migration mean); this removes the prior conflict where, for example, PTFE read 0.60 in the Layer 1 table but 0.85 in the live taxonomy.</w:t>
      </w:r>
    </w:p>
    <w:p>
      <w:pPr>
        <w:pStyle w:val="ListParagraph"/>
        <w:numPr>
          <w:ilvl w:val="0"/>
          <w:numId w:val="2"/>
        </w:numPr>
        <w:spacing w:after="60"/>
      </w:pPr>
      <w:r>
        <w:rPr>
          <w:b/>
          <w:bCs/>
        </w:rPr>
        <w:t xml:space="preserve">Canonical scoring inputs</w:t>
      </w:r>
      <w:r>
        <w:t xml:space="preserve"> — scoring-driving fields must be canonical values, never freeform or compound material strings. Evidence may be prose; scoring inputs may not.</w:t>
      </w:r>
    </w:p>
    <w:p>
      <w:pPr>
        <w:pStyle w:val="ListParagraph"/>
        <w:numPr>
          <w:ilvl w:val="0"/>
          <w:numId w:val="2"/>
        </w:numPr>
        <w:spacing w:after="60"/>
      </w:pPr>
      <w:r>
        <w:rPr>
          <w:b/>
          <w:bCs/>
        </w:rPr>
        <w:t xml:space="preserve">Source and component integrity rules</w:t>
      </w:r>
      <w:r>
        <w:t xml:space="preserve"> — hybrid status from product-disclosed construction only; lab evidence requires real panel substance; coating-over-substrate is one component relationship, not duplicate components.</w:t>
      </w:r>
    </w:p>
    <w:p>
      <w:pPr>
        <w:pStyle w:val="ListParagraph"/>
        <w:numPr>
          <w:ilvl w:val="0"/>
          <w:numId w:val="2"/>
        </w:numPr>
        <w:spacing w:after="60"/>
      </w:pPr>
      <w:r>
        <w:rPr>
          <w:b/>
          <w:bCs/>
        </w:rPr>
        <w:t xml:space="preserve">Public description PFAS naming</w:t>
      </w:r>
      <w:r>
        <w:t xml:space="preserve"> — cookware descriptions name PFAS plainly, with confidence matched to evidence strength.</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Overview</w:t>
      </w:r>
    </w:p>
    <w:p>
      <w:pPr>
        <w:spacing w:after="120"/>
      </w:pPr>
      <w:r>
        <w:t xml:space="preserve">Every product scored on PlasticBegone is evaluated through four layers. The scoring output is three distinct fields: the PAC Safety Score, the Tier, and the Transparency Badge. Higher PAC Safety Scores indicate lower estimated plastic-associated chemical (PAC) exposure risk under this methodology. The score reflects expected PAC exposure risk based on materials science. It is not an overall product quality score.</w:t>
      </w:r>
    </w:p>
    <w:p>
      <w:pPr>
        <w:spacing w:after="120"/>
      </w:pPr>
      <w:r>
        <w:t xml:space="preserve">The product page also displays explanatory elements that help a consumer understand the score but do not themselves produce it: the three risk bars (Contact material, Migration, Use conditions) and the “Why this score?” breakdown (primary and secondary materials, coatings, use conditions, disclosure quality, certifications, and sources). These are documented in the Display Layer section. The score itself comes from the four-layer calculation, not from these display elements.</w:t>
      </w:r>
    </w:p>
    <w:p>
      <w:pPr>
        <w:spacing w:after="120"/>
      </w:pPr>
      <w:r>
        <w:t xml:space="preserve">The PAC Safety Score is intentionally narrow. It estimates one specific thing: how much plastic-associated chemical exposure risk a product may create under realistic use conditions. A product can be well-designed and still create PAC exposure; another can be inexpensive and still have low PAC exposure if it uses inert materials. Narrow scope makes the score defensible.</w:t>
      </w:r>
    </w:p>
    <w:p>
      <w:pPr>
        <w:spacing w:after="120"/>
      </w:pPr>
      <w:r>
        <w:t xml:space="preserve">The 0–99 scale gives consumers an easy way to understand relative PAC exposure risk. The Transparency Badge is included because the exact score is only as reliable as the available material information. A product with full material disclosure deserves more confidence than a product where the chemistry is proprietary, and the badge communicates that disclosure quality in plain language.</w:t>
      </w:r>
    </w:p>
    <w:p>
      <w:pPr>
        <w:pStyle w:val="Heading2"/>
      </w:pPr>
      <w:r>
        <w:t xml:space="preserve">Score Output Format</w:t>
      </w:r>
    </w:p>
    <w:p>
      <w:pPr>
        <w:spacing w:after="120"/>
      </w:pPr>
      <w:r>
        <w:t xml:space="preserve">Every scored product produces three distinct scoring-output fields. These are never combined into a single display string. They are separate from the explanatory display elements (risk bars, “Why this score?” breakdown) covered in the Display Layer section.</w:t>
      </w:r>
    </w:p>
    <w:p>
      <w:pPr>
        <w:pStyle w:val="ListParagraph"/>
        <w:numPr>
          <w:ilvl w:val="0"/>
          <w:numId w:val="3"/>
        </w:numPr>
        <w:spacing w:after="60"/>
      </w:pPr>
      <w:r>
        <w:rPr>
          <w:b/>
          <w:bCs/>
        </w:rPr>
        <w:t xml:space="preserve">PAC Safety Score</w:t>
      </w:r>
      <w:r>
        <w:t xml:space="preserve"> — a whole number from 0 to 99.</w:t>
      </w:r>
    </w:p>
    <w:p>
      <w:pPr>
        <w:pStyle w:val="ListParagraph"/>
        <w:numPr>
          <w:ilvl w:val="0"/>
          <w:numId w:val="3"/>
        </w:numPr>
        <w:spacing w:after="60"/>
      </w:pPr>
      <w:r>
        <w:rPr>
          <w:b/>
          <w:bCs/>
        </w:rPr>
        <w:t xml:space="preserve">Tier</w:t>
      </w:r>
      <w:r>
        <w:t xml:space="preserve"> — Excellent, Good, Caution, Concern, or High Risk.</w:t>
      </w:r>
    </w:p>
    <w:p>
      <w:pPr>
        <w:pStyle w:val="ListParagraph"/>
        <w:numPr>
          <w:ilvl w:val="0"/>
          <w:numId w:val="3"/>
        </w:numPr>
        <w:spacing w:after="60"/>
      </w:pPr>
      <w:r>
        <w:rPr>
          <w:b/>
          <w:bCs/>
        </w:rPr>
        <w:t xml:space="preserve">Transparency Badge</w:t>
      </w:r>
      <w:r>
        <w:t xml:space="preserve"> — one of four public badges with color code, communicating disclosure quality in plain language.</w:t>
      </w:r>
    </w:p>
    <w:p>
      <w:pPr>
        <w:spacing w:after="120"/>
      </w:pPr>
      <w:r>
        <w:rPr>
          <w:i/>
          <w:iCs/>
        </w:rPr>
        <w:t xml:space="preserve">No product scores 100. The maximum PAC Safety Score is 99. No product is perfectly risk-free.</w:t>
      </w:r>
    </w:p>
    <w:p>
      <w:pPr>
        <w:pStyle w:val="Heading1"/>
      </w:pPr>
      <w:r>
        <w:t xml:space="preserve">The Four Layers</w:t>
      </w:r>
    </w:p>
    <w:p>
      <w:pPr>
        <w:pStyle w:val="ListParagraph"/>
        <w:numPr>
          <w:ilvl w:val="0"/>
          <w:numId w:val="3"/>
        </w:numPr>
        <w:spacing w:after="60"/>
      </w:pPr>
      <w:r>
        <w:rPr>
          <w:b/>
          <w:bCs/>
        </w:rPr>
        <w:t xml:space="preserve">Layer 1 — Intrinsic Material Hazard</w:t>
      </w:r>
      <w:r>
        <w:t xml:space="preserve"> — how biologically hazardous the material is.</w:t>
      </w:r>
    </w:p>
    <w:p>
      <w:pPr>
        <w:pStyle w:val="ListParagraph"/>
        <w:numPr>
          <w:ilvl w:val="0"/>
          <w:numId w:val="3"/>
        </w:numPr>
        <w:spacing w:after="60"/>
      </w:pPr>
      <w:r>
        <w:rPr>
          <w:b/>
          <w:bCs/>
        </w:rPr>
        <w:t xml:space="preserve">Layer 2 — Migration Potential</w:t>
      </w:r>
      <w:r>
        <w:t xml:space="preserve"> — how likely the material is to transfer PACs under real conditions.</w:t>
      </w:r>
    </w:p>
    <w:p>
      <w:pPr>
        <w:pStyle w:val="ListParagraph"/>
        <w:numPr>
          <w:ilvl w:val="0"/>
          <w:numId w:val="3"/>
        </w:numPr>
        <w:spacing w:after="60"/>
      </w:pPr>
      <w:r>
        <w:rPr>
          <w:b/>
          <w:bCs/>
        </w:rPr>
        <w:t xml:space="preserve">Layer 3 — Exposure Pathway</w:t>
      </w:r>
      <w:r>
        <w:t xml:space="preserve"> — how the human actually interacts with the product (Contact Intimacy × Severity × Duration).</w:t>
      </w:r>
    </w:p>
    <w:p>
      <w:pPr>
        <w:pStyle w:val="ListParagraph"/>
        <w:numPr>
          <w:ilvl w:val="0"/>
          <w:numId w:val="3"/>
        </w:numPr>
        <w:spacing w:after="60"/>
      </w:pPr>
      <w:r>
        <w:rPr>
          <w:b/>
          <w:bCs/>
        </w:rPr>
        <w:t xml:space="preserve">Layer 4A — Safety Score Adjustment</w:t>
      </w:r>
      <w:r>
        <w:t xml:space="preserve"> — maximum ±5 points on the score.</w:t>
      </w:r>
    </w:p>
    <w:p>
      <w:pPr>
        <w:pStyle w:val="ListParagraph"/>
        <w:numPr>
          <w:ilvl w:val="0"/>
          <w:numId w:val="3"/>
        </w:numPr>
        <w:spacing w:after="60"/>
      </w:pPr>
      <w:r>
        <w:rPr>
          <w:b/>
          <w:bCs/>
        </w:rPr>
        <w:t xml:space="preserve">Layer 4B — Transparency System</w:t>
      </w:r>
      <w:r>
        <w:t xml:space="preserve"> — controls the Transparency Badge only, never the PAC Safety Score.</w:t>
      </w:r>
    </w:p>
    <w:p>
      <w:pPr>
        <w:spacing w:after="120"/>
      </w:pPr>
      <w:r>
        <w:t xml:space="preserve">Layer 1 asks what the material is. Layer 2 asks whether it can transfer chemicals. Layer 3 asks whether the person actually has meaningful contact. Layer 4 asks how confident we are and whether there are verified claims or disclosure issues. Safety adjustments can move the score only slightly (±5). Transparency controls confidence and badge but never the score itself.</w:t>
      </w:r>
    </w:p>
    <w:p>
      <w:pPr>
        <w:pStyle w:val="Heading2"/>
      </w:pPr>
      <w:r>
        <w:t xml:space="preserve">The Core Formula</w:t>
      </w:r>
    </w:p>
    <w:p>
      <w:pPr>
        <w:spacing w:after="120"/>
      </w:pPr>
      <w:r>
        <w:t xml:space="preserve">For each component of a product, calculate a Normalized Pathway Risk (NPR):</w:t>
      </w:r>
    </w:p>
    <w:p>
      <w:pPr>
        <w:shd w:fill="F0F0F0" w:val="clear"/>
        <w:spacing w:after="80" w:before="80"/>
      </w:pPr>
      <w:r>
        <w:rPr>
          <w:rFonts w:ascii="Consolas" w:cs="Consolas" w:eastAsia="Consolas" w:hAnsi="Consolas"/>
          <w:sz w:val="20"/>
          <w:szCs w:val="20"/>
        </w:rPr>
        <w:t xml:space="preserve">NPR = ( Material Hazard x Migration x Contact Intimacy x Severity x Duration ) x 1000</w:t>
      </w:r>
    </w:p>
    <w:p>
      <w:pPr>
        <w:spacing w:after="120"/>
      </w:pPr>
      <w:r>
        <w:t xml:space="preserve">Apply category modifiers and the single highest escalator as defined in the Order of Operations. Combine all component NPRs into a weighted average using Contact Intimacy as the weight.</w:t>
      </w:r>
    </w:p>
    <w:p>
      <w:pPr>
        <w:shd w:fill="F0F0F0" w:val="clear"/>
        <w:spacing w:after="80" w:before="80"/>
      </w:pPr>
      <w:r>
        <w:rPr>
          <w:rFonts w:ascii="Consolas" w:cs="Consolas" w:eastAsia="Consolas" w:hAnsi="Consolas"/>
          <w:sz w:val="20"/>
          <w:szCs w:val="20"/>
        </w:rPr>
        <w:t xml:space="preserve">PAC Safety Score = 100 - ( sqrt(weighted NPR) x 5 )</w:t>
      </w:r>
    </w:p>
    <w:p>
      <w:pPr>
        <w:spacing w:after="120"/>
      </w:pPr>
      <w:r>
        <w:t xml:space="preserve">Apply Layer 4A Safety Score Adjustment. Apply the hard cap at 72 if the Unknown Coating Cap Rule was triggered. Clamp 0–99. Round to nearest whole number.</w:t>
      </w:r>
    </w:p>
    <w:p>
      <w:pPr>
        <w:spacing w:after="120"/>
      </w:pPr>
      <w:r>
        <w:t xml:space="preserve">Multiplication is critical: if any major risk factor is near zero, the whole pathway risk stays low. This is how the formula naturally protects inert materials. The ×1000 normalization moves tiny decimals into a workable range; the square root smooths the curve for useful differentiation; the scaling factor of 5 is the main calibration lever.</w:t>
      </w:r>
    </w:p>
    <w:p>
      <w:pPr>
        <w:pStyle w:val="Heading2"/>
      </w:pPr>
      <w:r>
        <w:t xml:space="preserve">Why Contact Intimacy Appears in Two Places</w:t>
      </w:r>
    </w:p>
    <w:p>
      <w:pPr>
        <w:spacing w:after="120"/>
      </w:pPr>
      <w:r>
        <w:t xml:space="preserve">Inside the NPR formula, Contact Intimacy captures exposure intensity for a specific component. As the component weighting factor, it determines how much each component drives the overall product score. Both uses are intentional: removing it from the NPR would let a high-intimacy surface behave like a low-intimacy one; removing it as a weight would let a minor decorative component influence the score as much as the primary food-contact surface.</w:t>
      </w:r>
    </w:p>
    <w:p>
      <w:pPr>
        <w:pStyle w:val="Heading1"/>
      </w:pPr>
      <w:r>
        <w:t xml:space="preserve">Exact Order of Operations</w:t>
      </w:r>
    </w:p>
    <w:p>
      <w:pPr>
        <w:spacing w:after="120"/>
      </w:pPr>
      <w:r>
        <w:t xml:space="preserve">Agent 2 produces the normalized inputs (Steps 1–4). Agent 3 runs the scoring math (Steps 5–16).</w:t>
      </w:r>
    </w:p>
    <w:p>
      <w:pPr>
        <w:pStyle w:val="Heading3"/>
      </w:pPr>
      <w:r>
        <w:t xml:space="preserve">Agent 2 — Normalization</w:t>
      </w:r>
    </w:p>
    <w:p>
      <w:pPr>
        <w:pStyle w:val="ListParagraph"/>
        <w:numPr>
          <w:ilvl w:val="0"/>
          <w:numId w:val="4"/>
        </w:numPr>
        <w:spacing w:after="60"/>
      </w:pPr>
      <w:r>
        <w:t xml:space="preserve">Identify all components and record each component's Material Hazard, Migration Potential, and Contact Intimacy from the material taxonomy lookup table.</w:t>
      </w:r>
    </w:p>
    <w:p>
      <w:pPr>
        <w:pStyle w:val="ListParagraph"/>
        <w:numPr>
          <w:ilvl w:val="0"/>
          <w:numId w:val="4"/>
        </w:numPr>
        <w:spacing w:after="60"/>
      </w:pPr>
      <w:r>
        <w:t xml:space="preserve">Apply the Default Use Assumption Rule to assign Exposure Severity and Duration for each component (use conditions only, not material identity). Apply category modifiers affecting Severity or Duration before multiplying.</w:t>
      </w:r>
    </w:p>
    <w:p>
      <w:pPr>
        <w:pStyle w:val="ListParagraph"/>
        <w:numPr>
          <w:ilvl w:val="0"/>
          <w:numId w:val="4"/>
        </w:numPr>
        <w:spacing w:after="60"/>
      </w:pPr>
      <w:r>
        <w:t xml:space="preserve">Apply the Migration Mitigation Rule where qualifying third-party Non-Detect testing exists for the reviewed product (migration only).</w:t>
      </w:r>
    </w:p>
    <w:p>
      <w:pPr>
        <w:pStyle w:val="ListParagraph"/>
        <w:numPr>
          <w:ilvl w:val="0"/>
          <w:numId w:val="4"/>
        </w:numPr>
        <w:spacing w:after="60"/>
      </w:pPr>
      <w:r>
        <w:t xml:space="preserve">Apply Layer 4A applicability rules. Server-side enforcement rejects any adjustment that does not pass its check.</w:t>
      </w:r>
    </w:p>
    <w:p>
      <w:pPr>
        <w:pStyle w:val="ListParagraph"/>
        <w:numPr>
          <w:ilvl w:val="0"/>
          <w:numId w:val="4"/>
        </w:numPr>
        <w:spacing w:after="60"/>
      </w:pPr>
      <w:r>
        <w:t xml:space="preserve">Assign Transparency Badge based on Layer 4B rules.</w:t>
      </w:r>
    </w:p>
    <w:p>
      <w:pPr>
        <w:pStyle w:val="Heading3"/>
      </w:pPr>
      <w:r>
        <w:t xml:space="preserve">Agent 3 — Scoring</w:t>
      </w:r>
    </w:p>
    <w:p>
      <w:pPr>
        <w:pStyle w:val="ListParagraph"/>
        <w:numPr>
          <w:ilvl w:val="0"/>
          <w:numId w:val="5"/>
        </w:numPr>
        <w:spacing w:after="60"/>
      </w:pPr>
      <w:r>
        <w:t xml:space="preserve">Calculate NPR for each component: (Hazard × Migration × Contact Intimacy × Severity × Duration) × 1000.</w:t>
      </w:r>
    </w:p>
    <w:p>
      <w:pPr>
        <w:pStyle w:val="ListParagraph"/>
        <w:numPr>
          <w:ilvl w:val="0"/>
          <w:numId w:val="5"/>
        </w:numPr>
        <w:spacing w:after="60"/>
      </w:pPr>
      <w:r>
        <w:t xml:space="preserve">Apply category modifier multipliers to each component NPR where applicable.</w:t>
      </w:r>
    </w:p>
    <w:p>
      <w:pPr>
        <w:pStyle w:val="ListParagraph"/>
        <w:numPr>
          <w:ilvl w:val="0"/>
          <w:numId w:val="5"/>
        </w:numPr>
        <w:spacing w:after="60"/>
      </w:pPr>
      <w:r>
        <w:t xml:space="preserve">Identify the single highest applicable escalator per component and multiply that component's NPR by it. Escalators do not stack.</w:t>
      </w:r>
    </w:p>
    <w:p>
      <w:pPr>
        <w:pStyle w:val="ListParagraph"/>
        <w:numPr>
          <w:ilvl w:val="0"/>
          <w:numId w:val="5"/>
        </w:numPr>
        <w:spacing w:after="60"/>
      </w:pPr>
      <w:r>
        <w:t xml:space="preserve">Calculate the Contact-Intimacy-weighted average NPR across all components: sum of (NPR × Contact Intimacy) divided by sum of all Contact Intimacy values.</w:t>
      </w:r>
    </w:p>
    <w:p>
      <w:pPr>
        <w:pStyle w:val="ListParagraph"/>
        <w:numPr>
          <w:ilvl w:val="0"/>
          <w:numId w:val="5"/>
        </w:numPr>
        <w:spacing w:after="60"/>
      </w:pPr>
      <w:r>
        <w:t xml:space="preserve">Raw Score = 100 - ( sqrt(weighted NPR) x 5 ).</w:t>
      </w:r>
    </w:p>
    <w:p>
      <w:pPr>
        <w:pStyle w:val="ListParagraph"/>
        <w:numPr>
          <w:ilvl w:val="0"/>
          <w:numId w:val="5"/>
        </w:numPr>
        <w:spacing w:after="60"/>
      </w:pPr>
      <w:r>
        <w:t xml:space="preserve">Apply Layer 4A Safety Score Adjustment (max combined ±5).</w:t>
      </w:r>
    </w:p>
    <w:p>
      <w:pPr>
        <w:pStyle w:val="ListParagraph"/>
        <w:numPr>
          <w:ilvl w:val="0"/>
          <w:numId w:val="5"/>
        </w:numPr>
        <w:spacing w:after="60"/>
      </w:pPr>
      <w:r>
        <w:t xml:space="preserve">Apply hard score cap at 72 if the Unknown Coating Cap Rule was triggered.</w:t>
      </w:r>
    </w:p>
    <w:p>
      <w:pPr>
        <w:pStyle w:val="ListParagraph"/>
        <w:numPr>
          <w:ilvl w:val="0"/>
          <w:numId w:val="5"/>
        </w:numPr>
        <w:spacing w:after="60"/>
      </w:pPr>
      <w:r>
        <w:t xml:space="preserve">Clamp 0–99, round to nearest whole number — this is the PAC Safety Score.</w:t>
      </w:r>
    </w:p>
    <w:p>
      <w:pPr>
        <w:pStyle w:val="ListParagraph"/>
        <w:numPr>
          <w:ilvl w:val="0"/>
          <w:numId w:val="5"/>
        </w:numPr>
        <w:spacing w:after="60"/>
      </w:pPr>
      <w:r>
        <w:t xml:space="preserve">Assign Tier from the PAC Safety Score.</w:t>
      </w:r>
    </w:p>
    <w:p>
      <w:pPr>
        <w:pStyle w:val="ListParagraph"/>
        <w:numPr>
          <w:ilvl w:val="0"/>
          <w:numId w:val="5"/>
        </w:numPr>
        <w:spacing w:after="60"/>
      </w:pPr>
      <w:r>
        <w:t xml:space="preserve">For formulation products, calculate the Ingredient Transparency Score separately.</w:t>
      </w:r>
    </w:p>
    <w:p>
      <w:pPr>
        <w:pBdr>
          <w:left w:val="single" w:color="E0A800" w:sz="18" w:space="8"/>
        </w:pBdr>
        <w:shd w:fill="FFF6E0" w:val="clear"/>
        <w:spacing w:after="160" w:before="80"/>
      </w:pPr>
      <w:r>
        <w:rPr>
          <w:i/>
          <w:iCs/>
          <w:sz w:val="21"/>
          <w:szCs w:val="21"/>
        </w:rPr>
        <w:t xml:space="preserve">Degradation adjustments present in 2.3.3 remain removed in 2.3.5. PlasticBegone scores new products from manufacturer pages and retailer listings; there is no degradation to assess. The degradation-based escalator (Escalator 3) therefore cannot fire on current scoring.</w:t>
      </w:r>
    </w:p>
    <w:p>
      <w:pPr>
        <w:pStyle w:val="Heading1"/>
      </w:pPr>
      <w:r>
        <w:t xml:space="preserve">Default Use Assumption Rule</w:t>
      </w:r>
    </w:p>
    <w:p>
      <w:pPr>
        <w:spacing w:after="120"/>
      </w:pPr>
      <w:r>
        <w:t xml:space="preserve">When exact consumer behavior is unknown, Exposure Severity and Duration are assigned based on Normal Intended Use plus Common Foreseeable Use — not best-case use, not rare extreme misuse. This forces consistency: two products used identically receive the same Severity and Duration, and their score difference comes from Hazard and Migration alone.</w:t>
      </w:r>
    </w:p>
    <w:p>
      <w:pPr>
        <w:pStyle w:val="Heading2"/>
      </w:pPr>
      <w:r>
        <w:t xml:space="preserve">Category-Specific Default Use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Default Severity</w:t>
            </w:r>
          </w:p>
        </w:tc>
        <w:tc>
          <w:tcPr>
            <w:tcW w:type="dxa" w:w="2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Default Duration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Cookware</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0.88 stovetop + 0.08 fatty = 0.96</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0.50 (typical 15–30 min daily)</w:t>
            </w:r>
          </w:p>
        </w:tc>
      </w:tr>
      <w:tr>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Cooking utensils</w:t>
            </w:r>
          </w:p>
        </w:tc>
        <w:tc>
          <w:tcPr>
            <w:tcW w:type="dxa" w:w="4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1.0 plastic/nylon; 0.96 stainless/wood</w:t>
            </w:r>
          </w:p>
        </w:tc>
        <w:tc>
          <w:tcPr>
            <w:tcW w:type="dxa" w:w="2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0.50</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Water bottles / drinkware</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0.50 + 0.10 acidic = 0.60</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0.80 (all-day daily)</w:t>
            </w:r>
          </w:p>
        </w:tc>
      </w:tr>
      <w:tr>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Food storage containers</w:t>
            </w:r>
          </w:p>
        </w:tc>
        <w:tc>
          <w:tcPr>
            <w:tcW w:type="dxa" w:w="4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0.65 + 0.10 acidic + 0.08 fatty = 0.83; microwave-safe ≥0.75</w:t>
            </w:r>
          </w:p>
        </w:tc>
        <w:tc>
          <w:tcPr>
            <w:tcW w:type="dxa" w:w="2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0.75 (multi-day)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Rinse-off products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0.30 mild</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0.20 × 0.30 modifier = 0.06</w:t>
            </w:r>
          </w:p>
        </w:tc>
      </w:tr>
      <w:tr>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Leave-on products</w:t>
            </w:r>
          </w:p>
        </w:tc>
        <w:tc>
          <w:tcPr>
            <w:tcW w:type="dxa" w:w="4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by product / skin area</w:t>
            </w:r>
          </w:p>
        </w:tc>
        <w:tc>
          <w:tcPr>
            <w:tcW w:type="dxa" w:w="2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0.65–1.0</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Athletic wear</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0.75 + 0.08 = 0.83 before Athletic Modifier</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0.65</w:t>
            </w:r>
          </w:p>
        </w:tc>
      </w:tr>
      <w:tr>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Everyday clothing</w:t>
            </w:r>
          </w:p>
        </w:tc>
        <w:tc>
          <w:tcPr>
            <w:tcW w:type="dxa" w:w="4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0.20</w:t>
            </w:r>
          </w:p>
        </w:tc>
        <w:tc>
          <w:tcPr>
            <w:tcW w:type="dxa" w:w="2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1.0</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Bedding / sleep</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0.20</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 (8 hr continuous)</w:t>
            </w:r>
          </w:p>
        </w:tc>
      </w:tr>
      <w:tr>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Children's toys</w:t>
            </w:r>
          </w:p>
        </w:tc>
        <w:tc>
          <w:tcPr>
            <w:tcW w:type="dxa" w:w="4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0.30 + 0.10 oral (under 3)</w:t>
            </w:r>
          </w:p>
        </w:tc>
        <w:tc>
          <w:tcPr>
            <w:tcW w:type="dxa" w:w="2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0.50</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Food packaging</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0.88 heated; 0.65 room temp</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0.35 single use; 0.65 when Severity ≥0.88</w:t>
            </w:r>
          </w:p>
        </w:tc>
      </w:tr>
    </w:tbl>
    <w:p>
      <w:r>
        <w:br w:type="page"/>
      </w:r>
    </w:p>
    <w:p>
      <w:pPr>
        <w:pStyle w:val="Heading1"/>
      </w:pPr>
      <w:r>
        <w:t xml:space="preserve">Layer 1 — Intrinsic Material Hazard</w:t>
      </w:r>
    </w:p>
    <w:p>
      <w:pPr>
        <w:spacing w:after="120"/>
      </w:pPr>
      <w:r>
        <w:t xml:space="preserve">Value 0.0 to 1.0. The biological hazard of the material in isolation. This is the ceiling for everything that follows: a material scoring 0.02 cannot produce a meaningful pathway risk regardless of conditions. This is what naturally protects glass, stainless steel, and cast iron from being penalized by heat or acid exposure.</w:t>
      </w:r>
    </w:p>
    <w:p>
      <w:pPr>
        <w:spacing w:after="120"/>
      </w:pPr>
      <w:r>
        <w:t xml:space="preserve">Layer 1 explains what hazard means. It does not hold its own scoring table. The actual hazard value for each material is the Hazard column of the Canonical Material Lookup Table, which is the single authoritative source for both hazard (Layer 1) and migration (Layer 2). A dropdown implementation reads hazard only from that table.</w:t>
      </w:r>
    </w:p>
    <w:p>
      <w:pPr>
        <w:pBdr>
          <w:left w:val="single" w:color="E0A800" w:sz="18" w:space="8"/>
        </w:pBdr>
        <w:shd w:fill="FFF6E0" w:val="clear"/>
        <w:spacing w:after="160" w:before="80"/>
      </w:pPr>
      <w:r>
        <w:rPr>
          <w:i/>
          <w:iCs/>
          <w:sz w:val="21"/>
          <w:szCs w:val="21"/>
        </w:rPr>
        <w:t xml:space="preserve">Hazard is assigned per material, not derived from anything at runtime. A coating identified to a known material category (e.g. ceramic sol-gel nonstick) uses that category's hazard value even when the specific formula is proprietary; the 0.80 unknown-coating value applies only to coatings that cannot be assigned to a known family. Proprietary-formula uncertainty is handled in Layer 4A and Layer 4B, not by inflating the hazard.</w:t>
      </w:r>
    </w:p>
    <w:p>
      <w:pPr>
        <w:spacing w:after="120"/>
      </w:pPr>
      <w:r>
        <w:t xml:space="preserve">As broad orientation, hazard values fall into the tiers below. These tables are an illustrative reference for the wider material landscape, including materials not yet in the live taxonomy (useful when scoping new categories). They are NOT the scoring source: where a material also appears in the Canonical Material Lookup Table, that table's value is authoritative and wins on any conflict.</w:t>
      </w:r>
    </w:p>
    <w:p>
      <w:pPr>
        <w:pStyle w:val="Heading2"/>
      </w:pPr>
      <w:r>
        <w:t xml:space="preserve">Inert Materials — 0.01 to 0.05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Material</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Material Hazard</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Borosilicate glass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0.02</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Soda lime glass</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0.02</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Stainless steel 304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0.03</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Stainless steel 316</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0.02</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Cast iron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0.03</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Carbon steel</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0.03</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Titanium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0.01</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Food-safe ceramic with verified glaze</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0.05</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Vitreous enamel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0.05</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Copper food grade</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0.05</w:t>
            </w:r>
          </w:p>
        </w:tc>
      </w:tr>
    </w:tbl>
    <w:p>
      <w:pPr>
        <w:pStyle w:val="Heading2"/>
      </w:pPr>
      <w:r>
        <w:t xml:space="preserve">Natural Low-Risk Materials — 0.06 to 0.15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Material</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Material Hazard</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Natural wood untreated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0.06</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Natural wood, food-safe oil finish</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0.08</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Bamboo natural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0.08</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Bamboo, natural binders</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0.12</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100% organic cotton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0.07</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100% organic linen</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0.07</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100% organic wool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0.08</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Conventional cotton (non-organic)</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0.12</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Conventional linen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0.10</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Natural rubber</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0.10</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Natural latex</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0.10</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Hemp natural</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0.07</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Cork natural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0.06</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Recycled stainless steel verified</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0.06</w:t>
            </w:r>
          </w:p>
        </w:tc>
      </w:tr>
    </w:tbl>
    <w:p>
      <w:pPr>
        <w:pStyle w:val="Heading2"/>
      </w:pPr>
      <w:r>
        <w:t xml:space="preserve">Lower-Risk Synthetics — 0.15 to 0.35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Material</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Material Hazard</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HDPE high density polyethylene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0.18</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LDPE low density polyethylene</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0.20</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Polypropylene PP5</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0.20</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Aluminum anodized (hard-anodized)</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0.15</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Aluminum uncoated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0.22</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Silicone food grade verified</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0.15</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Silicone unverified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0.25</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ABS plastic</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0.28</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Acrylic PMMA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0.25</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Stoneware verified food safe</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0.18</w:t>
            </w:r>
          </w:p>
        </w:tc>
      </w:tr>
    </w:tbl>
    <w:p>
      <w:pPr>
        <w:pStyle w:val="Heading2"/>
      </w:pPr>
      <w:r>
        <w:t xml:space="preserve">Moderate-Risk Materials — 0.35 to 0.60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Material</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Material Hazard</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Polyester fabric</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0.38</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Spandex elastane</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0.40</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Acrylic fabric</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0.42</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Nylon fabric (non-food-contact)</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0.45</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Synthetic rubber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0.38</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Tritan copolyester (BPA-free claim)</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0.45</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Polycarbonate (BPA-free claim)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0.50</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Melamine</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0.55</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Nonstick ceramic coating unverified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0.42</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Ceramic nonstick sol-gel (canonical: 0.35)</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0.35</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PTFE-ceramic hybrid coating</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0.40</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Recycled polyester rPET</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0.42</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Viscose rayon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0.38</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Modal</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0.35</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Microfiber synthetic</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0.45</w:t>
            </w:r>
          </w:p>
        </w:tc>
      </w:tr>
    </w:tbl>
    <w:p>
      <w:pPr>
        <w:spacing w:after="120"/>
      </w:pPr>
      <w:r>
        <w:rPr>
          <w:i/>
          <w:iCs/>
        </w:rPr>
        <w:t xml:space="preserve">Note: PTFE nonstick is NOT in this band. Confirmed PTFE/Teflon resolves to the high-risk PTFE nonstick value (0.85) in the Canonical Material Lookup Table — this is the value T-Fal uses. An earlier draft listed PTFE at 0.60 here, which conflicted with the live taxonomy; the canonical 0.85 is correct.</w:t>
      </w:r>
    </w:p>
    <w:p>
      <w:pPr>
        <w:pStyle w:val="Heading2"/>
      </w:pPr>
      <w:r>
        <w:t xml:space="preserve">High-Risk Materials — 0.60 to 0.85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Material</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Material Hazard</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PTFE nonstick coating (canonical value)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0.85</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Nylon polyamide food contact</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0.68</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Polystyrene PS6</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0.65</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Polyurethane foam</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0.70</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Synthetic fleece polyester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0.62</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Fiberglass</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0.60</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Recycled plastic unspecified origin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0.72</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PU leather</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0.65</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Foam rubber synthetic</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0.68</w:t>
            </w:r>
          </w:p>
        </w:tc>
      </w:tr>
    </w:tbl>
    <w:p>
      <w:pPr>
        <w:pStyle w:val="Heading2"/>
      </w:pPr>
      <w:r>
        <w:t xml:space="preserve">Extreme-Risk Materials — 0.85 to 1.0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Material</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Material Hazard</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PVC polyvinyl chloride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0.90</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Polycarbonate with confirmed BPA</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0.88</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PFAS-treated fabric or coating</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0.92</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Vinyl</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0.88</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Flame-retardant-treated materials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0.85</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Unknown proprietary food-contact coating</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0.80 (hard cap at 72)</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Formaldehyde-treated textiles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0.85</w:t>
            </w:r>
          </w:p>
        </w:tc>
      </w:tr>
      <w:tr>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Azo-dye-treated textiles</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0.82</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Brominated flame retardants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0.90</w:t>
            </w:r>
          </w:p>
        </w:tc>
      </w:tr>
    </w:tbl>
    <w:p>
      <w:pPr>
        <w:spacing w:after="120"/>
      </w:pPr>
      <w:r>
        <w:rPr>
          <w:i/>
          <w:iCs/>
        </w:rPr>
        <w:t xml:space="preserve">The hard score cap at 72 for an unknown proprietary food-contact coating means such a product cannot enter the top safety tiers unless the coating is independently verified or identified to a known category.</w:t>
      </w:r>
    </w:p>
    <w:p>
      <w:r>
        <w:br w:type="page"/>
      </w:r>
    </w:p>
    <w:p>
      <w:pPr>
        <w:pStyle w:val="Heading1"/>
      </w:pPr>
      <w:r>
        <w:t xml:space="preserve">Layer 2 — Migration Potential</w:t>
      </w:r>
    </w:p>
    <w:p>
      <w:pPr>
        <w:spacing w:after="120"/>
      </w:pPr>
      <w:r>
        <w:t xml:space="preserve">Value 0.0 to 1.0. How likely this specific material is to transfer PACs under real-world conditions. Hazard asks how concerning the material is; Migration asks whether that concern can actually move into food, liquid, skin, or the body.</w:t>
      </w:r>
    </w:p>
    <w:p>
      <w:pPr>
        <w:spacing w:after="120"/>
      </w:pPr>
      <w:r>
        <w:t xml:space="preserve">Layer 2 explains what migration means. Like Layer 1, it does not hold its own scoring table. The actual migration value for each material is the Migration column of the Canonical Material Lookup Table. A dropdown implementation reads migration only from that table.</w:t>
      </w:r>
    </w:p>
    <w:p>
      <w:pPr>
        <w:spacing w:after="120"/>
      </w:pPr>
      <w:r>
        <w:t xml:space="preserve">As broad orientation: inert materials migrate around 0.02–0.05; natural low-risk around 0.05–0.15; lower-risk synthetics around 0.20–0.40; moderate synthetics around 0.45–0.65; high-risk synthetics around 0.65–0.85; extreme materials around 0.85–1.0. An unknown proprietary food-contact coating is treated at 0.875. Identified-category coatings take their category migration value (e.g. ceramic sol-gel nonstick = 0.38); the locked 0.875 applies only to coatings that cannot be assigned to a known family. The exact per-material numbers live in the Canonical Material Lookup Table.</w:t>
      </w:r>
    </w:p>
    <w:p>
      <w:pPr>
        <w:pBdr>
          <w:left w:val="single" w:color="E0A800" w:sz="18" w:space="8"/>
        </w:pBdr>
        <w:shd w:fill="FFF6E0" w:val="clear"/>
        <w:spacing w:after="160" w:before="80"/>
      </w:pPr>
      <w:r>
        <w:rPr>
          <w:i/>
          <w:iCs/>
          <w:sz w:val="21"/>
          <w:szCs w:val="21"/>
        </w:rPr>
        <w:t xml:space="preserve">Scoring does not pick a number from within a range. Each material has a single locked point value for both hazard and migration in the Canonical Material Lookup Table. A dropdown implementation resolves each material to those exact two numbers.</w:t>
      </w:r>
    </w:p>
    <w:p>
      <w:pPr>
        <w:pStyle w:val="Heading2"/>
      </w:pPr>
      <w:r>
        <w:t xml:space="preserve">Migration Mitigation — Third-Party Non-Detect Testing</w:t>
      </w:r>
    </w:p>
    <w:p>
      <w:pPr>
        <w:pBdr>
          <w:left w:val="single" w:color="E0A800" w:sz="18" w:space="8"/>
        </w:pBdr>
        <w:shd w:fill="FFF6E0" w:val="clear"/>
        <w:spacing w:after="160" w:before="80"/>
      </w:pPr>
      <w:r>
        <w:rPr>
          <w:i/>
          <w:iCs/>
          <w:sz w:val="21"/>
          <w:szCs w:val="21"/>
        </w:rPr>
        <w:t xml:space="preserve">New in 2.3.5. This is the rule that distinguishes a tested proprietary coating (e.g. HexClad) from an untested one (e.g. GreenPan / Caraway). It is a Layer 2 migration modifier, not evidence-handling prose.</w:t>
      </w:r>
    </w:p>
    <w:p>
      <w:pPr>
        <w:spacing w:after="120"/>
      </w:pPr>
      <w:r>
        <w:t xml:space="preserve">Where manufacturer-published third-party Non-Detect lab testing exists for the exact reviewed product, a migration mitigation factor is applied to the tested food-contact coating component only.</w:t>
      </w:r>
    </w:p>
    <w:p>
      <w:pPr>
        <w:spacing w:after="60"/>
      </w:pPr>
      <w:r>
        <w:rPr>
          <w:b/>
          <w:bCs/>
        </w:rPr>
        <w:t xml:space="preserve">Mitigation factor (current cookware calibration): </w:t>
      </w:r>
      <w:r>
        <w:t xml:space="preserve">multiply migration by 0.58</w:t>
      </w:r>
    </w:p>
    <w:p>
      <w:pPr>
        <w:spacing w:after="60"/>
      </w:pPr>
      <w:r>
        <w:rPr>
          <w:b/>
          <w:bCs/>
        </w:rPr>
        <w:t xml:space="preserve">Worked example: </w:t>
      </w:r>
      <w:r>
        <w:t xml:space="preserve">0.38 × 0.58 = 0.2204, displayed as 0.22</w:t>
      </w:r>
    </w:p>
    <w:p>
      <w:pPr>
        <w:spacing w:after="120"/>
      </w:pPr>
      <w:r>
        <w:t xml:space="preserve">A multiplier is used rather than a fixed target so that the reduction scales relative to each material's baseline rather than collapsing different materials to the same value. Limits on the rule:</w:t>
      </w:r>
    </w:p>
    <w:p>
      <w:pPr>
        <w:pStyle w:val="ListParagraph"/>
        <w:numPr>
          <w:ilvl w:val="0"/>
          <w:numId w:val="3"/>
        </w:numPr>
        <w:spacing w:after="60"/>
      </w:pPr>
      <w:r>
        <w:t xml:space="preserve">Applies to Migration Potential only.</w:t>
      </w:r>
    </w:p>
    <w:p>
      <w:pPr>
        <w:pStyle w:val="ListParagraph"/>
        <w:numPr>
          <w:ilvl w:val="0"/>
          <w:numId w:val="3"/>
        </w:numPr>
        <w:spacing w:after="60"/>
      </w:pPr>
      <w:r>
        <w:t xml:space="preserve">Does not alter Material Hazard.</w:t>
      </w:r>
    </w:p>
    <w:p>
      <w:pPr>
        <w:pStyle w:val="ListParagraph"/>
        <w:numPr>
          <w:ilvl w:val="0"/>
          <w:numId w:val="3"/>
        </w:numPr>
        <w:spacing w:after="60"/>
      </w:pPr>
      <w:r>
        <w:t xml:space="preserve">Does not alter Contact Intimacy, Severity, or Duration.</w:t>
      </w:r>
    </w:p>
    <w:p>
      <w:pPr>
        <w:pStyle w:val="ListParagraph"/>
        <w:numPr>
          <w:ilvl w:val="0"/>
          <w:numId w:val="3"/>
        </w:numPr>
        <w:spacing w:after="60"/>
      </w:pPr>
      <w:r>
        <w:t xml:space="preserve">Does not remove proprietary-formula uncertainty (Layer 4A −3 and the transparency badge still apply).</w:t>
      </w:r>
    </w:p>
    <w:p>
      <w:pPr>
        <w:pStyle w:val="ListParagraph"/>
        <w:numPr>
          <w:ilvl w:val="0"/>
          <w:numId w:val="3"/>
        </w:numPr>
        <w:spacing w:after="60"/>
      </w:pPr>
      <w:r>
        <w:t xml:space="preserve">Does not produce a Full Disclosed badge and does not treat the coating as inert.</w:t>
      </w:r>
    </w:p>
    <w:p>
      <w:pPr>
        <w:pStyle w:val="ListParagraph"/>
        <w:numPr>
          <w:ilvl w:val="0"/>
          <w:numId w:val="3"/>
        </w:numPr>
        <w:spacing w:after="60"/>
      </w:pPr>
      <w:r>
        <w:t xml:space="preserve">Requires exact-product (or directly applicable product-line) lab evidence with real analytes and result language — a general claim or FAQ statement does not qualify.</w:t>
      </w:r>
    </w:p>
    <w:p>
      <w:r>
        <w:br w:type="page"/>
      </w:r>
    </w:p>
    <w:p>
      <w:pPr>
        <w:pStyle w:val="Heading1"/>
      </w:pPr>
      <w:r>
        <w:t xml:space="preserve">Canonical Material Lookup Table</w:t>
      </w:r>
    </w:p>
    <w:p>
      <w:pPr>
        <w:spacing w:after="120"/>
      </w:pPr>
      <w:r>
        <w:t xml:space="preserve">This is the single authoritative per-material lookup that drives Layer 1 (hazard) and Layer 2 (migration). There is no separate hazard table and no separate migration table — this is the only scoring table for both. Each material resolves to one locked hazard value and one locked migration value, not a range. A dropdown implementation reads from this table and nothing else: select a material, get these exact two numbers. Values are taken directly from the live taxonomy. Where any earlier illustrative tier range appears to conflict with a value here, this table wins.</w:t>
      </w:r>
    </w:p>
    <w:p>
      <w:pPr>
        <w:pBdr>
          <w:left w:val="single" w:color="E0A800" w:sz="18" w:space="8"/>
        </w:pBdr>
        <w:shd w:fill="FFF6E0" w:val="clear"/>
        <w:spacing w:after="160" w:before="80"/>
      </w:pPr>
      <w:r>
        <w:rPr>
          <w:i/>
          <w:iCs/>
          <w:sz w:val="21"/>
          <w:szCs w:val="21"/>
        </w:rPr>
        <w:t xml:space="preserve">Source of truth: the deterministic material taxonomy. Agent 2 assigns material_hazard from the hazard column and base/adjusted migration from the migration column, unless a post-taxonomy override (below) applies. The aliases ptfe, pfoa, teflon resolve to PTFE nonstick.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200"/>
        <w:gridCol w:w="1400"/>
        <w:gridCol w:w="1400"/>
      </w:tblGrid>
      <w:tr>
        <w:trPr>
          <w:tblHeader/>
        </w:trPr>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Material</w:t>
            </w:r>
          </w:p>
        </w:tc>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Material Hazard</w:t>
            </w:r>
          </w:p>
        </w:tc>
        <w:tc>
          <w:tcPr>
            <w:tcW w:type="dxa" w:w="1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Migration</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Unknown proprietary food-contact coating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Extreme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0.875</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PTFE nonstick coating</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High</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0.85</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0.75</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PTFE nonstick coating (titanium reinforced)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0.85</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0.75</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Nylon food-contact</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High</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0.68</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0.70</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PTFE coating (lower band)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Moderate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0.60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0.65</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Tritan plastic</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Moderate</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0.45</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0.48</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TPR soft-grip handle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Moderate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0.38</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0.40</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Ceramic nonstick sol-gel coating</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Moderate</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0.35</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0.38</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Thermolon ceramic coating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Moderate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0.35</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0.38</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Proprietary ceramic nonstick (TerraBond)</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Moderate</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0.35</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0.38</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Hybrid stainless lattice + nonstick surface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Moderate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0.35</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0.38</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Synthetic surfactant formulation</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Moderate</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0.35</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0.38</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Silicone gasket (unverified)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Lower-risk synthetic</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0.25</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0.30</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Aluminum core</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Lower-risk synthetic</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0.22</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0.25</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Plastic lid (resin unspecified)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Lower-risk synthetic</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0.29</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BPA-free plastic lid</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Lower-risk synthetic</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0.20</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0.29</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BPA-free plastic (resin unspecified)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Lower-risk synthetic</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0.29</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HDPE</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Lower-risk synthetic</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0.18</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0.29</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Refill container (HDPE or similar)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Lower-risk synthetic</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0.18</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0.29</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Hard anodized aluminum</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Lower-risk synthetic</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0.15</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0.20</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Stay-cool handle (material undisclosed)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Lower-risk synthetic</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0.15</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0.20</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Silicone gasket (food-grade verified)</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Lower-risk synthetic</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0.15</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0.18</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Bamboo lid with silicone seal</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Natural low risk</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0.12</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0.15</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Plant-based formulation</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Natural low risk</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0.10</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0.12</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Silicone-coated handle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 risk</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0.10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0.08</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Plant- and mineral-based aqueous formulation</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Natural low risk</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0.08</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0.10</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Natural vegetable oil seasoning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Natural low risk</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0.08</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0.08</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Natural bamboo</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Natural low risk</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0.08</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0.10</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Natural teak wood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Natural low risk</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0.06</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0.08</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Vitreous enamel</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Inert</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0.05</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0.05</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Cast iron / pre-seasoned / carbon steel</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Inert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0.03</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0.035</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Stainless steel (304 / unspecified / handle / rivets / base)</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Inert</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0.03</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0.02</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Laser-etched stainless cooking surface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Inert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0.03</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0.02</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Stainless steel 316</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Inert</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0.02</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0.02</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Graphite structural core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Inert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0.02</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0.02</w:t>
            </w:r>
          </w:p>
        </w:tc>
      </w:tr>
      <w:tr>
        <w:tc>
          <w:tcPr>
            <w:tcW w:type="dxa" w:w="4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Borosilicate / tempered glass (and glass lid)</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Inert</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0.02</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0.02</w:t>
            </w:r>
          </w:p>
        </w:tc>
      </w:tr>
    </w:tbl>
    <w:p>
      <w:pPr>
        <w:pStyle w:val="Heading2"/>
      </w:pPr>
      <w:r>
        <w:t xml:space="preserve">Post-Taxonomy Overrides</w:t>
      </w:r>
    </w:p>
    <w:p>
      <w:pPr>
        <w:spacing w:after="120"/>
      </w:pPr>
      <w:r>
        <w:t xml:space="preserve">These are not separate rows in the taxonomy. They modify hazard or migration at Gate 2 enforcement time, after the base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700"/>
        <w:gridCol w:w="1700"/>
        <w:gridCol w:w="2400"/>
      </w:tblGrid>
      <w:tr>
        <w:trPr>
          <w:tblHeader/>
        </w:trPr>
        <w:tc>
          <w:tcPr>
            <w:tcW w:type="dxa" w:w="35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Condition</w:t>
            </w:r>
          </w:p>
        </w:tc>
        <w:tc>
          <w:tcPr>
            <w:tcW w:type="dxa" w:w="1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Material Hazard</w:t>
            </w:r>
          </w:p>
        </w:tc>
        <w:tc>
          <w:tcPr>
            <w:tcW w:type="dxa" w:w="1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Migration</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Notes</w:t>
            </w:r>
          </w:p>
        </w:tc>
      </w:tr>
      <w:tr>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Unknown proprietary coating (proprietary_named)</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0.80</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0.875</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Triggers hard cap 72 + Layer 4A −3</w:t>
            </w:r>
          </w:p>
        </w:tc>
      </w:tr>
      <w:tr>
        <w:tc>
          <w:tcPr>
            <w:tcW w:type="dxa" w:w="35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Known ceramic + lab Non-Detect (HexClad-style)</w:t>
            </w:r>
          </w:p>
        </w:tc>
        <w:tc>
          <w:tcPr>
            <w:tcW w:type="dxa" w:w="17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0.35 (unchanged)</w:t>
            </w:r>
          </w:p>
        </w:tc>
        <w:tc>
          <w:tcPr>
            <w:tcW w:type="dxa" w:w="17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0.22</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Down from 0.38 base via ×0.58 mitigation</w:t>
            </w:r>
          </w:p>
        </w:tc>
      </w:tr>
      <w:tr>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Undisclosed stay-cool handle (inferred SS304)</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0.03</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0.02</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Treated as inferred stainless</w:t>
            </w:r>
          </w:p>
        </w:tc>
      </w:tr>
      <w:tr>
        <w:tc>
          <w:tcPr>
            <w:tcW w:type="dxa" w:w="35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Undisclosed refill bottle (inferred HDPE)</w:t>
            </w:r>
          </w:p>
        </w:tc>
        <w:tc>
          <w:tcPr>
            <w:tcW w:type="dxa" w:w="17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0.18</w:t>
            </w:r>
          </w:p>
        </w:tc>
        <w:tc>
          <w:tcPr>
            <w:tcW w:type="dxa" w:w="17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0.29</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Non-food-contact packaging</w:t>
            </w:r>
          </w:p>
        </w:tc>
      </w:tr>
    </w:tbl>
    <w:p>
      <w:pPr>
        <w:spacing w:after="120"/>
      </w:pPr>
      <w:r>
        <w:rPr>
          <w:i/>
          <w:iCs/>
        </w:rPr>
        <w:t xml:space="preserve">Proprietary ceramic constants: base hazard 0.35, base migration 0.38, lab Non-Detect migration 0.22.</w:t>
      </w:r>
    </w:p>
    <w:p>
      <w:pPr>
        <w:pStyle w:val="Heading2"/>
      </w:pPr>
      <w:r>
        <w:t xml:space="preserve">Lookup Notes and Known Issues</w:t>
      </w:r>
    </w:p>
    <w:p>
      <w:pPr>
        <w:pStyle w:val="ListParagraph"/>
        <w:numPr>
          <w:ilvl w:val="0"/>
          <w:numId w:val="3"/>
        </w:numPr>
        <w:spacing w:after="60"/>
      </w:pPr>
      <w:r>
        <w:rPr>
          <w:b/>
          <w:bCs/>
        </w:rPr>
        <w:t xml:space="preserve">Hard anodized aluminum duplicate (code bug to fix): </w:t>
      </w:r>
      <w:r>
        <w:t xml:space="preserve">the source file lists hard_anodized_aluminum twice with conflicting values (0.20/0.15 and 0.15/0.20). JavaScript keeps the second entry, so the live value is hazard 0.15, migration 0.20. A dropdown implementation should use 0.15 / 0.20 to match current behavior, and the duplicate should be removed in code so the value is unambiguous.</w:t>
      </w:r>
    </w:p>
    <w:p>
      <w:pPr>
        <w:pStyle w:val="ListParagraph"/>
        <w:numPr>
          <w:ilvl w:val="0"/>
          <w:numId w:val="3"/>
        </w:numPr>
        <w:spacing w:after="60"/>
      </w:pPr>
      <w:r>
        <w:rPr>
          <w:b/>
          <w:bCs/>
        </w:rPr>
        <w:t xml:space="preserve">Two PTFE rows: </w:t>
      </w:r>
      <w:r>
        <w:t xml:space="preserve">ptfe_coating (0.60 / 0.65) versus ptfe_nonstick (0.85 / 0.75). Canonical PTFE from Gate 1 maps to ptfe_nonstick via alias, so T-Fal uses the high band (0.85 / 0.75).</w:t>
      </w:r>
    </w:p>
    <w:p>
      <w:pPr>
        <w:pStyle w:val="ListParagraph"/>
        <w:numPr>
          <w:ilvl w:val="0"/>
          <w:numId w:val="3"/>
        </w:numPr>
        <w:spacing w:after="60"/>
      </w:pPr>
      <w:r>
        <w:rPr>
          <w:b/>
          <w:bCs/>
        </w:rPr>
        <w:t xml:space="preserve">Inert protection is separate: </w:t>
      </w:r>
      <w:r>
        <w:t xml:space="preserve">the inert discount (Scoring Rules) reduces severity and duration in Step 3. It does NOT change the hazard/migration values in this table — those stay as listed; the discount is applied by Agent 3 in the math.</w:t>
      </w:r>
    </w:p>
    <w:p>
      <w:pPr>
        <w:pStyle w:val="ListParagraph"/>
        <w:numPr>
          <w:ilvl w:val="0"/>
          <w:numId w:val="3"/>
        </w:numPr>
        <w:spacing w:after="60"/>
      </w:pPr>
      <w:r>
        <w:rPr>
          <w:b/>
          <w:bCs/>
        </w:rPr>
        <w:t xml:space="preserve">Risk bars reuse these values: </w:t>
      </w:r>
      <w:r>
        <w:t xml:space="preserve">the Display Layer bars read the same normalized hazard/migration as scoring — there is no separate bar lookup.</w:t>
      </w:r>
    </w:p>
    <w:p>
      <w:pPr>
        <w:pStyle w:val="ListParagraph"/>
        <w:numPr>
          <w:ilvl w:val="0"/>
          <w:numId w:val="3"/>
        </w:numPr>
        <w:spacing w:after="60"/>
      </w:pPr>
      <w:r>
        <w:rPr>
          <w:b/>
          <w:bCs/>
        </w:rPr>
        <w:t xml:space="preserve">Canonical ID mapping: </w:t>
      </w:r>
      <w:r>
        <w:t xml:space="preserve">Gate 1 canonical IDs map to these material_ids upstream (e.g. stainless_steel_18_10 → stainless_steel_316; Thermolon → ceramic_nonstick_sol_gel).</w:t>
      </w:r>
    </w:p>
    <w:p>
      <w:pPr>
        <w:spacing w:after="120"/>
      </w:pPr>
      <w:r>
        <w:t xml:space="preserve">Three dimensions multiplied together: Contact Intimacy × Exposure Severity × Exposure Duration.</w:t>
      </w:r>
    </w:p>
    <w:p>
      <w:pPr>
        <w:pStyle w:val="Heading2"/>
      </w:pPr>
      <w:r>
        <w:t xml:space="preserve">Dimension A — Contact Intimacy</w:t>
      </w:r>
    </w:p>
    <w:p>
      <w:pPr>
        <w:spacing w:after="120"/>
      </w:pPr>
      <w:r>
        <w:t xml:space="preserve">How directly and intimately the component contacts food, drink, or the body. This value is also the weighting factor when combining multiple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Contact type</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Value</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Direct liquid contact throughout (bottle interior, straw, sippy cup)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w:t>
            </w:r>
          </w:p>
        </w:tc>
      </w:tr>
      <w:tr>
        <w:tc>
          <w:tcPr>
            <w:tcW w:type="dxa" w:w="7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Direct food contact during cooking (pan surface, utensil)</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1.0</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Direct oral contact (toys, teethers, pacifiers)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w:t>
            </w:r>
          </w:p>
        </w:tc>
      </w:tr>
      <w:tr>
        <w:tc>
          <w:tcPr>
            <w:tcW w:type="dxa" w:w="7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Direct food contact during storage (container interior, wrap)</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0.90</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Direct prolonged full skin contact (underwear, sleepwear, base layers)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0.90</w:t>
            </w:r>
          </w:p>
        </w:tc>
      </w:tr>
      <w:tr>
        <w:tc>
          <w:tcPr>
            <w:tcW w:type="dxa" w:w="7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Bedding in contact during sleep</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0.85</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Direct prolonged partial skin contact (everyday clothing)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0.80</w:t>
            </w:r>
          </w:p>
        </w:tc>
      </w:tr>
      <w:tr>
        <w:tc>
          <w:tcPr>
            <w:tcW w:type="dxa" w:w="7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Direct scalp / facial contact (hats, helmets, masks)</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0.75</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Intermittent hand contact (handles, grips, steering wheel)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0.50</w:t>
            </w:r>
          </w:p>
        </w:tc>
      </w:tr>
      <w:tr>
        <w:tc>
          <w:tcPr>
            <w:tcW w:type="dxa" w:w="7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Indirect food contact (outer lid, bottle exterior)</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0.30</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Brief rinse-off contact (dish soap, shampoo, body wash)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0.25</w:t>
            </w:r>
          </w:p>
        </w:tc>
      </w:tr>
      <w:tr>
        <w:tc>
          <w:tcPr>
            <w:tcW w:type="dxa" w:w="7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Non-contact structural or decorative</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0.10</w:t>
            </w:r>
          </w:p>
        </w:tc>
      </w:tr>
    </w:tbl>
    <w:p>
      <w:pPr>
        <w:pStyle w:val="Heading2"/>
      </w:pPr>
      <w:r>
        <w:t xml:space="preserve">Dimension B — Exposure Severity</w:t>
      </w:r>
    </w:p>
    <w:p>
      <w:pPr>
        <w:spacing w:after="120"/>
      </w:pPr>
      <w:r>
        <w:t xml:space="preserve">How harsh the conditions are during use. Severity describes use conditions only — never the material's inherent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Condition</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Value</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No heat, no acid, no fat, no abrasion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0.20</w:t>
            </w:r>
          </w:p>
        </w:tc>
      </w:tr>
      <w:tr>
        <w:tc>
          <w:tcPr>
            <w:tcW w:type="dxa" w:w="7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Mild — room temperature, water only</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0.30</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Moderate — warm liquids, occasional dishwasher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0.50</w:t>
            </w:r>
          </w:p>
        </w:tc>
      </w:tr>
      <w:tr>
        <w:tc>
          <w:tcPr>
            <w:tcW w:type="dxa" w:w="7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Significant — acidic/fatty foods, regular dishwasher</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0.65</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High — microwave, hot beverages, heavy perspiration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0.75</w:t>
            </w:r>
          </w:p>
        </w:tc>
      </w:tr>
      <w:tr>
        <w:tc>
          <w:tcPr>
            <w:tcW w:type="dxa" w:w="7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Very high — stovetop, direct flame, oven</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0.88</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Extreme — high heat with acidic/fatty foods simultaneously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w:t>
            </w:r>
          </w:p>
        </w:tc>
      </w:tr>
    </w:tbl>
    <w:p>
      <w:pPr>
        <w:spacing w:after="120"/>
      </w:pPr>
      <w:r>
        <w:rPr>
          <w:sz w:val="20"/>
          <w:szCs w:val="20"/>
        </w:rPr>
        <w:t xml:space="preserve">Combination additions (add to base, total capped at 1.0): acidic +0.10, fatty +0.08, alcohol +0.12, heavy abrasion +0.10, heavy perspiration +0.08, UV/outdoor +0.06, oral contact children's +0.10.</w:t>
      </w:r>
    </w:p>
    <w:p>
      <w:pPr>
        <w:pStyle w:val="Heading3"/>
      </w:pPr>
      <w:r>
        <w:t xml:space="preserve">Severity Condition Rule</w:t>
      </w:r>
    </w:p>
    <w:p>
      <w:pPr>
        <w:spacing w:after="120"/>
      </w:pPr>
      <w:r>
        <w:t xml:space="preserve">Exposure Severity describes the harshness of use conditions, not material risk. Material concern belongs in Hazard and Migration; contact intensity in Contact Intimacy; frequency and length in Duration. Severity must not be raised simply because a product is made of a risky material — that would double-count. If two products are used identically, they get the same Severity and Duration, and their score difference comes from Hazard and Migration.</w:t>
      </w:r>
    </w:p>
    <w:p>
      <w:pPr>
        <w:pStyle w:val="Heading2"/>
      </w:pPr>
      <w:r>
        <w:t xml:space="preserve">Dimension C — Exposure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Frequency / length</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Value</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Single brief contact under 1 minute, infrequent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0.15</w:t>
            </w:r>
          </w:p>
        </w:tc>
      </w:tr>
      <w:tr>
        <w:tc>
          <w:tcPr>
            <w:tcW w:type="dxa" w:w="7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Brief contact under 5 minutes, daily</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0.30</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Moderate contact 5–30 minutes, daily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0.50</w:t>
            </w:r>
          </w:p>
        </w:tc>
      </w:tr>
      <w:tr>
        <w:tc>
          <w:tcPr>
            <w:tcW w:type="dxa" w:w="7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Extended contact 30 min – 2 hours, daily</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0.65</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Multi-day continuous food storage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0.75</w:t>
            </w:r>
          </w:p>
        </w:tc>
      </w:tr>
      <w:tr>
        <w:tc>
          <w:tcPr>
            <w:tcW w:type="dxa" w:w="7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Prolonged contact 2–8 hours, daily</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0.80</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Continuous contact 8+ hours, daily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w:t>
            </w:r>
          </w:p>
        </w:tc>
      </w:tr>
    </w:tbl>
    <w:p>
      <w:r>
        <w:br w:type="page"/>
      </w:r>
    </w:p>
    <w:p>
      <w:pPr>
        <w:pStyle w:val="Heading1"/>
      </w:pPr>
      <w:r>
        <w:t xml:space="preserve">Extreme Conditions Escalators</w:t>
      </w:r>
    </w:p>
    <w:p>
      <w:pPr>
        <w:spacing w:after="120"/>
      </w:pPr>
      <w:r>
        <w:t xml:space="preserve">Applied in Step 7. Only the single highest applicable escalator per component. Escalators do not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60"/>
        <w:gridCol w:w="150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Escalator</w:t>
            </w:r>
          </w:p>
        </w:tc>
        <w:tc>
          <w:tcPr>
            <w:tcW w:type="dxa" w:w="52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Trigger</w:t>
            </w:r>
          </w:p>
        </w:tc>
        <w:tc>
          <w:tcPr>
            <w:tcW w:type="dxa" w:w="1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Multiplier</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 — High hazard + high severity, adult</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Migration ≥ 0.60 AND Severity ≥ 0.88 AND not children's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×1.25</w:t>
            </w:r>
          </w:p>
        </w:tc>
      </w:tr>
      <w:tr>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 — High hazard + high severity, children's</w:t>
            </w:r>
          </w:p>
        </w:tc>
        <w:tc>
          <w:tcPr>
            <w:tcW w:type="dxa" w:w="5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Migration ≥ 0.60 AND Severity ≥ 0.88 AND children's</w:t>
            </w:r>
          </w:p>
        </w:tc>
        <w:tc>
          <w:tcPr>
            <w:tcW w:type="dxa" w:w="1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×1.40</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 — Degraded high-risk material</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Migration (after degradation) ≥ 0.70 AND confirmed degradation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×1.30 (cannot fire — degradation removed)</w:t>
            </w:r>
          </w:p>
        </w:tc>
      </w:tr>
      <w:tr>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4 — Oral contact extreme-risk material</w:t>
            </w:r>
          </w:p>
        </w:tc>
        <w:tc>
          <w:tcPr>
            <w:tcW w:type="dxa" w:w="5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Contact Intimacy 1.0 oral AND Hazard ≥ 0.80</w:t>
            </w:r>
          </w:p>
        </w:tc>
        <w:tc>
          <w:tcPr>
            <w:tcW w:type="dxa" w:w="1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×1.50</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5 — Polystyrene extreme heat + fat</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PS6 AND Severity ≥ 0.88 AND fatty contact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×1.60 (proposed, not adopted)</w:t>
            </w:r>
          </w:p>
        </w:tc>
      </w:tr>
    </w:tbl>
    <w:p>
      <w:pPr>
        <w:pBdr>
          <w:left w:val="single" w:color="E0A800" w:sz="18" w:space="8"/>
        </w:pBdr>
        <w:shd w:fill="FFF6E0" w:val="clear"/>
        <w:spacing w:after="160" w:before="80"/>
      </w:pPr>
      <w:r>
        <w:rPr>
          <w:i/>
          <w:iCs/>
          <w:sz w:val="21"/>
          <w:szCs w:val="21"/>
        </w:rPr>
        <w:t xml:space="preserve">New in 2.3.5: the PFAS/PTFE high-heat escalation fires only when approved evidence confirms a PFAS/PTFE-family material is present. It must not fire on an undisclosed coating that has third-party Non-Detect testing for PFAS/PTFE — the testing is evidence against, not for, that classification. A conservative escalator for tested-but-undisclosed coatings was considered and not adopted; such products carry their proprietary penalty and transparency treatment instead.</w:t>
      </w:r>
    </w:p>
    <w:p>
      <w:r>
        <w:br w:type="page"/>
      </w:r>
    </w:p>
    <w:p>
      <w:pPr>
        <w:pStyle w:val="Heading1"/>
      </w:pPr>
      <w:r>
        <w:t xml:space="preserve">Layer 4A — Safety Score Adjustment</w:t>
      </w:r>
    </w:p>
    <w:p>
      <w:pPr>
        <w:spacing w:after="120"/>
      </w:pPr>
      <w:r>
        <w:t xml:space="preserve">Maximum combined impact on the final score is ±5 points. Every adjustment requires an explicit applicability check before being written to scoring inputs. Server-side enforcement rejects any adjustment that does not pass its check.</w:t>
      </w:r>
    </w:p>
    <w:p>
      <w:pPr>
        <w:pStyle w:val="Heading2"/>
      </w:pPr>
      <w:r>
        <w:t xml:space="preserve">Positive Adjustments — maximum combined +5</w:t>
      </w:r>
    </w:p>
    <w:p>
      <w:pPr>
        <w:spacing w:after="120"/>
      </w:pPr>
      <w:r>
        <w:t xml:space="preserve">Each positive credit requires exact match of the certification or testing claim in the product's verified-certifications array. No fuzzy matching, no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Credit</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Points</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Independent lab testing confirming material composition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w:t>
            </w:r>
          </w:p>
        </w:tc>
      </w:tr>
      <w:tr>
        <w:tc>
          <w:tcPr>
            <w:tcW w:type="dxa" w:w="7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NSF certified food safe</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PFAS-free independently verified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w:t>
            </w:r>
          </w:p>
        </w:tc>
      </w:tr>
      <w:tr>
        <w:tc>
          <w:tcPr>
            <w:tcW w:type="dxa" w:w="7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Phthalate-free independently tested</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OEKO-TEX Standard 100 certified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w:t>
            </w:r>
          </w:p>
        </w:tc>
      </w:tr>
      <w:tr>
        <w:tc>
          <w:tcPr>
            <w:tcW w:type="dxa" w:w="7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GOTS certified organic textile</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MADE SAFE certified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w:t>
            </w:r>
          </w:p>
        </w:tc>
      </w:tr>
      <w:tr>
        <w:tc>
          <w:tcPr>
            <w:tcW w:type="dxa" w:w="7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USDA organic certified material</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w:t>
            </w:r>
          </w:p>
        </w:tc>
      </w:tr>
      <w:tr>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Bluesign certified textile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w:t>
            </w:r>
          </w:p>
        </w:tc>
      </w:tr>
    </w:tbl>
    <w:p>
      <w:pPr>
        <w:pBdr>
          <w:left w:val="single" w:color="E0A800" w:sz="18" w:space="8"/>
        </w:pBdr>
        <w:shd w:fill="FFF6E0" w:val="clear"/>
        <w:spacing w:after="160" w:before="80"/>
      </w:pPr>
      <w:r>
        <w:rPr>
          <w:i/>
          <w:iCs/>
          <w:sz w:val="21"/>
          <w:szCs w:val="21"/>
        </w:rPr>
        <w:t xml:space="preserve">Clarification carried into 2.3.5: the +2 independent-lab-testing credit requires testing of material composition (confirming what the material is). Third-party Non-Detect analyte testing (e.g. a PFAS/PTFE panel) does not earn this positive credit — it is handled as a Layer 2 migration mitigation instead. So a tested proprietary coating does not gain a positive Layer 4A credit; it gains a migration reduction.</w:t>
      </w:r>
    </w:p>
    <w:p>
      <w:pPr>
        <w:pStyle w:val="Heading2"/>
      </w:pPr>
      <w:r>
        <w:t xml:space="preserve">Negative Adjustments — maximum combined −5</w:t>
      </w:r>
    </w:p>
    <w:p>
      <w:pPr>
        <w:spacing w:after="120"/>
      </w:pPr>
      <w:r>
        <w:t xml:space="preserve">Only four negative adjustments exist. Any other reason string is rejected by server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Deduction</w:t>
            </w:r>
          </w:p>
        </w:tc>
        <w:tc>
          <w:tcPr>
            <w:tcW w:type="dxa" w:w="1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Points</w:t>
            </w:r>
          </w:p>
        </w:tc>
        <w:tc>
          <w:tcPr>
            <w:tcW w:type="dxa" w:w="5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Applies when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BPA-free claim only, no BPS/BPF testing</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Product claims BPA-free AND no independent BPS/BPF testing; not when undisclosed or structurally guaranteed.</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Proprietary food-contact coating, composition undisclosed</w:t>
            </w:r>
          </w:p>
        </w:tc>
        <w:tc>
          <w:tcPr>
            <w:tcW w:type="dxa" w:w="1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−3</w:t>
            </w:r>
          </w:p>
        </w:tc>
        <w:tc>
          <w:tcPr>
            <w:tcW w:type="dxa" w:w="5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A coating's exact composition is undisclosed and not independently verified. Applies in BOTH cases below; only the cap differs.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Marketing language only, no verifiable claims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Safety claims are made AND the chemistry is undisclosed/unverified. SUPPRESSED when third-party lab testing exists. Suppressed by structural guarantees.</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Undisclosed dye chemistry in textiles</w:t>
            </w:r>
          </w:p>
        </w:tc>
        <w:tc>
          <w:tcPr>
            <w:tcW w:type="dxa" w:w="1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w:t>
            </w:r>
          </w:p>
        </w:tc>
        <w:tc>
          <w:tcPr>
            <w:tcW w:type="dxa" w:w="5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A textile has color treatment and dye chemistry is undisclosed.</w:t>
            </w:r>
          </w:p>
        </w:tc>
      </w:tr>
    </w:tbl>
    <w:p>
      <w:pPr>
        <w:pStyle w:val="Heading3"/>
      </w:pPr>
      <w:r>
        <w:t xml:space="preserve">The proprietary-coating deduction has two cases</w:t>
      </w:r>
    </w:p>
    <w:p>
      <w:pPr>
        <w:spacing w:after="120"/>
      </w:pPr>
      <w:r>
        <w:t xml:space="preserve">The −3 proprietary-coating deduction applies whenever a coating's exact composition is undisclosed and not independently verified. Whether the 72 cap also applies depends on whether the coating can be assigned to a known material family:</w:t>
      </w:r>
    </w:p>
    <w:p>
      <w:pPr>
        <w:pStyle w:val="ListParagraph"/>
        <w:numPr>
          <w:ilvl w:val="0"/>
          <w:numId w:val="3"/>
        </w:numPr>
        <w:spacing w:after="60"/>
      </w:pPr>
      <w:r>
        <w:rPr>
          <w:b/>
          <w:bCs/>
        </w:rPr>
        <w:t xml:space="preserve">Case A — Unknown proprietary coating: </w:t>
      </w:r>
      <w:r>
        <w:t xml:space="preserve">the coating cannot be assigned to a known family, and no verification exists → −3 AND the hard cap at 72.</w:t>
      </w:r>
    </w:p>
    <w:p>
      <w:pPr>
        <w:pStyle w:val="ListParagraph"/>
        <w:numPr>
          <w:ilvl w:val="0"/>
          <w:numId w:val="3"/>
        </w:numPr>
        <w:spacing w:after="60"/>
      </w:pPr>
      <w:r>
        <w:rPr>
          <w:b/>
          <w:bCs/>
        </w:rPr>
        <w:t xml:space="preserve">Case B — Known-category proprietary coating: </w:t>
      </w:r>
      <w:r>
        <w:t xml:space="preserve">the coating family is known enough to assign hazard/migration bands (e.g. ceramic sol-gel nonstick) but the exact formulation is undisclosed — even with third-party Non-Detect analyte testing → −3 but NO unknown-coating cap.</w:t>
      </w:r>
    </w:p>
    <w:p>
      <w:pPr>
        <w:pBdr>
          <w:left w:val="single" w:color="E0A800" w:sz="18" w:space="8"/>
        </w:pBdr>
        <w:shd w:fill="FFF6E0" w:val="clear"/>
        <w:spacing w:after="160" w:before="80"/>
      </w:pPr>
      <w:r>
        <w:rPr>
          <w:i/>
          <w:iCs/>
          <w:sz w:val="21"/>
          <w:szCs w:val="21"/>
        </w:rPr>
        <w:t xml:space="preserve">Critical clarification (the HexClad case): third-party PFAS/PTFE Non-Detect testing verifies non-detection of the tested analytes and supports migration mitigation. It does NOT independently verify the full coating composition, and therefore does NOT remove the −3 proprietary-coating deduction. “We tested and found no PFAS” is not “we disclosed what the coating is.” So HexClad keeps the −3 (composition still secret) while its migration is mitigated (analytes tested clean) — the two are independent and both are correct.</w:t>
      </w:r>
    </w:p>
    <w:p>
      <w:pPr>
        <w:pBdr>
          <w:left w:val="single" w:color="E0A800" w:sz="18" w:space="8"/>
        </w:pBdr>
        <w:shd w:fill="FFF6E0" w:val="clear"/>
        <w:spacing w:after="160" w:before="80"/>
      </w:pPr>
      <w:r>
        <w:rPr>
          <w:i/>
          <w:iCs/>
          <w:sz w:val="21"/>
          <w:szCs w:val="21"/>
        </w:rPr>
        <w:t xml:space="preserve">New in 2.3.5: the marketing-language deduction (−2) is conflation-prone. “Proprietary” and “no verifiable claims” are different things. A proprietary coating with manufacturer-published third-party testing is proprietary (keeps the −3) but is NOT claimless (the −2 is suppressed). The −2 also remains suppressed by structural guarantees: cast iron + PFAS-free, glass + BPA-free, stainless steel + non-toxic are true by definition of the material.</w:t>
      </w:r>
    </w:p>
    <w:p>
      <w:r>
        <w:br w:type="page"/>
      </w:r>
    </w:p>
    <w:p>
      <w:pPr>
        <w:pStyle w:val="Heading1"/>
      </w:pPr>
      <w:r>
        <w:t xml:space="preserve">Layer 4B — Transparency System</w:t>
      </w:r>
    </w:p>
    <w:p>
      <w:pPr>
        <w:spacing w:after="120"/>
      </w:pPr>
      <w:r>
        <w:t xml:space="preserve">This layer never affects the PAC Safety Score. It controls the Transparency Badge displayed alongside the score. The badge communicates disclosure quality to the consumer in plain language — it replaces any numeric uncertainty range, which testing showed was confusing to ordinary readers.</w:t>
      </w:r>
    </w:p>
    <w:p>
      <w:pPr>
        <w:pBdr>
          <w:left w:val="single" w:color="E0A800" w:sz="18" w:space="8"/>
        </w:pBdr>
        <w:shd w:fill="FFF6E0" w:val="clear"/>
        <w:spacing w:after="160" w:before="80"/>
      </w:pPr>
      <w:r>
        <w:rPr>
          <w:i/>
          <w:iCs/>
          <w:sz w:val="21"/>
          <w:szCs w:val="21"/>
        </w:rPr>
        <w:t xml:space="preserve">Changed in 2.3.5: the numeric Confidence Interval has been removed. Earlier versions computed a ±range (and a plausible-hazard-bands re-run mechanism behind it), but the range was never displayed on product pages because “confidence interval” is not meaningful to an average consumer. The badge alone carries the disclosure-quality signal. Removing the CI also removes the plausible-hazard-bands calculation from the scoring path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Badge</w:t>
            </w:r>
          </w:p>
        </w:tc>
        <w:tc>
          <w:tcPr>
            <w:tcW w:type="dxa" w:w="5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Meaning</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Full Disclosed (blue shield)</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All materials disclosed; zero inferred primary-contact components; no negative Layer 4A adjustments.</w:t>
            </w:r>
          </w:p>
        </w:tc>
      </w:tr>
      <w:tr>
        <w:tc>
          <w:tcPr>
            <w:tcW w:type="dxa" w:w="3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Documentation Incomplete (blue-yellow shield)</w:t>
            </w:r>
          </w:p>
        </w:tc>
        <w:tc>
          <w:tcPr>
            <w:tcW w:type="dxa" w:w="57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Primary-contact materials confirmed; some specs or documentation gaps remain.</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Material Uncertain (yellow shield)</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Proprietary or unknown chemistry on primary food-contact, or unverified materials where the plausible range could change the tier.</w:t>
            </w:r>
          </w:p>
        </w:tc>
      </w:tr>
      <w:tr>
        <w:tc>
          <w:tcPr>
            <w:tcW w:type="dxa" w:w="3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Opaque (red shield)</w:t>
            </w:r>
          </w:p>
        </w:tc>
        <w:tc>
          <w:tcPr>
            <w:tcW w:type="dxa" w:w="57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Unknown proprietary food-contact coating triggers the cap rule; materials unknown or unverifiable on primary contact.</w:t>
            </w:r>
          </w:p>
        </w:tc>
      </w:tr>
    </w:tbl>
    <w:p>
      <w:pPr>
        <w:pBdr>
          <w:left w:val="single" w:color="E0A800" w:sz="18" w:space="8"/>
        </w:pBdr>
        <w:shd w:fill="FFF6E0" w:val="clear"/>
        <w:spacing w:after="160" w:before="80"/>
      </w:pPr>
      <w:r>
        <w:rPr>
          <w:i/>
          <w:iCs/>
          <w:sz w:val="21"/>
          <w:szCs w:val="21"/>
        </w:rPr>
        <w:t xml:space="preserve">New in 2.3.5: a coating identified to a known category but with a proprietary formula (e.g. HexClad's ceramic) takes Documentation Incomplete or Material Uncertain — NOT Opaque. Opaque is reserved for genuinely unidentified food-contact coatings. The split between the two non-Opaque badges follows the evidence:</w:t>
      </w:r>
    </w:p>
    <w:p>
      <w:pPr>
        <w:pStyle w:val="ListParagraph"/>
        <w:numPr>
          <w:ilvl w:val="0"/>
          <w:numId w:val="3"/>
        </w:numPr>
        <w:spacing w:after="60"/>
      </w:pPr>
      <w:r>
        <w:rPr>
          <w:b/>
          <w:bCs/>
        </w:rPr>
        <w:t xml:space="preserve">Known-category proprietary + verified third-party Non-Detect testing</w:t>
      </w:r>
      <w:r>
        <w:t xml:space="preserve"> → Documentation Incomplete (e.g. HexClad).</w:t>
      </w:r>
    </w:p>
    <w:p>
      <w:pPr>
        <w:pStyle w:val="ListParagraph"/>
        <w:numPr>
          <w:ilvl w:val="0"/>
          <w:numId w:val="3"/>
        </w:numPr>
        <w:spacing w:after="60"/>
      </w:pPr>
      <w:r>
        <w:rPr>
          <w:b/>
          <w:bCs/>
        </w:rPr>
        <w:t xml:space="preserve">Known-category proprietary + unverified manufacturer claim only</w:t>
      </w:r>
      <w:r>
        <w:t xml:space="preserve"> → Material Uncertain (e.g. GreenPan, Caraway).</w:t>
      </w:r>
    </w:p>
    <w:p>
      <w:r>
        <w:br w:type="page"/>
      </w:r>
    </w:p>
    <w:p>
      <w:pPr>
        <w:pStyle w:val="Heading1"/>
      </w:pPr>
      <w:r>
        <w:t xml:space="preserve">Scoring Rules</w:t>
      </w:r>
    </w:p>
    <w:p>
      <w:pPr>
        <w:pStyle w:val="ListParagraph"/>
        <w:numPr>
          <w:ilvl w:val="0"/>
          <w:numId w:val="3"/>
        </w:numPr>
        <w:spacing w:after="60"/>
      </w:pPr>
      <w:r>
        <w:rPr>
          <w:b/>
          <w:bCs/>
        </w:rPr>
        <w:t xml:space="preserve">Inert Material Protection Rule — </w:t>
      </w:r>
      <w:r>
        <w:t xml:space="preserve">If the primary food/body-contact material has Migration ≤ 0.05, Severity and Duration are reduced by 80% in Step 3.</w:t>
      </w:r>
    </w:p>
    <w:p>
      <w:pPr>
        <w:pStyle w:val="ListParagraph"/>
        <w:numPr>
          <w:ilvl w:val="0"/>
          <w:numId w:val="3"/>
        </w:numPr>
        <w:spacing w:after="60"/>
      </w:pPr>
      <w:r>
        <w:rPr>
          <w:b/>
          <w:bCs/>
        </w:rPr>
        <w:t xml:space="preserve">Unknown Coating Cap Rule — </w:t>
      </w:r>
      <w:r>
        <w:t xml:space="preserve">Any product with an unverified, unidentified proprietary food-contact coating is hard-capped at 72. Does not apply to coatings identified to a known category.</w:t>
      </w:r>
    </w:p>
    <w:p>
      <w:pPr>
        <w:pStyle w:val="ListParagraph"/>
        <w:numPr>
          <w:ilvl w:val="0"/>
          <w:numId w:val="3"/>
        </w:numPr>
        <w:spacing w:after="60"/>
      </w:pPr>
      <w:r>
        <w:rPr>
          <w:b/>
          <w:bCs/>
        </w:rPr>
        <w:t xml:space="preserve">Hybrid Product Rule — </w:t>
      </w:r>
      <w:r>
        <w:t xml:space="preserve">Products with multiple components are scored as systems, weighted by Contact Intimacy at Step 8. Each food-contact zone is scored on its own material identity.</w:t>
      </w:r>
    </w:p>
    <w:p>
      <w:pPr>
        <w:pStyle w:val="ListParagraph"/>
        <w:numPr>
          <w:ilvl w:val="0"/>
          <w:numId w:val="3"/>
        </w:numPr>
        <w:spacing w:after="60"/>
      </w:pPr>
      <w:r>
        <w:rPr>
          <w:b/>
          <w:bCs/>
        </w:rPr>
        <w:t xml:space="preserve">Migration Mitigation Rule — </w:t>
      </w:r>
      <w:r>
        <w:t xml:space="preserve">Qualifying third-party Non-Detect testing multiplies the tested coating's migration by 0.58 (migration only).</w:t>
      </w:r>
    </w:p>
    <w:p>
      <w:pPr>
        <w:pStyle w:val="ListParagraph"/>
        <w:numPr>
          <w:ilvl w:val="0"/>
          <w:numId w:val="3"/>
        </w:numPr>
        <w:spacing w:after="60"/>
      </w:pPr>
      <w:r>
        <w:rPr>
          <w:b/>
          <w:bCs/>
        </w:rPr>
        <w:t xml:space="preserve">Known-Category Coating Rule — </w:t>
      </w:r>
      <w:r>
        <w:t xml:space="preserve">A coating credibly identified to a known family takes that family's hazard/migration bands; proprietary uncertainty is expressed through Layer 4A and Layer 4B, not the hazard band. A coating that is only “proprietary” with no identifiable family takes the unknown bands and the cap.</w:t>
      </w:r>
    </w:p>
    <w:p>
      <w:pPr>
        <w:spacing w:after="120"/>
      </w:pPr>
      <w:r>
        <w:rPr>
          <w:b/>
          <w:bCs/>
          <w:sz w:val="20"/>
          <w:szCs w:val="20"/>
        </w:rPr>
        <w:t xml:space="preserve">Terminology (central to avoiding the band/cap inconsistency):</w:t>
      </w:r>
    </w:p>
    <w:p>
      <w:pPr>
        <w:pStyle w:val="ListParagraph"/>
        <w:numPr>
          <w:ilvl w:val="0"/>
          <w:numId w:val="3"/>
        </w:numPr>
        <w:spacing w:after="60"/>
      </w:pPr>
      <w:r>
        <w:rPr>
          <w:b/>
          <w:bCs/>
        </w:rPr>
        <w:t xml:space="preserve">Known-category proprietary coating</w:t>
      </w:r>
      <w:r>
        <w:t xml:space="preserve"> = the coating family is known enough to assign a hazard/migration category (e.g. ceramic sol-gel nonstick), but the exact formulation remains undisclosed. Takes category bands, −3, no cap.</w:t>
      </w:r>
    </w:p>
    <w:p>
      <w:pPr>
        <w:pStyle w:val="ListParagraph"/>
        <w:numPr>
          <w:ilvl w:val="0"/>
          <w:numId w:val="3"/>
        </w:numPr>
        <w:spacing w:after="60"/>
      </w:pPr>
      <w:r>
        <w:rPr>
          <w:b/>
          <w:bCs/>
        </w:rPr>
        <w:t xml:space="preserve">Unknown proprietary coating</w:t>
      </w:r>
      <w:r>
        <w:t xml:space="preserve"> = the coating cannot be assigned to any known family. Takes the extreme bands (0.80 / 0.875), −3, and the hard cap at 72.</w:t>
      </w:r>
    </w:p>
    <w:p>
      <w:pPr>
        <w:pStyle w:val="ListParagraph"/>
        <w:numPr>
          <w:ilvl w:val="0"/>
          <w:numId w:val="3"/>
        </w:numPr>
        <w:spacing w:after="60"/>
      </w:pPr>
      <w:r>
        <w:rPr>
          <w:b/>
          <w:bCs/>
        </w:rPr>
        <w:t xml:space="preserve">Severity Condition Rule — </w:t>
      </w:r>
      <w:r>
        <w:t xml:space="preserve">Severity reflects use conditions only, never material risk.</w:t>
      </w:r>
    </w:p>
    <w:p>
      <w:pPr>
        <w:pStyle w:val="ListParagraph"/>
        <w:numPr>
          <w:ilvl w:val="0"/>
          <w:numId w:val="3"/>
        </w:numPr>
        <w:spacing w:after="60"/>
      </w:pPr>
      <w:r>
        <w:rPr>
          <w:b/>
          <w:bCs/>
        </w:rPr>
        <w:t xml:space="preserve">Default Use Assumption Rule — </w:t>
      </w:r>
      <w:r>
        <w:t xml:space="preserve">Severity and Duration reflect Normal Intended plus Common Foreseeable Use.</w:t>
      </w:r>
    </w:p>
    <w:p>
      <w:pPr>
        <w:pStyle w:val="ListParagraph"/>
        <w:numPr>
          <w:ilvl w:val="0"/>
          <w:numId w:val="3"/>
        </w:numPr>
        <w:spacing w:after="60"/>
      </w:pPr>
      <w:r>
        <w:rPr>
          <w:b/>
          <w:bCs/>
        </w:rPr>
        <w:t xml:space="preserve">Extreme Conditions Escalator Rule — </w:t>
      </w:r>
      <w:r>
        <w:t xml:space="preserve">Single highest per component, no stacking. PFAS/PTFE escalation only on confirmed PFAS/PTFE-family material.</w:t>
      </w:r>
    </w:p>
    <w:p>
      <w:pPr>
        <w:pStyle w:val="ListParagraph"/>
        <w:numPr>
          <w:ilvl w:val="0"/>
          <w:numId w:val="3"/>
        </w:numPr>
        <w:spacing w:after="60"/>
      </w:pPr>
      <w:r>
        <w:rPr>
          <w:b/>
          <w:bCs/>
        </w:rPr>
        <w:t xml:space="preserve">Layer 4A Applicability Rule — </w:t>
      </w:r>
      <w:r>
        <w:t xml:space="preserve">Every adjustment requires an applicability check; server-side enforcement rejects failures.</w:t>
      </w:r>
    </w:p>
    <w:p>
      <w:pPr>
        <w:pStyle w:val="ListParagraph"/>
        <w:numPr>
          <w:ilvl w:val="0"/>
          <w:numId w:val="3"/>
        </w:numPr>
        <w:spacing w:after="60"/>
      </w:pPr>
      <w:r>
        <w:rPr>
          <w:b/>
          <w:bCs/>
        </w:rPr>
        <w:t xml:space="preserve">Structural Guarantee Suppression Rule — </w:t>
      </w:r>
      <w:r>
        <w:t xml:space="preserve">The marketing-language deduction does not apply when claims are structurally guaranteed by confirmed materials.</w:t>
      </w:r>
    </w:p>
    <w:p>
      <w:pPr>
        <w:pStyle w:val="ListParagraph"/>
        <w:numPr>
          <w:ilvl w:val="0"/>
          <w:numId w:val="3"/>
        </w:numPr>
        <w:spacing w:after="60"/>
      </w:pPr>
      <w:r>
        <w:rPr>
          <w:b/>
          <w:bCs/>
        </w:rPr>
        <w:t xml:space="preserve">Score Cap Rule — </w:t>
      </w:r>
      <w:r>
        <w:t xml:space="preserve">Maximum PAC Safety Score is 99.</w:t>
      </w:r>
    </w:p>
    <w:p>
      <w:pPr>
        <w:pStyle w:val="ListParagraph"/>
        <w:numPr>
          <w:ilvl w:val="0"/>
          <w:numId w:val="3"/>
        </w:numPr>
        <w:spacing w:after="60"/>
      </w:pPr>
      <w:r>
        <w:rPr>
          <w:b/>
          <w:bCs/>
        </w:rPr>
        <w:t xml:space="preserve">Deterministic Normalization Rule — </w:t>
      </w:r>
      <w:r>
        <w:t xml:space="preserve">Agent 2 produces scoring inputs through deterministic lookup tables and applicability rules. The same evidence packet produces identical scoring inputs every run.</w:t>
      </w:r>
    </w:p>
    <w:p>
      <w:pPr>
        <w:pStyle w:val="Heading1"/>
      </w:pPr>
      <w:r>
        <w:t xml:space="preserve">Canonical Scoring Inputs</w:t>
      </w:r>
    </w:p>
    <w:p>
      <w:pPr>
        <w:pBdr>
          <w:left w:val="single" w:color="E0A800" w:sz="18" w:space="8"/>
        </w:pBdr>
        <w:shd w:fill="FFF6E0" w:val="clear"/>
        <w:spacing w:after="160" w:before="80"/>
      </w:pPr>
      <w:r>
        <w:rPr>
          <w:i/>
          <w:iCs/>
          <w:sz w:val="21"/>
          <w:szCs w:val="21"/>
        </w:rPr>
        <w:t xml:space="preserve">New section in 2.3.5. This is the governing principle behind the cookware-build fixes: every scoring bug traced to prose or compound material strings being re-interpreted downstream.</w:t>
      </w:r>
    </w:p>
    <w:p>
      <w:pPr>
        <w:shd w:fill="EEF3F8" w:val="clear"/>
        <w:spacing w:after="120" w:before="80"/>
        <w:jc w:val="center"/>
      </w:pPr>
      <w:r>
        <w:rPr>
          <w:b/>
          <w:bCs/>
          <w:sz w:val="24"/>
          <w:szCs w:val="24"/>
        </w:rPr>
        <w:t xml:space="preserve">Evidence can be prose. Scoring inputs cannot be prose.</w:t>
      </w:r>
    </w:p>
    <w:p>
      <w:pPr>
        <w:pStyle w:val="ListParagraph"/>
        <w:numPr>
          <w:ilvl w:val="0"/>
          <w:numId w:val="6"/>
        </w:numPr>
        <w:spacing w:after="60"/>
      </w:pPr>
      <w:r>
        <w:rPr>
          <w:b/>
          <w:bCs/>
        </w:rPr>
        <w:t xml:space="preserve">Canonical inputs only. </w:t>
      </w:r>
      <w:r>
        <w:t xml:space="preserve">No freeform or compound material string may drive scoring. Each scoring-driving field must be a canonical value from the taxonomy or an enumerated status.</w:t>
      </w:r>
    </w:p>
    <w:p>
      <w:pPr>
        <w:pStyle w:val="ListParagraph"/>
        <w:numPr>
          <w:ilvl w:val="0"/>
          <w:numId w:val="6"/>
        </w:numPr>
        <w:spacing w:after="60"/>
      </w:pPr>
      <w:r>
        <w:rPr>
          <w:b/>
          <w:bCs/>
        </w:rPr>
        <w:t xml:space="preserve">Display material ≠ scoring material. </w:t>
      </w:r>
      <w:r>
        <w:t xml:space="preserve">Display text may read “Thermolon ceramic nonstick over hard-anodized aluminum.” Scoring fields must read: primary_food_contact = ceramic_nonstick_sol_gel; substrate = hard_anodized_aluminum; component_structure = coating_over_substrate.</w:t>
      </w:r>
    </w:p>
    <w:p>
      <w:pPr>
        <w:pStyle w:val="ListParagraph"/>
        <w:numPr>
          <w:ilvl w:val="0"/>
          <w:numId w:val="6"/>
        </w:numPr>
        <w:spacing w:after="60"/>
      </w:pPr>
      <w:r>
        <w:rPr>
          <w:b/>
          <w:bCs/>
        </w:rPr>
        <w:t xml:space="preserve">Hybrid classification. </w:t>
      </w:r>
      <w:r>
        <w:t xml:space="preserve">Hybrid status may come only from product-disclosed construction fields, never from third-party review text or cross-product source excerpts.</w:t>
      </w:r>
    </w:p>
    <w:p>
      <w:pPr>
        <w:pStyle w:val="ListParagraph"/>
        <w:numPr>
          <w:ilvl w:val="0"/>
          <w:numId w:val="6"/>
        </w:numPr>
        <w:spacing w:after="60"/>
      </w:pPr>
      <w:r>
        <w:rPr>
          <w:b/>
          <w:bCs/>
        </w:rPr>
        <w:t xml:space="preserve">Lab evidence substance. </w:t>
      </w:r>
      <w:r>
        <w:t xml:space="preserve">A statement that a product is “third-party tested” is not lab evidence. Qualifying lab evidence requires real substance: lab name, analytes, result language, and Non-Detect/detection values.</w:t>
      </w:r>
    </w:p>
    <w:p>
      <w:pPr>
        <w:pStyle w:val="ListParagraph"/>
        <w:numPr>
          <w:ilvl w:val="0"/>
          <w:numId w:val="6"/>
        </w:numPr>
        <w:spacing w:after="60"/>
      </w:pPr>
      <w:r>
        <w:rPr>
          <w:b/>
          <w:bCs/>
        </w:rPr>
        <w:t xml:space="preserve">No downstream reinterpretation. </w:t>
      </w:r>
      <w:r>
        <w:t xml:space="preserve">Once fields are locked, Agent 3 reads only the locked fields and runs the math. It does not re-derive penalties, escalators, bands, or classifications.</w:t>
      </w:r>
    </w:p>
    <w:p>
      <w:pPr>
        <w:pStyle w:val="ListParagraph"/>
        <w:numPr>
          <w:ilvl w:val="0"/>
          <w:numId w:val="6"/>
        </w:numPr>
        <w:spacing w:after="60"/>
      </w:pPr>
      <w:r>
        <w:rPr>
          <w:b/>
          <w:bCs/>
        </w:rPr>
        <w:t xml:space="preserve">Component dedup. </w:t>
      </w:r>
      <w:r>
        <w:t xml:space="preserve">Coating-over-substrate is one structured component relationship, not duplicate components for the same coating.</w:t>
      </w:r>
    </w:p>
    <w:p>
      <w:pPr>
        <w:pStyle w:val="ListParagraph"/>
        <w:numPr>
          <w:ilvl w:val="0"/>
          <w:numId w:val="6"/>
        </w:numPr>
        <w:spacing w:after="60"/>
      </w:pPr>
      <w:r>
        <w:rPr>
          <w:b/>
          <w:bCs/>
        </w:rPr>
        <w:t xml:space="preserve">Source contamination control. </w:t>
      </w:r>
      <w:r>
        <w:t xml:space="preserve">Cross-product sources cannot determine material taxonomy. A source about one product cannot classify another.</w:t>
      </w:r>
    </w:p>
    <w:p>
      <w:pPr>
        <w:pStyle w:val="Heading1"/>
      </w:pPr>
      <w:r>
        <w:t xml:space="preserve">Tier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5000"/>
      </w:tblGrid>
      <w:tr>
        <w:trPr>
          <w:tblHeader/>
        </w:trPr>
        <w:tc>
          <w:tcPr>
            <w:tcW w:type="dxa" w:w="1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Score</w:t>
            </w:r>
          </w:p>
        </w:tc>
        <w:tc>
          <w:tcPr>
            <w:tcW w:type="dxa" w:w="25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Tier</w:t>
            </w:r>
          </w:p>
        </w:tc>
        <w:tc>
          <w:tcPr>
            <w:tcW w:type="dxa" w:w="5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90–99</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Excellent (green)</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Minimal PAC exposure pathways</w:t>
            </w:r>
          </w:p>
        </w:tc>
      </w:tr>
      <w:tr>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75–89</w:t>
            </w:r>
          </w:p>
        </w:tc>
        <w:tc>
          <w:tcPr>
            <w:tcW w:type="dxa" w:w="25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Good (blue)</w:t>
            </w:r>
          </w:p>
        </w:tc>
        <w:tc>
          <w:tcPr>
            <w:tcW w:type="dxa" w:w="5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Genuinely safer mainstream products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55–74</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Caution (yellow)</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Acceptable but not ideal; consider alternatives</w:t>
            </w:r>
          </w:p>
        </w:tc>
      </w:tr>
      <w:tr>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30–54</w:t>
            </w:r>
          </w:p>
        </w:tc>
        <w:tc>
          <w:tcPr>
            <w:tcW w:type="dxa" w:w="25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Concern (orange)</w:t>
            </w:r>
          </w:p>
        </w:tc>
        <w:tc>
          <w:tcPr>
            <w:tcW w:type="dxa" w:w="5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Meaningful risk; alternatives strongly recommended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0–29</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High Risk (red)</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Avoid if possible</w:t>
            </w:r>
          </w:p>
        </w:tc>
      </w:tr>
    </w:tbl>
    <w:p>
      <w:r>
        <w:br w:type="page"/>
      </w:r>
    </w:p>
    <w:p>
      <w:pPr>
        <w:pStyle w:val="Heading1"/>
      </w:pPr>
      <w:r>
        <w:t xml:space="preserve">Display Layer — The Three Risk Bars</w:t>
      </w:r>
    </w:p>
    <w:p>
      <w:pPr>
        <w:spacing w:after="120"/>
      </w:pPr>
      <w:r>
        <w:t xml:space="preserve">Every product page shows a “How we measure risk” dashboard with three horizontal bars: Contact material, Migration, and Use conditions. These bars are explanatory visuals that help a consumer see why a product scored as it did. They are documented here, as part of the system, so the value-to-bar mapping is explicit and not hidden in page code.</w:t>
      </w:r>
    </w:p>
    <w:p>
      <w:pPr>
        <w:pBdr>
          <w:left w:val="single" w:color="E0A800" w:sz="18" w:space="8"/>
        </w:pBdr>
        <w:shd w:fill="FFF6E0" w:val="clear"/>
        <w:spacing w:after="160" w:before="80"/>
      </w:pPr>
      <w:r>
        <w:rPr>
          <w:i/>
          <w:iCs/>
          <w:sz w:val="21"/>
          <w:szCs w:val="21"/>
        </w:rPr>
        <w:t xml:space="preserve">Important: the bars are NOT the score, and they are NOT a simple readout of the NPR inputs. The PAC Safety Score comes from Gate 3 (the full four-layer calculation). The bars are a separate display computation with their own inputs and their own thresholds, defined below. The score is not an average of the three bars — a product can score well with one alarming bar (Lodge has Harsh use conditions but inert material, so it still scores 99). The closing page copy says this explicitly: risk emerges only when all three factors combine.</w:t>
      </w:r>
    </w:p>
    <w:p>
      <w:pPr>
        <w:pStyle w:val="Heading2"/>
      </w:pPr>
      <w:r>
        <w:t xml:space="preserve">What each bar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Bar</w:t>
            </w:r>
          </w:p>
        </w:tc>
        <w:tc>
          <w:tcPr>
            <w:tcW w:type="dxa" w:w="3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Measures</w:t>
            </w:r>
          </w:p>
        </w:tc>
        <w:tc>
          <w:tcPr>
            <w:tcW w:type="dxa" w:w="3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Source input (from Gate 2 normalization)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Contact material</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PAC concern from the food-contact material's chemistry</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material_hazard on primary food-contact components (Layer 1)</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Migration</w:t>
            </w:r>
          </w:p>
        </w:tc>
        <w:tc>
          <w:tcPr>
            <w:tcW w:type="dxa" w:w="3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How easily chemicals can transfer from the contact material</w:t>
            </w:r>
          </w:p>
        </w:tc>
        <w:tc>
          <w:tcPr>
            <w:tcW w:type="dxa" w:w="37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adjusted_migration_potential, falling back to base_migration_potential (Layer 2)</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Use conditions</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How harshly the product is used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exposure_severity × contact_intimacy (Layer 3, duration excluded)</w:t>
            </w:r>
          </w:p>
        </w:tc>
      </w:tr>
    </w:tbl>
    <w:p>
      <w:pPr>
        <w:spacing w:after="120"/>
      </w:pPr>
      <w:r>
        <w:rPr>
          <w:i/>
          <w:iCs/>
        </w:rPr>
        <w:t xml:space="preserve">Note that Use conditions uses Severity × Contact Intimacy and deliberately excludes Duration — it is a display measure of intensity, not the full Layer 3 pathway used in scoring. This is one reason the bars are not a direct readout of the score math.</w:t>
      </w:r>
    </w:p>
    <w:p>
      <w:pPr>
        <w:pStyle w:val="Heading2"/>
      </w:pPr>
      <w:r>
        <w:t xml:space="preserve">Which components feed the bars</w:t>
      </w:r>
    </w:p>
    <w:p>
      <w:pPr>
        <w:spacing w:after="120"/>
      </w:pPr>
      <w:r>
        <w:t xml:space="preserve">Only components whose role is primary_food_contact, coating, or formulation are counted. If no component matches, all components are used. Each value is weighted by contact_intimacy across that contact set.</w:t>
      </w:r>
    </w:p>
    <w:p>
      <w:pPr>
        <w:spacing w:after="120"/>
      </w:pPr>
      <w:r>
        <w:t xml:space="preserve">Dominant-material cap: for known score-driving coatings (PTFE, ceramic nonstick, proprietary/unknown coatings), the material and migration bars use the greater of (the contact-intimacy-weighted average) and (the dominant component's own value). This stops an inert handle or substrate from diluting the food-contact surface on the display. It is governed by the dominant-material check in the material taxonomy.</w:t>
      </w:r>
    </w:p>
    <w:p>
      <w:pPr>
        <w:pStyle w:val="Heading2"/>
      </w:pPr>
      <w:r>
        <w:t xml:space="preserve">Risk level to bar fill, color, and label</w:t>
      </w:r>
    </w:p>
    <w:p>
      <w:pPr>
        <w:spacing w:after="120"/>
      </w:pPr>
      <w:r>
        <w:t xml:space="preserve">Each bar's underlying value (0.0–1.0) is classified into one of three risk levels, which set the color and the fill. Fill is Oura-style: a longer green bar means lower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160"/>
        <w:gridCol w:w="360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Risk level</w:t>
            </w:r>
          </w:p>
        </w:tc>
        <w:tc>
          <w:tcPr>
            <w:tcW w:type="dxa" w:w="1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Tone</w:t>
            </w:r>
          </w:p>
        </w:tc>
        <w:tc>
          <w:tcPr>
            <w:tcW w:type="dxa" w:w="2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Color</w:t>
            </w:r>
          </w:p>
        </w:tc>
        <w:tc>
          <w:tcPr>
            <w:tcW w:type="dxa" w:w="3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Bar fill behavior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value ≤ 0.15</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Safe</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Emerald (green)</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Long bar. Fill = (1 − value) × 100</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0.15 &lt; value ≤ 0.40</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Moderate</w:t>
            </w:r>
          </w:p>
        </w:tc>
        <w:tc>
          <w:tcPr>
            <w:tcW w:type="dxa" w:w="2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Amber (orange)</w:t>
            </w:r>
          </w:p>
        </w:tc>
        <w:tc>
          <w:tcPr>
            <w:tcW w:type="dxa" w:w="3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Mid band. Migration maps to 50–55%; material with coating uncertainty maps to 55–60%</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value &gt; 0.40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Concerning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Red</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Short bar. Fill = min((1 − value) × 100, 33) — capped at 33%</w:t>
            </w:r>
          </w:p>
        </w:tc>
      </w:tr>
    </w:tbl>
    <w:p>
      <w:pPr>
        <w:pStyle w:val="Heading2"/>
      </w:pPr>
      <w:r>
        <w:t xml:space="preserve">Status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Bar</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Safe</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Moderate</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Concerning</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Contact material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Minimal PAC concern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Moderate concern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High PAC concern</w:t>
            </w:r>
          </w:p>
        </w:tc>
      </w:tr>
      <w:tr>
        <w:tc>
          <w:tcPr>
            <w:tcW w:type="dxa" w:w="2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Migration</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Low migration</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Moderate migration</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High migration</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Use conditions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Gentle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Standard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Harsh</w:t>
            </w:r>
          </w:p>
        </w:tc>
      </w:tr>
    </w:tbl>
    <w:p>
      <w:pPr>
        <w:spacing w:after="120"/>
      </w:pPr>
      <w:r>
        <w:rPr>
          <w:b/>
          <w:bCs/>
          <w:sz w:val="20"/>
          <w:szCs w:val="20"/>
        </w:rPr>
        <w:t xml:space="preserve">Material bar label overrides (applied when applicable):</w:t>
      </w:r>
    </w:p>
    <w:p>
      <w:pPr>
        <w:pStyle w:val="ListParagraph"/>
        <w:numPr>
          <w:ilvl w:val="0"/>
          <w:numId w:val="3"/>
        </w:numPr>
        <w:spacing w:after="60"/>
      </w:pPr>
      <w:r>
        <w:t xml:space="preserve">PTFE present + concerning → “High concern · PTFE coating”</w:t>
      </w:r>
    </w:p>
    <w:p>
      <w:pPr>
        <w:pStyle w:val="ListParagraph"/>
        <w:numPr>
          <w:ilvl w:val="0"/>
          <w:numId w:val="3"/>
        </w:numPr>
        <w:spacing w:after="60"/>
      </w:pPr>
      <w:r>
        <w:t xml:space="preserve">Coating uncertainty + moderate → “Moderate concern · coating uncertainty”</w:t>
      </w:r>
    </w:p>
    <w:p>
      <w:pPr>
        <w:pStyle w:val="ListParagraph"/>
        <w:numPr>
          <w:ilvl w:val="0"/>
          <w:numId w:val="3"/>
        </w:numPr>
        <w:spacing w:after="60"/>
      </w:pPr>
      <w:r>
        <w:t xml:space="preserve">Coating uncertainty + concerning → “High concern · coating uncertainty”</w:t>
      </w:r>
    </w:p>
    <w:p>
      <w:pPr>
        <w:spacing w:after="120"/>
      </w:pPr>
      <w:r>
        <w:rPr>
          <w:i/>
          <w:iCs/>
        </w:rPr>
        <w:t xml:space="preserve">Coating uncertainty triggers when there is an unknown or proprietary food-contact coating, or a disclosure-limited badge together with a food-contact coating that is neither inert nor PTFE.</w:t>
      </w:r>
    </w:p>
    <w:p>
      <w:pPr>
        <w:pStyle w:val="Heading2"/>
      </w:pPr>
      <w:r>
        <w:t xml:space="preserve">How the bars render for the reference products</w:t>
      </w:r>
    </w:p>
    <w:p>
      <w:pPr>
        <w:spacing w:after="120"/>
      </w:pPr>
      <w:r>
        <w:t xml:space="preserve">These confirm the mapping against the six known products. Use conditions is Harsh (red, 4% fill) for all cookware because stovetop heat with fat is a harsh use condition regardless of material — which is exactly why the bars are not the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2480"/>
        <w:gridCol w:w="1400"/>
      </w:tblGrid>
      <w:tr>
        <w:trPr>
          <w:tblHeader/>
        </w:trPr>
        <w:tc>
          <w:tcPr>
            <w:tcW w:type="dxa" w:w="1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Product</w:t>
            </w:r>
          </w:p>
        </w:tc>
        <w:tc>
          <w:tcPr>
            <w:tcW w:type="dxa" w:w="3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Contact material</w:t>
            </w:r>
          </w:p>
        </w:tc>
        <w:tc>
          <w:tcPr>
            <w:tcW w:type="dxa" w:w="24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Migration</w:t>
            </w:r>
          </w:p>
        </w:tc>
        <w:tc>
          <w:tcPr>
            <w:tcW w:type="dxa" w:w="1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Use conditions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Lodge (99)</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Minimal PAC concern — emerald, 97%</w:t>
            </w:r>
          </w:p>
        </w:tc>
        <w:tc>
          <w:tcPr>
            <w:tcW w:type="dxa" w:w="2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 migration — emerald, 97%</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Harsh — red, 4%</w:t>
            </w:r>
          </w:p>
        </w:tc>
      </w:tr>
      <w:tr>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Caraway (66)</w:t>
            </w:r>
          </w:p>
        </w:tc>
        <w:tc>
          <w:tcPr>
            <w:tcW w:type="dxa" w:w="368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Moderate concern · coating uncertainty — amber, 56%</w:t>
            </w:r>
          </w:p>
        </w:tc>
        <w:tc>
          <w:tcPr>
            <w:tcW w:type="dxa" w:w="248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Moderate migration — amber, 50%</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Harsh — red, 4%</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T-Fal (2)</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High concern · PTFE coating — red, 15%</w:t>
            </w:r>
          </w:p>
        </w:tc>
        <w:tc>
          <w:tcPr>
            <w:tcW w:type="dxa" w:w="2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High migration — red, 25%</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Harsh — red, 4%</w:t>
            </w:r>
          </w:p>
        </w:tc>
      </w:tr>
    </w:tbl>
    <w:p>
      <w:pPr>
        <w:pStyle w:val="Heading2"/>
      </w:pPr>
      <w:r>
        <w:t xml:space="preserve">Where the bars live in the pipeline</w:t>
      </w:r>
    </w:p>
    <w:p>
      <w:pPr>
        <w:spacing w:after="120"/>
      </w:pPr>
      <w:r>
        <w:t xml:space="preserve">Gate 2 normalization components feed computeRiskDashboardMetrics(), which feeds buildRiskBars(), which writes display.risk_bars[]. For published products the bars are frozen in the display snapshot, so description overrides do not change them. A display contract enforces that the three bar IDs are material, migration, and use_conditions, and that colors are emerald, amber, or red.</w:t>
      </w:r>
    </w:p>
    <w:p>
      <w:r>
        <w:br w:type="page"/>
      </w:r>
    </w:p>
    <w:p>
      <w:pPr>
        <w:pStyle w:val="Heading1"/>
      </w:pPr>
      <w:r>
        <w:t xml:space="preserve">Reference Scores — Cookware Subcategory</w:t>
      </w:r>
    </w:p>
    <w:p>
      <w:pPr>
        <w:spacing w:after="120"/>
      </w:pPr>
      <w:r>
        <w:t xml:space="preserve">These six products are the locked known-answer set. 2.3.5 must reproduce these scores exactly. They form the regression check for any future change and the validation target for the spreadsheet reproduction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560"/>
        <w:gridCol w:w="4000"/>
      </w:tblGrid>
      <w:tr>
        <w:trPr>
          <w:tblHeader/>
        </w:trPr>
        <w:tc>
          <w:tcPr>
            <w:tcW w:type="dxa" w:w="2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Product</w:t>
            </w:r>
          </w:p>
        </w:tc>
        <w:tc>
          <w:tcPr>
            <w:tcW w:type="dxa" w:w="1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Score</w:t>
            </w:r>
          </w:p>
        </w:tc>
        <w:tc>
          <w:tcPr>
            <w:tcW w:type="dxa" w:w="15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Tier</w:t>
            </w:r>
          </w:p>
        </w:tc>
        <w:tc>
          <w:tcPr>
            <w:tcW w:type="dxa" w:w="4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Material system</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Lodge Cast Iron Skillet</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99</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Excellent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Bare cast iron (inert, fully disclosed)</w:t>
            </w:r>
          </w:p>
        </w:tc>
      </w:tr>
      <w:tr>
        <w:tc>
          <w:tcPr>
            <w:tcW w:type="dxa" w:w="27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All-Clad G5 Stainless</w:t>
            </w:r>
          </w:p>
        </w:tc>
        <w:tc>
          <w:tcPr>
            <w:tcW w:type="dxa" w:w="11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99</w:t>
            </w:r>
          </w:p>
        </w:tc>
        <w:tc>
          <w:tcPr>
            <w:tcW w:type="dxa" w:w="15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Excellent</w:t>
            </w:r>
          </w:p>
        </w:tc>
        <w:tc>
          <w:tcPr>
            <w:tcW w:type="dxa" w:w="4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Bare stainless steel (inert, fully disclosed)</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HexClad Hybrid</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78</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Good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Hybrid: tested proprietary ceramic valleys + inert stainless peaks</w:t>
            </w:r>
          </w:p>
        </w:tc>
      </w:tr>
      <w:tr>
        <w:tc>
          <w:tcPr>
            <w:tcW w:type="dxa" w:w="27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GreenPan Valencia Pro</w:t>
            </w:r>
          </w:p>
        </w:tc>
        <w:tc>
          <w:tcPr>
            <w:tcW w:type="dxa" w:w="11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69</w:t>
            </w:r>
          </w:p>
        </w:tc>
        <w:tc>
          <w:tcPr>
            <w:tcW w:type="dxa" w:w="15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Caution</w:t>
            </w:r>
          </w:p>
        </w:tc>
        <w:tc>
          <w:tcPr>
            <w:tcW w:type="dxa" w:w="4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Untested proprietary ceramic over hard-anodized aluminum</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Caraway Ceramic</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66</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Caution</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Untested proprietary ceramic</w:t>
            </w:r>
          </w:p>
        </w:tc>
      </w:tr>
      <w:tr>
        <w:tc>
          <w:tcPr>
            <w:tcW w:type="dxa" w:w="27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T-Fal Hard Anodized</w:t>
            </w:r>
          </w:p>
        </w:tc>
        <w:tc>
          <w:tcPr>
            <w:tcW w:type="dxa" w:w="11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w:t>
            </w:r>
          </w:p>
        </w:tc>
        <w:tc>
          <w:tcPr>
            <w:tcW w:type="dxa" w:w="15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High Risk</w:t>
            </w:r>
          </w:p>
        </w:tc>
        <w:tc>
          <w:tcPr>
            <w:tcW w:type="dxa" w:w="4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Confirmed PTFE nonstick (PFAS-family)</w:t>
            </w:r>
          </w:p>
        </w:tc>
      </w:tr>
    </w:tbl>
    <w:p>
      <w:pPr>
        <w:pStyle w:val="Heading2"/>
      </w:pPr>
      <w:r>
        <w:t xml:space="preserve">How the cookware ladder holds together</w:t>
      </w:r>
    </w:p>
    <w:p>
      <w:pPr>
        <w:spacing w:after="120"/>
      </w:pPr>
      <w:r>
        <w:t xml:space="preserve">Inert disclosed metals (99) sit at the top. A tested proprietary ceramic in a hybrid with inert steel peaks (HexClad 78) sits in Good — above the untested proprietary ceramics because of its Non-Detect migration mitigation and its partly inert food-contact surface. The two untested proprietary ceramics (GreenPan 69, Caraway 66) cluster in Caution. Confirmed PTFE (T-Fal 2) sits at the bottom. The difference between HexClad and the untested ceramics is the migration mitigation (×0.58) plus the hybrid inert-peak benefit; they share the same ceramic hazard band and proprietary uncertainty treatment.</w:t>
      </w:r>
    </w:p>
    <w:p>
      <w:pPr>
        <w:pStyle w:val="Heading2"/>
      </w:pPr>
      <w:r>
        <w:t xml:space="preserve">Worked example — HexClad 78</w:t>
      </w:r>
    </w:p>
    <w:p>
      <w:pPr>
        <w:pStyle w:val="ListParagraph"/>
        <w:numPr>
          <w:ilvl w:val="0"/>
          <w:numId w:val="3"/>
        </w:numPr>
        <w:spacing w:after="60"/>
      </w:pPr>
      <w:r>
        <w:t xml:space="preserve">Ceramic valleys: hazard 0.35, migration 0.22 (0.38 × 0.58 mitigation), Contact Intimacy 1.0, Severity 0.96, Duration 0.50 → NPR 36.96.</w:t>
      </w:r>
    </w:p>
    <w:p>
      <w:pPr>
        <w:pStyle w:val="ListParagraph"/>
        <w:numPr>
          <w:ilvl w:val="0"/>
          <w:numId w:val="3"/>
        </w:numPr>
        <w:spacing w:after="60"/>
      </w:pPr>
      <w:r>
        <w:t xml:space="preserve">Stainless peaks: hazard 0.03, migration 0.02, inert protection → NPR ≈ 0.01.</w:t>
      </w:r>
    </w:p>
    <w:p>
      <w:pPr>
        <w:pStyle w:val="ListParagraph"/>
        <w:numPr>
          <w:ilvl w:val="0"/>
          <w:numId w:val="3"/>
        </w:numPr>
        <w:spacing w:after="60"/>
      </w:pPr>
      <w:r>
        <w:t xml:space="preserve">Aluminum body and stainless handle: inert secondary contributions.</w:t>
      </w:r>
    </w:p>
    <w:p>
      <w:pPr>
        <w:pStyle w:val="ListParagraph"/>
        <w:numPr>
          <w:ilvl w:val="0"/>
          <w:numId w:val="3"/>
        </w:numPr>
        <w:spacing w:after="60"/>
      </w:pPr>
      <w:r>
        <w:t xml:space="preserve">Contact-Intimacy-weighted NPR ~ 14.24, so raw score = 100 - ( sqrt(14.24) x 5 ) ~ 81.1.</w:t>
      </w:r>
    </w:p>
    <w:p>
      <w:pPr>
        <w:pStyle w:val="ListParagraph"/>
        <w:numPr>
          <w:ilvl w:val="0"/>
          <w:numId w:val="3"/>
        </w:numPr>
        <w:spacing w:after="60"/>
      </w:pPr>
      <w:r>
        <w:t xml:space="preserve">Layer 4A −3 (proprietary chemistry undisclosed; the −2 marketing deduction suppressed by lab testing) → 78.</w:t>
      </w:r>
    </w:p>
    <w:p>
      <w:pPr>
        <w:pStyle w:val="ListParagraph"/>
        <w:numPr>
          <w:ilvl w:val="0"/>
          <w:numId w:val="3"/>
        </w:numPr>
        <w:spacing w:after="60"/>
      </w:pPr>
      <w:r>
        <w:t xml:space="preserve">Badge: Documentation Incomplete. No escalator. No cap.</w:t>
      </w:r>
    </w:p>
    <w:p>
      <w:pPr>
        <w:spacing w:after="120"/>
      </w:pPr>
      <w:r>
        <w:rPr>
          <w:i/>
          <w:iCs/>
        </w:rPr>
        <w:t xml:space="preserve">Weighting note: HexClad's two food-contact zones (ceramic valleys, stainless peaks) are weighted equally by Contact Intimacy, which is current approved behavior where the evidence does not support a different contact-area split. The near-zero stainless-peak NPR therefore pulls the Contact-Intimacy-weighted mean down substantially. The weighted NPR of ~14.24 is the expected reproduction target; the spreadsheet proof must confirm it against the actual scoring run. Whether the coated zone should weigh more than the inert zone is an open calibration item (see below); it does not change the locked 78.</w:t>
      </w:r>
    </w:p>
    <w:p>
      <w:pPr>
        <w:pBdr>
          <w:left w:val="single" w:color="2E5984" w:sz="18" w:space="8"/>
        </w:pBdr>
        <w:shd w:fill="EEF3F8" w:val="clear"/>
        <w:spacing w:after="80" w:before="120"/>
      </w:pPr>
      <w:r>
        <w:rPr>
          <w:b/>
          <w:bCs/>
          <w:sz w:val="21"/>
          <w:szCs w:val="21"/>
        </w:rPr>
        <w:t xml:space="preserve">Replacement requirement: any future scoring-form or dropdown implementation must reproduce these six scores exactly, from locked canonical inputs, before it can replace the current flow.</w:t>
      </w:r>
    </w:p>
    <w:p>
      <w:pPr>
        <w:pStyle w:val="Heading1"/>
      </w:pPr>
      <w:r>
        <w:t xml:space="preserve">Agents</w:t>
      </w:r>
    </w:p>
    <w:p>
      <w:pPr>
        <w:spacing w:after="120"/>
      </w:pPr>
      <w:r>
        <w:t xml:space="preserve">Four agents run in sequence. Human approval is required at each stage before the next agent runs.</w:t>
      </w:r>
    </w:p>
    <w:p>
      <w:pPr>
        <w:pStyle w:val="ListParagraph"/>
        <w:numPr>
          <w:ilvl w:val="0"/>
          <w:numId w:val="3"/>
        </w:numPr>
        <w:spacing w:after="60"/>
      </w:pPr>
      <w:r>
        <w:rPr>
          <w:b/>
          <w:bCs/>
        </w:rPr>
        <w:t xml:space="preserve">Agent 1 — Product Evidence Agent. </w:t>
      </w:r>
      <w:r>
        <w:t xml:space="preserve">Researches the product and extracts materials, coatings, components, certifications, and claims, with a source URL and confidence label for every fact. Certifications are removed from output if not found in verbatim source excerpts.</w:t>
      </w:r>
    </w:p>
    <w:p>
      <w:pPr>
        <w:pStyle w:val="ListParagraph"/>
        <w:numPr>
          <w:ilvl w:val="0"/>
          <w:numId w:val="3"/>
        </w:numPr>
        <w:spacing w:after="60"/>
      </w:pPr>
      <w:r>
        <w:rPr>
          <w:b/>
          <w:bCs/>
        </w:rPr>
        <w:t xml:space="preserve">Agent 2 — Input Normalization Agent (deterministic). </w:t>
      </w:r>
      <w:r>
        <w:t xml:space="preserve">Converts the approved evidence packet into canonical scoring inputs through deterministic lookup tables and applicability rules. No model judgment in normalization.</w:t>
      </w:r>
    </w:p>
    <w:p>
      <w:pPr>
        <w:pStyle w:val="ListParagraph"/>
        <w:numPr>
          <w:ilvl w:val="0"/>
          <w:numId w:val="3"/>
        </w:numPr>
        <w:spacing w:after="60"/>
      </w:pPr>
      <w:r>
        <w:rPr>
          <w:b/>
          <w:bCs/>
        </w:rPr>
        <w:t xml:space="preserve">Agent 3 — Scoring Agent. </w:t>
      </w:r>
      <w:r>
        <w:t xml:space="preserve">Runs the algorithm on the normalized inputs. Pure deterministic math. Reads only locked fields; re-interprets nothing.</w:t>
      </w:r>
    </w:p>
    <w:p>
      <w:pPr>
        <w:pStyle w:val="ListParagraph"/>
        <w:numPr>
          <w:ilvl w:val="0"/>
          <w:numId w:val="3"/>
        </w:numPr>
        <w:spacing w:after="60"/>
      </w:pPr>
      <w:r>
        <w:rPr>
          <w:b/>
          <w:bCs/>
        </w:rPr>
        <w:t xml:space="preserve">Agent 4 — QA Agent. </w:t>
      </w:r>
      <w:r>
        <w:t xml:space="preserve">Audits the chain for missing components, weak evidence, incorrect severity, and scores that deviate from subcategory peers. Flags for human review. No auto-approve.</w:t>
      </w:r>
    </w:p>
    <w:p>
      <w:pPr>
        <w:spacing w:after="120"/>
      </w:pPr>
      <w:r>
        <w:rPr>
          <w:i/>
          <w:iCs/>
        </w:rPr>
        <w:t xml:space="preserve">Build principle: Agent 1 gets facts. Agent 2 converts facts into canonical scoring inputs. Agent 3 calculates. Agent 4 audits. Humans approve before anything goes live.</w:t>
      </w:r>
    </w:p>
    <w:p>
      <w:r>
        <w:br w:type="page"/>
      </w:r>
    </w:p>
    <w:p>
      <w:pPr>
        <w:pStyle w:val="Heading1"/>
      </w:pPr>
      <w:r>
        <w:t xml:space="preserve">Open Calibration Items (Future Versions)</w:t>
      </w:r>
    </w:p>
    <w:p>
      <w:pPr>
        <w:pBdr>
          <w:left w:val="single" w:color="E0A800" w:sz="18" w:space="8"/>
        </w:pBdr>
        <w:shd w:fill="FFF6E0" w:val="clear"/>
        <w:spacing w:after="160" w:before="80"/>
      </w:pPr>
      <w:r>
        <w:rPr>
          <w:i/>
          <w:iCs/>
          <w:sz w:val="21"/>
          <w:szCs w:val="21"/>
        </w:rPr>
        <w:t xml:space="preserve">These are known questions surfaced during the cookware build. They are NOT part of 2.3.5 and do not change any of the six locked scores. They are recorded so a future version can address them deliberately, after the spreadsheet reproduction proof.</w:t>
      </w:r>
    </w:p>
    <w:p>
      <w:pPr>
        <w:pStyle w:val="ListParagraph"/>
        <w:numPr>
          <w:ilvl w:val="0"/>
          <w:numId w:val="7"/>
        </w:numPr>
        <w:spacing w:after="60"/>
      </w:pPr>
      <w:r>
        <w:rPr>
          <w:b/>
          <w:bCs/>
        </w:rPr>
        <w:t xml:space="preserve">Hybrid surface weighting. </w:t>
      </w:r>
      <w:r>
        <w:t xml:space="preserve">For hybrid food-contact surfaces where two confirmed food-contact zones are both materially relevant and the reviewed evidence does not support a different contact-area weighting, components are currently weighted equally by Contact Intimacy. A future version may evaluate whether coated zones (e.g. nonstick valleys) should receive greater weighting than exposed inert zones (e.g. stainless peaks) if empirical wear or contact-area evidence supports it.</w:t>
      </w:r>
    </w:p>
    <w:p>
      <w:pPr>
        <w:pStyle w:val="ListParagraph"/>
        <w:numPr>
          <w:ilvl w:val="0"/>
          <w:numId w:val="7"/>
        </w:numPr>
        <w:spacing w:after="60"/>
      </w:pPr>
      <w:r>
        <w:rPr>
          <w:b/>
          <w:bCs/>
        </w:rPr>
        <w:t xml:space="preserve">Inert-secondary dilution. </w:t>
      </w:r>
      <w:r>
        <w:t xml:space="preserve">Inert secondary components (lids, bases) can slightly raise a cooking product's score via the Contact-Intimacy-weighted mean. A future version may evaluate whether secondary inert components should be down-weighted relative to the primary food-contact surface.</w:t>
      </w:r>
    </w:p>
    <w:p>
      <w:pPr>
        <w:pStyle w:val="Heading1"/>
      </w:pPr>
      <w: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760"/>
        <w:gridCol w:w="1300"/>
      </w:tblGrid>
      <w:tr>
        <w:trPr>
          <w:tblHeader/>
        </w:trPr>
        <w:tc>
          <w:tcPr>
            <w:tcW w:type="dxa" w:w="13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Version</w:t>
            </w:r>
          </w:p>
        </w:tc>
        <w:tc>
          <w:tcPr>
            <w:tcW w:type="dxa" w:w="6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Summary</w:t>
            </w:r>
          </w:p>
        </w:tc>
        <w:tc>
          <w:tcPr>
            <w:tcW w:type="dxa" w:w="13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Status</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Additive penalty model</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Deprecated</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2.0</w:t>
            </w:r>
          </w:p>
        </w:tc>
        <w:tc>
          <w:tcPr>
            <w:tcW w:type="dxa" w:w="67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Multiplicative pathway model</w:t>
            </w:r>
          </w:p>
        </w:tc>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Deprecated</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2.1</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Universal pathway model with category modules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Deprecated</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2.2</w:t>
            </w:r>
          </w:p>
        </w:tc>
        <w:tc>
          <w:tcPr>
            <w:tcW w:type="dxa" w:w="67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Normalized math; split transparency from score; five tiers; escalators</w:t>
            </w:r>
          </w:p>
        </w:tc>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Deprecated</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2.3</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Square-root scaling; dual score for formulation products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Deprecated</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2.3.1</w:t>
            </w:r>
          </w:p>
        </w:tc>
        <w:tc>
          <w:tcPr>
            <w:tcW w:type="dxa" w:w="67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Five-field output; order of operations; max score 99</w:t>
            </w:r>
          </w:p>
        </w:tc>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Deprecated</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2.3.2</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Default Use Assumption Rule; category defaults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Deprecated</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2.3.3</w:t>
            </w:r>
          </w:p>
        </w:tc>
        <w:tc>
          <w:tcPr>
            <w:tcW w:type="dxa" w:w="67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Severity Condition Rule; polystyrene lever flagged</w:t>
            </w:r>
          </w:p>
        </w:tc>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Deprecated</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2.3.4</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Four transparency badges; Full Disclosed CI Zero; Layer 4A applicability enforcement; deterministic normalization; locked 0.875 for unknown coatings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Deprecated</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2.3.5</w:t>
            </w:r>
          </w:p>
        </w:tc>
        <w:tc>
          <w:tcPr>
            <w:tcW w:type="dxa" w:w="67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Migration mitigation (×0.58) for third-party Non-Detect testing; known-category coatings use category bands (cap reserved for unidentified coatings); marketing-deduction suppression with lab testing; hybrid per-zone scoring; PFAS/PTFE escalator gated to confirmed family; numeric Confidence Interval removed (badge-only transparency); Display Layer (three risk bars) documented; Canonical Material Lookup Table (per-material hazard/migration point values) added; badge consistency for proprietary ceramics; canonical scoring inputs; source/component integrity rules; PFAS naming. Documentation freeze of approved behavior.</w:t>
            </w:r>
          </w:p>
        </w:tc>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Current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 2026 PlasticBegone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999999"/>
        <w:sz w:val="16"/>
        <w:szCs w:val="16"/>
      </w:rPr>
      <w:t xml:space="preserve">PAC Safety Scoring Algorithm v2.3.5  ·  Proprietary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4"/>
      </w:pBd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984"/>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 Safety Scoring Algorithm v2.3.5</dc:title>
  <dc:creator>PlasticBegone</dc:creator>
  <cp:lastModifiedBy>Un-named</cp:lastModifiedBy>
  <cp:revision>1</cp:revision>
  <dcterms:created xsi:type="dcterms:W3CDTF">2026-06-10T13:25:54.341Z</dcterms:created>
  <dcterms:modified xsi:type="dcterms:W3CDTF">2026-06-10T13:25:54.342Z</dcterms:modified>
</cp:coreProperties>
</file>

<file path=docProps/custom.xml><?xml version="1.0" encoding="utf-8"?>
<Properties xmlns="http://schemas.openxmlformats.org/officeDocument/2006/custom-properties" xmlns:vt="http://schemas.openxmlformats.org/officeDocument/2006/docPropsVTypes"/>
</file>