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F4D"/>
          <w:sz w:val="44"/>
        </w:rPr>
        <w:br/>
        <w:br/>
        <w:br/>
        <w:t>RICK MILLER SME STANDARD</w:t>
      </w:r>
    </w:p>
    <w:p>
      <w:pPr>
        <w:jc w:val="center"/>
      </w:pPr>
      <w:r>
        <w:rPr>
          <w:b/>
          <w:color w:val="0F2F4D"/>
          <w:sz w:val="40"/>
        </w:rPr>
        <w:br/>
        <w:t>CANADA 2026 MINING HEAVY CIVIL</w:t>
        <w:br/>
        <w:t>ESTIMATING MANUAL &amp; RATE LIBRARY</w:t>
      </w:r>
    </w:p>
    <w:p>
      <w:pPr>
        <w:jc w:val="center"/>
      </w:pPr>
      <w:r>
        <w:rPr>
          <w:i/>
          <w:color w:val="555555"/>
          <w:sz w:val="26"/>
        </w:rPr>
        <w:br/>
        <w:t>Consolidated Schedule of Rates, Bid Support Package &amp; Estimating Standard</w:t>
      </w:r>
    </w:p>
    <w:p>
      <w:pPr>
        <w:jc w:val="center"/>
      </w:pPr>
      <w:r>
        <w:rPr>
          <w:color w:val="555555"/>
          <w:sz w:val="22"/>
        </w:rPr>
        <w:br/>
        <w:t>AACE 18R-97 Class 3 Baseline | Canada-wide Q2-2026 | All figures CAD</w:t>
      </w:r>
    </w:p>
    <w:p>
      <w:r>
        <w:br/>
        <w:br/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DOCUMENT NUMBER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RMM-CIVIL-CANADA-2026-MANUAL-REV5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5 — Goldboro 2026 GHD Overlay + Web-Sourced Public Benchmarks + Crushing/Earthworks Reconciliation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Rick Miller, Senior Project Director / EPCM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ISSUE DATE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Q2 2026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BASE CURRENCY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Canadian Dollar (CAD)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ESTIMATE CLASS BASIS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 Class 3 (±20% / +30%)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ESCALATION BASIS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Ausenco go-by Q2-2020 × 1.25 BCPI cumulative → Q2-2026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SOURCE DATA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 + RMM-CIVIL-CANADA-2026-REV0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INTENDED USERS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Contractor estimators, EPCM cost engineers, owner cost teams, bid evaluators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CONFIDENTIALITY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 — not for public quotation issue without project-specific validation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TABLE OF CONTENTS</w:t>
      </w:r>
    </w:p>
    <w:p>
      <w:pPr>
        <w:spacing w:after="40"/>
      </w:pPr>
      <w:r>
        <w:rPr>
          <w:b/>
        </w:rPr>
        <w:t xml:space="preserve">1.  </w:t>
      </w:r>
      <w:r>
        <w:t>Executive Summary</w:t>
      </w:r>
    </w:p>
    <w:p>
      <w:pPr>
        <w:spacing w:after="40"/>
      </w:pPr>
      <w:r>
        <w:rPr>
          <w:b/>
        </w:rPr>
        <w:t xml:space="preserve">2.  </w:t>
      </w:r>
      <w:r>
        <w:t>Document Control, Basis &amp; Source Data Provenance</w:t>
      </w:r>
    </w:p>
    <w:p>
      <w:pPr>
        <w:spacing w:after="40"/>
      </w:pPr>
      <w:r>
        <w:rPr>
          <w:b/>
        </w:rPr>
        <w:t xml:space="preserve">3.  </w:t>
      </w:r>
      <w:r>
        <w:t>Estimating Standards &amp; Methodology (AACE 18R-97)</w:t>
      </w:r>
    </w:p>
    <w:p>
      <w:pPr>
        <w:spacing w:after="40"/>
      </w:pPr>
      <w:r>
        <w:rPr>
          <w:b/>
        </w:rPr>
        <w:t xml:space="preserve">4.  </w:t>
      </w:r>
      <w:r>
        <w:t>Crew Compositions &amp; Production Assumptions</w:t>
      </w:r>
    </w:p>
    <w:p>
      <w:pPr>
        <w:spacing w:after="40"/>
      </w:pPr>
      <w:r>
        <w:rPr>
          <w:b/>
        </w:rPr>
        <w:t xml:space="preserve">5.  </w:t>
      </w:r>
      <w:r>
        <w:t>Labour Rates — Canada 2026 (Fully Burdened)</w:t>
      </w:r>
    </w:p>
    <w:p>
      <w:pPr>
        <w:spacing w:after="40"/>
      </w:pPr>
      <w:r>
        <w:rPr>
          <w:b/>
        </w:rPr>
        <w:t xml:space="preserve">6.  </w:t>
      </w:r>
      <w:r>
        <w:t>Equipment Rates — Canada 2026 (Fully Operated)</w:t>
      </w:r>
    </w:p>
    <w:p>
      <w:pPr>
        <w:spacing w:after="40"/>
      </w:pPr>
      <w:r>
        <w:rPr>
          <w:b/>
        </w:rPr>
        <w:t xml:space="preserve">7.  </w:t>
      </w:r>
      <w:r>
        <w:t>Equipment Spreads by Scope</w:t>
      </w:r>
    </w:p>
    <w:p>
      <w:pPr>
        <w:spacing w:after="40"/>
      </w:pPr>
      <w:r>
        <w:rPr>
          <w:b/>
        </w:rPr>
        <w:t xml:space="preserve">8.  </w:t>
      </w:r>
      <w:r>
        <w:t>Master Schedule of Rates (Heavy Civil + Contractor Scope)</w:t>
      </w:r>
    </w:p>
    <w:p>
      <w:pPr>
        <w:spacing w:after="40"/>
      </w:pPr>
      <w:r>
        <w:rPr>
          <w:b/>
        </w:rPr>
        <w:t xml:space="preserve">9.  </w:t>
      </w:r>
      <w:r>
        <w:t>Unit Rate Build-Up Methodology</w:t>
      </w:r>
    </w:p>
    <w:p>
      <w:pPr>
        <w:spacing w:after="40"/>
      </w:pPr>
      <w:r>
        <w:rPr>
          <w:b/>
        </w:rPr>
        <w:t xml:space="preserve">10.  </w:t>
      </w:r>
      <w:r>
        <w:t>Bid Screening — Floors, Ceilings &amp; Sense-Checks</w:t>
      </w:r>
    </w:p>
    <w:p>
      <w:pPr>
        <w:spacing w:after="40"/>
      </w:pPr>
      <w:r>
        <w:rPr>
          <w:b/>
        </w:rPr>
        <w:t xml:space="preserve">11.  </w:t>
      </w:r>
      <w:r>
        <w:t>Contractor Indirects (CDI) &amp; Overhead Build-Up</w:t>
      </w:r>
    </w:p>
    <w:p>
      <w:pPr>
        <w:spacing w:after="40"/>
      </w:pPr>
      <w:r>
        <w:rPr>
          <w:b/>
        </w:rPr>
        <w:t xml:space="preserve">12.  </w:t>
      </w:r>
      <w:r>
        <w:t>Bonding &amp; Insurance</w:t>
      </w:r>
    </w:p>
    <w:p>
      <w:pPr>
        <w:spacing w:after="40"/>
      </w:pPr>
      <w:r>
        <w:rPr>
          <w:b/>
        </w:rPr>
        <w:t xml:space="preserve">13.  </w:t>
      </w:r>
      <w:r>
        <w:t>Standby Rates, Acceleration, Winter Premiums &amp; Owner-Caused Delay</w:t>
      </w:r>
    </w:p>
    <w:p>
      <w:pPr>
        <w:spacing w:after="40"/>
      </w:pPr>
      <w:r>
        <w:rPr>
          <w:b/>
        </w:rPr>
        <w:t xml:space="preserve">14.  </w:t>
      </w:r>
      <w:r>
        <w:t>SME Factors — Design Growth, Wastage, Regional, Escalation, Accuracy</w:t>
      </w:r>
    </w:p>
    <w:p>
      <w:pPr>
        <w:spacing w:after="40"/>
      </w:pPr>
      <w:r>
        <w:rPr>
          <w:b/>
        </w:rPr>
        <w:t xml:space="preserve">15.  </w:t>
      </w:r>
      <w:r>
        <w:t>Contractor Bid Cost Structure — 6-Layer Markup Model</w:t>
      </w:r>
    </w:p>
    <w:p>
      <w:pPr>
        <w:spacing w:after="40"/>
      </w:pPr>
      <w:r>
        <w:rPr>
          <w:b/>
        </w:rPr>
        <w:t xml:space="preserve">16.  </w:t>
      </w:r>
      <w:r>
        <w:t>Mobilization &amp; Demobilization Logic</w:t>
      </w:r>
    </w:p>
    <w:p>
      <w:pPr>
        <w:spacing w:after="40"/>
      </w:pPr>
      <w:r>
        <w:rPr>
          <w:b/>
        </w:rPr>
        <w:t xml:space="preserve">17.  </w:t>
      </w:r>
      <w:r>
        <w:t>Constructability &amp; Execution Assumptions</w:t>
      </w:r>
    </w:p>
    <w:p>
      <w:pPr>
        <w:spacing w:after="40"/>
      </w:pPr>
      <w:r>
        <w:rPr>
          <w:b/>
        </w:rPr>
        <w:t xml:space="preserve">18.  </w:t>
      </w:r>
      <w:r>
        <w:t>Scope Inclusions, Exclusions &amp; Clarifications Register</w:t>
      </w:r>
    </w:p>
    <w:p>
      <w:pPr>
        <w:spacing w:after="40"/>
      </w:pPr>
      <w:r>
        <w:rPr>
          <w:b/>
        </w:rPr>
        <w:t xml:space="preserve">19.  </w:t>
      </w:r>
      <w:r>
        <w:t>Bid Leveling &amp; Tender Comparison Framework</w:t>
      </w:r>
    </w:p>
    <w:p>
      <w:pPr>
        <w:spacing w:after="40"/>
      </w:pPr>
      <w:r>
        <w:rPr>
          <w:b/>
        </w:rPr>
        <w:t xml:space="preserve">20.  </w:t>
      </w:r>
      <w:r>
        <w:t>Change Order Pricing Methodologies</w:t>
      </w:r>
    </w:p>
    <w:p>
      <w:pPr>
        <w:spacing w:after="40"/>
      </w:pPr>
      <w:r>
        <w:rPr>
          <w:b/>
        </w:rPr>
        <w:t xml:space="preserve">21.  </w:t>
      </w:r>
      <w:r>
        <w:t>Project Estimate Roll-Up Template</w:t>
      </w:r>
    </w:p>
    <w:p>
      <w:pPr>
        <w:spacing w:after="40"/>
      </w:pPr>
      <w:r>
        <w:rPr>
          <w:b/>
        </w:rPr>
        <w:t xml:space="preserve">22.  </w:t>
      </w:r>
      <w:r>
        <w:t>Risk &amp; Contingency Register</w:t>
      </w:r>
    </w:p>
    <w:p>
      <w:pPr>
        <w:spacing w:after="40"/>
      </w:pPr>
      <w:r>
        <w:rPr>
          <w:b/>
        </w:rPr>
        <w:t xml:space="preserve">23.  </w:t>
      </w:r>
      <w:r>
        <w:t>Glossary &amp; Abbreviations</w:t>
      </w:r>
    </w:p>
    <w:p>
      <w:pPr>
        <w:spacing w:after="40"/>
      </w:pPr>
      <w:r>
        <w:rPr>
          <w:b/>
        </w:rPr>
        <w:t xml:space="preserve">24.  </w:t>
      </w:r>
      <w:r>
        <w:t>Sources &amp; References</w:t>
      </w:r>
    </w:p>
    <w:p>
      <w:pPr>
        <w:spacing w:after="40"/>
      </w:pPr>
      <w:r>
        <w:rPr>
          <w:b/>
        </w:rPr>
        <w:t xml:space="preserve">25.  </w:t>
      </w:r>
      <w:r>
        <w:t>Real Market Benchmark — SME Ranges vs Alberta Transportation 2026 UPA [Rev 2]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1.  EXECUTIVE SUMMARY</w:t>
      </w:r>
    </w:p>
    <w:p>
      <w:pPr>
        <w:spacing w:before="200" w:after="80"/>
      </w:pPr>
      <w:r>
        <w:rPr>
          <w:b/>
          <w:color w:val="0F2F4D"/>
          <w:sz w:val="28"/>
        </w:rPr>
        <w:t>1.1  Purpose</w:t>
      </w:r>
    </w:p>
    <w:p>
      <w:pPr>
        <w:spacing w:after="80"/>
      </w:pPr>
      <w:r>
        <w:rPr>
          <w:b w:val="0"/>
          <w:i w:val="0"/>
        </w:rPr>
        <w:t>This document is the consolidated, internally-maintained estimating standard and rate library for Canadian mining heavy civil construction. It is designed to be used by contractors, EPCMs, and owner cost teams across the full project lifecycle: budgetary pricing, feasibility-class estimates, tender support, bid evaluation, change pricing, and unit-rate validation.</w:t>
      </w:r>
    </w:p>
    <w:p>
      <w:pPr>
        <w:spacing w:before="200" w:after="80"/>
      </w:pPr>
      <w:r>
        <w:rPr>
          <w:b/>
          <w:color w:val="0F2F4D"/>
          <w:sz w:val="28"/>
        </w:rPr>
        <w:t>1.2  Baseline Content (Extracted from Source Workbooks)</w:t>
      </w:r>
    </w:p>
    <w:p>
      <w:pPr>
        <w:spacing w:after="80"/>
      </w:pPr>
      <w:r>
        <w:rPr>
          <w:b w:val="0"/>
          <w:i w:val="0"/>
        </w:rPr>
        <w:t>The following content is drawn directly from the two source workbooks authored by the same author:</w:t>
      </w:r>
    </w:p>
    <w:p>
      <w:pPr>
        <w:pStyle w:val="ListBullet"/>
      </w:pPr>
      <w:r>
        <w:t>12 crew codes (B1–N1) — labour + equipment all-in $/hr with 2020 → 2026 escalation;</w:t>
      </w:r>
    </w:p>
    <w:p>
      <w:pPr>
        <w:pStyle w:val="ListBullet"/>
      </w:pPr>
      <w:r>
        <w:t>27 fully-burdened labour positions covering supervision, civil trades, drilling/blasting, mechanical, trades, electrical, instrumentation, PM and HSE;</w:t>
      </w:r>
    </w:p>
    <w:p>
      <w:pPr>
        <w:pStyle w:val="ListBullet"/>
      </w:pPr>
      <w:r>
        <w:t>30 fully-operated equipment items with fuel burn, mob/demob flags, and effective availability;</w:t>
      </w:r>
    </w:p>
    <w:p>
      <w:pPr>
        <w:pStyle w:val="ListBullet"/>
      </w:pPr>
      <w:r>
        <w:t>~78 Heavy Civil unit rates across 8 sections (earthworks, water management, roads, WRSA/TMF, drainage, concrete, steel, closure);</w:t>
      </w:r>
    </w:p>
    <w:p>
      <w:pPr>
        <w:pStyle w:val="ListBullet"/>
      </w:pPr>
      <w:r>
        <w:t>~22 contractor-scope unit rates (blasting, dewatering, buried services, paving, fencing, signage, rock support, culvert structures, crushing);</w:t>
      </w:r>
    </w:p>
    <w:p>
      <w:pPr>
        <w:pStyle w:val="ListBullet"/>
      </w:pPr>
      <w:r>
        <w:t>29 bid-screening floors/ceilings for tender evaluation;</w:t>
      </w:r>
    </w:p>
    <w:p>
      <w:pPr>
        <w:pStyle w:val="ListBullet"/>
      </w:pPr>
      <w:r>
        <w:t>19 bonding &amp; insurance line items including WCB rates by province;</w:t>
      </w:r>
    </w:p>
    <w:p>
      <w:pPr>
        <w:pStyle w:val="ListBullet"/>
      </w:pPr>
      <w:r>
        <w:t>25 contractor overhead build-up items (field office, PM staff, QC, environmental);</w:t>
      </w:r>
    </w:p>
    <w:p>
      <w:pPr>
        <w:pStyle w:val="ListBullet"/>
      </w:pPr>
      <w:r>
        <w:t>19 standby &amp; schedule items (equipment standby, OT, winter cost, owner-caused delay);</w:t>
      </w:r>
    </w:p>
    <w:p>
      <w:pPr>
        <w:pStyle w:val="ListBullet"/>
      </w:pPr>
      <w:r>
        <w:t>SME factors covering design growth (Class 4 → Class 1), wastage, 10 Canadian regional adjustment zones, escalation, and AACE accuracy ranges.</w:t>
      </w:r>
    </w:p>
    <w:p>
      <w:pPr>
        <w:spacing w:before="200" w:after="80"/>
      </w:pPr>
      <w:r>
        <w:rPr>
          <w:b/>
          <w:color w:val="0F2F4D"/>
          <w:sz w:val="28"/>
        </w:rPr>
        <w:t>1.3  Framework Templates (Authored in This Manual)</w:t>
      </w:r>
    </w:p>
    <w:p>
      <w:pPr>
        <w:spacing w:after="80"/>
      </w:pPr>
      <w:r>
        <w:rPr>
          <w:b w:val="0"/>
          <w:i w:val="0"/>
        </w:rPr>
        <w:t>The following sections are industry-standard scaffolding sections, clearly marked as [TEMPLATE] in the corresponding Excel tabs. They are not drawn from the source workbooks — they are blank or sample structures to be populated per project:</w:t>
      </w:r>
    </w:p>
    <w:p>
      <w:pPr>
        <w:pStyle w:val="ListBullet"/>
      </w:pPr>
      <w:r>
        <w:t>Equipment spreads by scope (Section 7);</w:t>
      </w:r>
    </w:p>
    <w:p>
      <w:pPr>
        <w:pStyle w:val="ListBullet"/>
      </w:pPr>
      <w:r>
        <w:t>Unit rate build-up calculator (Section 9);</w:t>
      </w:r>
    </w:p>
    <w:p>
      <w:pPr>
        <w:pStyle w:val="ListBullet"/>
      </w:pPr>
      <w:r>
        <w:t>Constructability and execution assumptions (Section 17);</w:t>
      </w:r>
    </w:p>
    <w:p>
      <w:pPr>
        <w:pStyle w:val="ListBullet"/>
      </w:pPr>
      <w:r>
        <w:t>Scope inclusions, exclusions and clarifications register (Section 18);</w:t>
      </w:r>
    </w:p>
    <w:p>
      <w:pPr>
        <w:pStyle w:val="ListBullet"/>
      </w:pPr>
      <w:r>
        <w:t>Bid leveling tender comparison (Section 19);</w:t>
      </w:r>
    </w:p>
    <w:p>
      <w:pPr>
        <w:pStyle w:val="ListBullet"/>
      </w:pPr>
      <w:r>
        <w:t>Change order pricing methodologies (Section 20);</w:t>
      </w:r>
    </w:p>
    <w:p>
      <w:pPr>
        <w:pStyle w:val="ListBullet"/>
      </w:pPr>
      <w:r>
        <w:t>Project estimate roll-up sheet (Section 21);</w:t>
      </w:r>
    </w:p>
    <w:p>
      <w:pPr>
        <w:pStyle w:val="ListBullet"/>
      </w:pPr>
      <w:r>
        <w:t>Risk and contingency register (Section 22).</w:t>
      </w:r>
    </w:p>
    <w:p>
      <w:pPr>
        <w:spacing w:before="200" w:after="80"/>
      </w:pPr>
      <w:r>
        <w:rPr>
          <w:b/>
          <w:color w:val="0F2F4D"/>
          <w:sz w:val="28"/>
        </w:rPr>
        <w:t>1.4  Estimate Class Applicability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AACE 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Stage</w:t>
            </w:r>
          </w:p>
        </w:tc>
        <w:tc>
          <w:tcPr>
            <w:tcW w:type="dxa" w:w="51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 in This Manual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Concept screening / ROM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Use floor/ceiling ranges; apply +15-20% design growth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equipment-factored; +15-20% DG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Feasibility / budget (this baseline)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Mid-range unit rates; +10-15% DG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 / pre-FID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Use mid-low range; +5-10% DG; firm quotes long-leads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Tender / check estimate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Project-specific RFQ; low end of range; +2-5%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1.5  Key 2026 Benchmarks (mid-range)</w:t>
      </w:r>
    </w:p>
    <w:p>
      <w:pPr>
        <w:pStyle w:val="ListBullet"/>
      </w:pPr>
      <w:r>
        <w:t>Mass earthworks rock (blasted): $55–$120 / m³</w:t>
      </w:r>
    </w:p>
    <w:p>
      <w:pPr>
        <w:pStyle w:val="ListBullet"/>
      </w:pPr>
      <w:r>
        <w:t>Engineered fill compacted: $22–$45 / m³</w:t>
      </w:r>
    </w:p>
    <w:p>
      <w:pPr>
        <w:pStyle w:val="ListBullet"/>
      </w:pPr>
      <w:r>
        <w:t>Haul road full build (sub-grade to surface): $65–$120 / m²</w:t>
      </w:r>
    </w:p>
    <w:p>
      <w:pPr>
        <w:pStyle w:val="ListBullet"/>
      </w:pPr>
      <w:r>
        <w:t>TMF embankment Zone A/B: $22–$45 / m³</w:t>
      </w:r>
    </w:p>
    <w:p>
      <w:pPr>
        <w:pStyle w:val="ListBullet"/>
      </w:pPr>
      <w:r>
        <w:t>HDPE 2 mm liner (full S+I+CQA): $28–$55 / m²</w:t>
      </w:r>
    </w:p>
    <w:p>
      <w:pPr>
        <w:pStyle w:val="ListBullet"/>
      </w:pPr>
      <w:r>
        <w:t>CSP culvert 1200 mm: $1,000–$1,600 / m</w:t>
      </w:r>
    </w:p>
    <w:p>
      <w:pPr>
        <w:pStyle w:val="ListBullet"/>
      </w:pPr>
      <w:r>
        <w:t>Concrete wall / grade beam: $2,500–$3,200 / m³</w:t>
      </w:r>
    </w:p>
    <w:p>
      <w:pPr>
        <w:pStyle w:val="ListBullet"/>
      </w:pPr>
      <w:r>
        <w:t>Rebar Grade 400 (S+I): $4,000–$6,500 / tonne — CBSA 25% surtax exposure</w:t>
      </w:r>
    </w:p>
    <w:p>
      <w:pPr>
        <w:pStyle w:val="ListBullet"/>
      </w:pPr>
      <w:r>
        <w:t>Performance bond medium contract ($5–$25M): 1.0–1.8% of contract value</w:t>
      </w:r>
    </w:p>
    <w:p>
      <w:pPr>
        <w:pStyle w:val="ListBullet"/>
      </w:pPr>
      <w:r>
        <w:t>Regional adjustor range: 1.00 (MB/SK baseline) → 1.55 (Yukon/NWT/Nunavut)</w:t>
      </w:r>
    </w:p>
    <w:p>
      <w:pPr>
        <w:pStyle w:val="ListBullet"/>
      </w:pPr>
      <w:r>
        <w:t>Winter construction premium: 10–25% (all Canada)</w:t>
      </w:r>
    </w:p>
    <w:p>
      <w:pPr>
        <w:spacing w:before="200" w:after="80"/>
      </w:pPr>
      <w:r>
        <w:rPr>
          <w:b/>
          <w:color w:val="0F2F4D"/>
          <w:sz w:val="28"/>
        </w:rPr>
        <w:t>1.6  Boundaries of Use</w:t>
      </w:r>
    </w:p>
    <w:p>
      <w:pPr>
        <w:spacing w:after="80"/>
      </w:pPr>
      <w:r>
        <w:rPr>
          <w:b w:val="0"/>
          <w:i w:val="0"/>
        </w:rPr>
        <w:t>This manual provides a defensible baseline for internal estimating and bid evaluation. It is not a public quotation. Do not issue any unit rate as fixed pricing without project-specific validation, including supplier RFQs for long-lead and bulk materials, confirmation of WCB classification by province, verification of CBSA surtax exposure on steel and rebar, and site-specific productivity assumptions.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2.  DOCUMENT CONTROL, BASIS &amp; SOURCE DATA PROVENANCE</w:t>
      </w:r>
    </w:p>
    <w:p>
      <w:pPr>
        <w:spacing w:before="200" w:after="80"/>
      </w:pPr>
      <w:r>
        <w:rPr>
          <w:b/>
          <w:color w:val="0F2F4D"/>
          <w:sz w:val="28"/>
        </w:rPr>
        <w:t>2.1  Source Workbooks</w:t>
      </w:r>
    </w:p>
    <w:p>
      <w:pPr>
        <w:spacing w:after="80"/>
      </w:pPr>
      <w:r>
        <w:rPr>
          <w:b w:val="0"/>
          <w:i w:val="0"/>
        </w:rPr>
        <w:t>This manual consolidates and extends two source workbooks authored by the same author: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File Code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RMM-CIVIL-CANADA-2026-REV0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EPCM Benchmark Estimator (Rev E)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Crew Rates (12), Labour Rates (27), Equipment Rates (30), Heavy Civil Unit Rates (78), SME Factors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Bid Tool (Rev G)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Bid Summary (6-layer markup), Additional Unit Rates (22), Bonding &amp; Insurance (19), Overhead Build-Up (25), Standby &amp; Schedule (19), Bid Screening (29)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2.2  Currency, Base Period &amp; Exchange</w:t>
      </w:r>
    </w:p>
    <w:p>
      <w:pPr>
        <w:spacing w:after="80"/>
      </w:pPr>
      <w:r>
        <w:rPr>
          <w:b w:val="0"/>
          <w:i w:val="0"/>
        </w:rPr>
        <w:t>All figures are in Canadian Dollars (CAD), basis Q2-2026. USD/CAD reference: 1.36–1.37 (Bank of Canada, May 2026).</w:t>
      </w:r>
    </w:p>
    <w:p>
      <w:pPr>
        <w:spacing w:before="200" w:after="80"/>
      </w:pPr>
      <w:r>
        <w:rPr>
          <w:b/>
          <w:color w:val="0F2F4D"/>
          <w:sz w:val="28"/>
        </w:rPr>
        <w:t>2.3  Escalation Basis</w:t>
      </w:r>
    </w:p>
    <w:p>
      <w:pPr>
        <w:spacing w:after="80"/>
      </w:pPr>
      <w:r>
        <w:rPr>
          <w:b w:val="0"/>
          <w:i w:val="0"/>
        </w:rPr>
        <w:t>Unit rates inherited from a Q2-2020 go-by have been escalated by a single cumulative factor of x1.25, representing the BCPI midpoint to Q2-2026. Rates for labour, equipment, and material that have been re-baselined to 2026 directly (per supplier quotes or current published WCB / fuel tables) are flagged in the Source/Basis column of each tab.</w:t>
      </w:r>
    </w:p>
    <w:p>
      <w:pPr>
        <w:spacing w:before="200" w:after="80"/>
      </w:pPr>
      <w:r>
        <w:rPr>
          <w:b/>
          <w:color w:val="0F2F4D"/>
          <w:sz w:val="28"/>
        </w:rPr>
        <w:t>2.4  Currency of Pricing</w:t>
      </w:r>
    </w:p>
    <w:p>
      <w:pPr>
        <w:spacing w:after="80"/>
      </w:pPr>
      <w:r>
        <w:rPr>
          <w:b w:val="0"/>
          <w:i w:val="0"/>
        </w:rPr>
        <w:t>Pricing in this manual is current to Q2-2026. Major price exposure items (diesel, steel, rebar) are subject to re-pricing per the Escalation section of Sheet 14. The cumulative escalation factor (x1.23 to x1.27) should be re-validated each quarter against published BCPI.</w:t>
      </w:r>
    </w:p>
    <w:p>
      <w:pPr>
        <w:spacing w:before="200" w:after="80"/>
      </w:pPr>
      <w:r>
        <w:rPr>
          <w:b/>
          <w:color w:val="0F2F4D"/>
          <w:sz w:val="28"/>
        </w:rPr>
        <w:t>2.5  Confidentiality &amp; Use</w:t>
      </w:r>
    </w:p>
    <w:p>
      <w:pPr>
        <w:spacing w:after="80"/>
      </w:pPr>
      <w:r>
        <w:rPr>
          <w:b w:val="0"/>
          <w:i w:val="0"/>
        </w:rPr>
        <w:t>This document is intended for internal estimating, bid support and benchmarking. Distribution beyond a project team should be limited and approved. Any external use must include a current price-validity statement and exclusions register (Section 18).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3.  ESTIMATING STANDARDS &amp; METHODOLOGY (AACE 18R-97)</w:t>
      </w:r>
    </w:p>
    <w:p>
      <w:pPr>
        <w:spacing w:before="200" w:after="80"/>
      </w:pPr>
      <w:r>
        <w:rPr>
          <w:b/>
          <w:color w:val="0F2F4D"/>
          <w:sz w:val="28"/>
        </w:rPr>
        <w:t>3.1  Estimate Classification Framework</w:t>
      </w:r>
    </w:p>
    <w:p>
      <w:pPr>
        <w:spacing w:after="80"/>
      </w:pPr>
      <w:r>
        <w:rPr>
          <w:b w:val="0"/>
          <w:i w:val="0"/>
        </w:rPr>
        <w:t>This manual adopts AACE International Recommended Practice 18R-97 (Cost Estimate Classification System — As Applied to Engineering, Procurement, and Construction for the Process Industries) as its classification framework. The 5-class scheme is interpreted for mining heavy civil work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Def.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Methodology</w:t>
            </w:r>
          </w:p>
        </w:tc>
        <w:tc>
          <w:tcPr>
            <w:tcW w:type="dxa" w:w="136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Accuracy 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Concept screening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0–2%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Stochastic / parametric / per-unit-capacity factors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-50% / +100%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ROM / order of magnitude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1–15%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 factored; some unit rates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-30% / +50%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Concept evaluation; site selection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Feasibility / budget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10–40%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Semi-detailed; mostly unit rates; MTOs from PFD/general arr.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-20% / +30%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Budget authorization (this baseline)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30–75%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Detailed unit rates; near-complete MTOs; firm quotes long-leads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-10% / +20%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 / sanction approval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/ check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65–100%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Detailed; IFC drawings; firm RFQ pricing; full crew/equip build-up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-5% / +10%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bid; check estimate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3.2  Design Growth Allowances</w:t>
      </w:r>
    </w:p>
    <w:p>
      <w:pPr>
        <w:spacing w:after="80"/>
      </w:pPr>
      <w:r>
        <w:rPr>
          <w:b w:val="0"/>
          <w:i w:val="0"/>
        </w:rPr>
        <w:t>Design growth is applied at quantity-take-off level to compensate for undefined scope at the estimate class. Use values from the following table: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 / 4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Limited geotech; preliminary drawings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 (this baseline)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level for feasibility / budget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Pre-FID; IFC packages near complete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Full detailed design completed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All classes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Concrete works (additive)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Add 5% incremental to earthworks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3.3  Wastage Factors</w:t>
      </w:r>
    </w:p>
    <w:p>
      <w:pPr>
        <w:spacing w:after="80"/>
      </w:pPr>
      <w:r>
        <w:rPr>
          <w:b w:val="0"/>
          <w:i w:val="0"/>
        </w:rPr>
        <w:t>Wastage factors are applied to material take-offs (not to labour or equipment).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481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Granular aggregate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Rounding + delivery variance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(formed)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waste + edge loss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Rebar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Cutting waste; depends on bar size and complexity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Geomembrane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Panel overlaps + anchor trench + QA sampling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Geotextile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ASTM D4439 — 6-inch overlap minimum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3.4  Escalation &amp; Market Basis (Q2-2026)</w:t>
      </w:r>
    </w:p>
    <w:p>
      <w:pPr>
        <w:spacing w:after="80"/>
      </w:pPr>
      <w:r>
        <w:rPr>
          <w:b w:val="0"/>
          <w:i w:val="0"/>
        </w:rPr>
        <w:t>All cumulative cost escalation from Q2-2020 go-by data is applied at x1.25 (BCPI midpoint, range x1.23 to x1.27). Live market signals at issue date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NS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$2.13/L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$2.21/L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NS Energy Regulatory Board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— AB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$1.68/L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$1.78/L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BC Metro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$2.15/L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$2.35/L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USD/CAD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1.36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1.37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CBSA surtax — Chinese structural steel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CBSA Notices 24-26 / 25-22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 surtax — Chinese rebar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Confirm supplier origin certificate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 CBA escalation 2024–2026 (NL)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5.5%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Per trade — see Section 5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4.  CREW COMPOSITIONS &amp; PRODUCTION ASSUMPTIONS</w:t>
      </w:r>
    </w:p>
    <w:p>
      <w:pPr>
        <w:spacing w:after="80"/>
      </w:pPr>
      <w:r>
        <w:rPr>
          <w:b w:val="0"/>
          <w:i w:val="0"/>
        </w:rPr>
        <w:t>Twelve standard crew codes are defined. Crew rates are reported both at the 2020 go-by basis and at the 2026 escalated basis (x1.25). Productivity (Prod Factor) is applied at the unit rate level (Section 8).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Avg Size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2020 Total $/hr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Total $/hr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Light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26.1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$127.50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$159.37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Works — Medium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$158.90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$198.63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Heavy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37.7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$161.30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$201.63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Liner &amp; Pipeline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22.6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$109.40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$136.75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Structural Steel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$114.10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$142.63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Architectural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19.6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$100.30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G1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 Services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$139.13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H1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Mechanical Equipment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23.6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$115.80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$144.76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J1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Piping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13.7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$110.50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$138.12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K1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10.8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$117.80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$147.25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10.3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$123.80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$154.75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Crew composition by trade is shown in Section 5. The crews above are SME averages for benchmarking and unit-rate composition — not a fixed roster. For tender or sanction-class estimates, build the project-specific crew from Section 5 labour rates and Section 6 equipment rates.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5.  LABOUR RATES — CANADA 2026 (FULLY BURDENED)</w:t>
      </w:r>
    </w:p>
    <w:p>
      <w:pPr>
        <w:spacing w:after="80"/>
      </w:pPr>
      <w:r>
        <w:rPr>
          <w:b w:val="0"/>
          <w:i w:val="0"/>
        </w:rPr>
        <w:t>Labour rates are fully burdened: base wage + statutory burdens (CPP, EI, EHT, vacation, statutory holidays) + employer benefits + WCB (province-specific, see Section 12) + small tools allowance + supervision ratio. Camp/LOA is shown as an additive per-person cost (rows O2 and O3) and is not duplicated inside the trade rates.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Low ($/hr or /day)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High ($/hr or /day)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Superintendent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$172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Superintendent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Op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Light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2yr Apprentice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$73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C7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1st yr Apprentice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Driller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Mechanic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M2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Carpenter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Concrete Finisher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Ironworker (rebar/struct)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Welder / Pipefitter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T8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Rodman — Reinforcement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Electrician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 Tech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Project Engineer — Field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Project Engineer — Senior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Safety Officer (NCSO)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O2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— all-in per person/day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$300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LOA subsistence — non-camp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6.  EQUIPMENT RATES — CANADA 2026 (FULLY OPERATED)</w:t>
      </w:r>
    </w:p>
    <w:p>
      <w:pPr>
        <w:spacing w:after="80"/>
      </w:pPr>
      <w:r>
        <w:rPr>
          <w:b w:val="0"/>
          <w:i w:val="0"/>
        </w:rPr>
        <w:t>Equipment rates are fully operated (operator wage already burdened). Fuel is shown in L/hr; multiply by site diesel price for fuel-cost portion. Availability % drives effective hours per shift. Mob/demob: 'Required' = additional cost per Section 16; 'Included' = built into hourly rate; 'By truck' = transport on flatbed at nominal cost.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56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</w:t>
            </w:r>
          </w:p>
        </w:tc>
        <w:tc>
          <w:tcPr>
            <w:tcW w:type="dxa" w:w="272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Equipment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$/hr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$/hr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Fuel L/hr</w:t>
            </w:r>
          </w:p>
        </w:tc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Mob</w:t>
            </w:r>
          </w:p>
        </w:tc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Util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Tandem dump truck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18-20T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45-65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Tri-axle dump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55-75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Wiggle wagon / Super 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45T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$215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65-90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Off-road haul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40-100T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80-140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320 20-25T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$330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336 35-40T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$430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25-35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390 50-65T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38-50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Long-reach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20T 18m reach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$290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D6N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D8T 37T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35-48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D10T 58T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50-68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140M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16M large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22-32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Vib roller single drum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CS56B 12T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15-22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Padfoot compactor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CS74B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Plate compactor / jumping jack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0.5-1T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930M 10T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950M 16T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22-30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980M 22T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28-38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Rotary drill rig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Atlas 120mm hole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35-50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SK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Skid steer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262D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$135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10-15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4-inch 150mm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10-16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8-inch 200mm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Grove RT 60T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Lattice boom crawler crane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Liebherr 150T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$2600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60-90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78%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breaker / hyd hammer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345 + hammer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Air compressor diesel tow.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375 cfm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12-18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Light tower diesel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8-10 kW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Fuel tanker site supply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truck dust suppression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7.  EQUIPMENT SPREADS BY SCOPE  [TEMPLATE — validate per project]</w:t>
      </w:r>
    </w:p>
    <w:p>
      <w:pPr>
        <w:spacing w:after="80"/>
      </w:pPr>
      <w:r>
        <w:rPr>
          <w:b w:val="0"/>
          <w:i w:val="0"/>
        </w:rPr>
        <w:t>Typical SME spreads for Class 3 estimating. Validate fleet sizing against site access, haul distance, geotechnical conditions, climate window, and crew availability before committing to a bid.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45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Primary + Support Equipment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Crew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Mass earthworks — rock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DR rotary, 1× EX Cat 390, 4–6× off-road 40-100T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800–1,500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Mass earthworks — common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336, 4–6× tandem/tri-axle, 1× D8T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1,200–2,000 m³/shift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Engineered fill placement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 or WL 950M, 2–4× tandem, 1× CS74B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600–1,000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build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 (sub-base), 1× 140M grader (surface)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150–300 m/day full build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HDPE liner install (TMF)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WL 930M (panel handling), 1× SK, welding crew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1,500–3,000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Culvert install (≥900 mm CSP)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320, 1× WL 930M, 2× tandem,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20–40 m/day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services trenching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tandem, 1× WL 930M, plate compactor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60–120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pour — foundation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crane RT 60T, 1× concrete pump, 1× vibrator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12–25 m³/day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Rock support — shotcrete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shotcrete pump, 1× EX (mesh handling), 1× SK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120–250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 + blast rock anchors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drill rig (anchor), 1× EX, 1× grout plant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 anchors/day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HDPE forcemain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WL, 1× fusion machine, 1× tandem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80–150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Demolition / strip and grub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D8T, 1× EX Cat 336, 1× tandem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0.5–1.5 ha/day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8.  MASTER SCHEDULE OF RATES</w:t>
      </w:r>
    </w:p>
    <w:p>
      <w:pPr>
        <w:spacing w:after="80"/>
      </w:pPr>
      <w:r>
        <w:rPr>
          <w:b w:val="0"/>
          <w:i w:val="0"/>
        </w:rPr>
        <w:t>This section presents the consolidated Heavy Civil + Contractor scope Schedule of Rates. The full line-item table — including unit man-hours, productivity factor, labour / equip / material / sub build-up columns, CDI %, design growth %, wastage %, and crew code — is provided in the companion Excel workbook (sheet '08 SoR Master'). The summary below shows the section structure and 2026 range bands.</w:t>
      </w:r>
    </w:p>
    <w:p>
      <w:pPr>
        <w:spacing w:before="200" w:after="80"/>
      </w:pPr>
      <w:r>
        <w:rPr>
          <w:b/>
          <w:color w:val="0F2F4D"/>
          <w:sz w:val="28"/>
        </w:rPr>
        <w:t>8.1  Section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Approx Items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A — Earthworks &amp; Mass Excavation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Common/rock excavation, fill, granular, drill+blast (holes only)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B — Water Management / SWM &amp; ESC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Riprap, geotextile, silt fence, sediment control, temp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 — Roads, Pads &amp; Working Surfaces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Sub-grade, granular base, asphalt, equip pads, ditching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 — WRSA / TMF Embankment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Embankment fill, HDPE liner, drainage layers, riprap ditching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 — Drainage, Culverts &amp; Piping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CSP, HDPE, flow guards, discharge piping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F — Concrete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Walls, piers, footings, shotcrete, rebar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G — Structural Steel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Beams, columns, grating, handrail, stairs, deck, cladding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H — Closure &amp; Reclamation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Cap, cover, topsoil, HDPE cap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 — Blasting (full scope)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Drill, charge, blast, clear, controlled / presplit, secondary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J — Permanent Dewatering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stations, forcemains, wellpoint systems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K — Buried 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Water, sewer, manholes, thrust blocks, valves, hydrants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L — Concrete Paving &amp; Curbing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Paving, curb &amp; gutter, wheel wash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M — Fencing, Security &amp; Wildlife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Chain link, wildlife exclusion electrified, gates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 — Site Signage &amp; Traffic Mgmt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Flagging, dust suppression (calcium chloride)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O — Rock Anchors &amp; Stabilization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Rock anchors, wire mesh, shotcrete + mesh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 — Culvert Structures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Precast box, arch, headwalls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Q — Aggregate Crushing On-Site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Granular A/B, riprap D50 — crushing operating cost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R — Underground Civil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Shaft sinking, lateral dev, raise bore, ground support, mucking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S — Tailings Dam Zoned Construction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Zoned starter dam + raises, internal drainage, instrumentation, spillway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 — Heap Leach Pad Construction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Multi-liner system, drain rock, manifolds, PLS pond, drip irrigation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 — Process Plant Civil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Mill / crusher / thickener / flotation foundations, conveyor structures, slabs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V — Slurry / Concentrate / Fuel Pipeline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ROW clearing, trenching, HDPE/steel pipe, valve stations, HDD crossings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W — Mine Site Bridges &amp; Crossings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Modular bridges, concrete bridges, haul road bridges, abutments / piers, large box culverts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X — Power Line &amp; Substation Civil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Tower foundations, distribution poles, substation pads &amp; grounding, ROW clearing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Y — Hydraulic Structures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Diversion channels, riprap classes, energy dissipators, spillway weirs, inlet structures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9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Rev 2 totals: 185 line items across 25 sections (A–Y). Specialty mining sections (R–Y) added in Rev 2 from SME judgement; ranges are Class 3 SME baselines pending project-specific RFQ confirmation.</w:t>
      </w:r>
    </w:p>
    <w:p>
      <w:pPr>
        <w:spacing w:before="200" w:after="80"/>
      </w:pPr>
      <w:r>
        <w:rPr>
          <w:b/>
          <w:color w:val="0F2F4D"/>
          <w:sz w:val="28"/>
        </w:rPr>
        <w:t>8.2  How to Use the Master SoR</w:t>
      </w:r>
    </w:p>
    <w:p>
      <w:pPr>
        <w:spacing w:after="80"/>
      </w:pPr>
      <w:r>
        <w:rPr>
          <w:b w:val="0"/>
          <w:i w:val="0"/>
        </w:rPr>
        <w:t>Each line item carries: Total LOW (CAD) and Total HIGH (CAD) — these are all-in unit prices already including labour + equipment + material + subcontract + CDI (where shown). For Rev E items (sections A–H) the labour / equipment / material build-up is decomposed; for Rev G items (sections I–Q) the build-up is presented as direct $/UOM range only — use the Unit Rate Build-Up Calculator (Section 9) to reverse-engineer if a full build-up is required for a tender estimate.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9.  UNIT RATE BUILD-UP METHODOLOGY</w:t>
      </w:r>
    </w:p>
    <w:p>
      <w:pPr>
        <w:spacing w:after="80"/>
      </w:pPr>
      <w:r>
        <w:rPr>
          <w:b w:val="0"/>
          <w:i w:val="0"/>
        </w:rPr>
        <w:t>The standard SME unit-rate composition is a six-element build-up: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Labour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Crew rate × (Unit MH / Productivity)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4–5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Equipment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Same crew driver — included in crew total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Section 4 / 6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Material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Supplier quote × (1 + Wastage)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3.3 / supplier RFQ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Subcontract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quote (bare, before markup)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sub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Contractor Indirect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% of (L+E+M+S) — CDI overhead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11 / 14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unit rate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U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(L + E + M + S) × (1 + I)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Sheet 09 calculator</w:t>
            </w:r>
          </w:p>
        </w:tc>
      </w:tr>
    </w:tbl>
    <w:p>
      <w:pPr>
        <w:spacing w:after="80"/>
      </w:pPr>
      <w:r>
        <w:rPr>
          <w:b w:val="0"/>
          <w:i w:val="0"/>
        </w:rPr>
        <w:t>Two further factors are applied at unit-rate level before roll-up: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Design growth 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DG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2–20% depending on AACE class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Apply to quantity, not to unit rate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Regional adjustor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1.00 – 1.55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Apply to direct unit rate × (1+DG)</w:t>
            </w:r>
          </w:p>
        </w:tc>
      </w:tr>
    </w:tbl>
    <w:p>
      <w:pPr>
        <w:spacing w:after="80"/>
      </w:pPr>
      <w:r>
        <w:rPr>
          <w:b w:val="0"/>
          <w:i w:val="0"/>
        </w:rPr>
        <w:t>Final unit rate = U × (1 + DG) × R. The 6-layer markup stack (Section 15) is then applied at project roll-up, not at line level. The companion Excel workbook (sheet '09 Unit Rate Calculator') provides a live calculator with formulas.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10.  BID SCREENING — FLOORS, CEILINGS &amp; SENSE-CHECKS</w:t>
      </w:r>
    </w:p>
    <w:p>
      <w:pPr>
        <w:spacing w:after="80"/>
      </w:pPr>
      <w:r>
        <w:rPr>
          <w:b w:val="0"/>
          <w:i w:val="0"/>
        </w:rPr>
        <w:t>Use the following benchmarks to validate tender pricing before award. Any bid line item priced more than 20% below the floor or 20% above the ceiling warrants a clarification request. Items priced below the floor most commonly indicate missing scope (insulation, CQA, supply, etc.).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8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Benchmark 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Floor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Ceiling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Mass earthworks — rock (blasted)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Engineered fill compacted Zone A/B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Granular road base 150mm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$42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full build (sub-grade to surface)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Strip and grub per hectare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$/ha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$8,500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embankment engineered fill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HDPE liner 2mm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perimeter ditch riprap lined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1200mm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$1,000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$1,600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150mm above grade insulated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$230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Flow guard 600mm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Flow guard 1200mm supply+install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foundation/wall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Shotcrete with fibre 75mm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Rebar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$/tonne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$3,800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$6,500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Pre-blast survey per structure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$/struct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Wildlife exclusion electrified 2.4m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$150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SERVICES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Sanitary manhole precast 1200mm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Contractor OH+profit — $50M project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% dir.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14%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+ L&amp;M bond (&gt;$25M)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0.75%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1.25%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11.  CONTRACTOR INDIRECTS (CDI) &amp; OVERHEAD BUILD-UP</w:t>
      </w:r>
    </w:p>
    <w:p>
      <w:pPr>
        <w:spacing w:after="80"/>
      </w:pPr>
      <w:r>
        <w:rPr>
          <w:b w:val="0"/>
          <w:i w:val="0"/>
        </w:rPr>
        <w:t>Contractor field indirects (CDI) are the site-administrative and supervisory costs allocated across all direct work. Typical project total: 12–18% of direct cost. The detail build-up below is from the source workbook (Rev 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trailer — lunchroom / dryroom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$1,500–$2,500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power — generator 100 kW diesel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$4,500–$8,500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Temp power — 250 kW generator large camp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$9,500–$16,000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IT, internet, comms (Starlink/repeater)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$850–$2,500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vehicle — project pickup truck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$1,200–$1,800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vehicle — 20-seat crew bus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$3,500–$6,500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— site setup + teardown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$35,000–$85,000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Senior Project Engineer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$14,000–$20,000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Field / QC Engineer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$11,000–$16,000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Safety Officer (NCSO certified)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$12,000–$17,000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Senior Superintendent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$16,000–$24,000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$13,000–$19,000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Document Controller / Field Admin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$7,500–$11,000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Nuclear density testing —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 cylinder testing — per set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set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$185–$350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gradation testing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test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$250–$450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Geomembrane weld testing (spark test)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 weld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$2.50–$4.50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Survey control — survey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$2,500–$4,500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Spill kit and containment supplies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$350–$750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water sampling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sample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$450–$950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Environmental coordinator (part-time)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$5,500–$9,500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 / deficiency holdback allowance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12.  BONDING &amp; INSURANCE</w:t>
      </w:r>
    </w:p>
    <w:p>
      <w:pPr>
        <w:spacing w:after="80"/>
      </w:pPr>
      <w:r>
        <w:rPr>
          <w:b w:val="0"/>
          <w:i w:val="0"/>
        </w:rPr>
        <w:t>Bonding and insurance rates for Canadian mining heavy civil contractors at typical 2026 rates. WCB is province-specific — confirm classification and base rate against the relevant authority before pricing.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Rate (CAD)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small (&lt;$5M)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1.5%–2.5%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 — medium ($5–$25M)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1.0%–1.8%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large (&gt;$25M)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0.75%–1.25%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&amp; Material Payment Bond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Maintenance/Warranty Bond — 12 month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LIABILITY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Pollution Liability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Annual policy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$1,500–$3,500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Alberta WCB Industry 41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$3.80–$5.20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BC WorkSafeBC Class 711001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$4.50–$6.00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NS WCB NS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$3.80–$5.50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NL WorkplaceNL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$4.00–$5.80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Quebec CNESST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Equipment Operator — all provinces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$3.50–$5.00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Blaster / Driller — elevated risk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PROPERTY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Equipment Floater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fleet repl/yr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0.5%–1.2%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13.  STANDBY RATES, ACCELERATION &amp; DELAY</w:t>
      </w:r>
    </w:p>
    <w:p>
      <w:pPr>
        <w:spacing w:after="80"/>
      </w:pPr>
      <w:r>
        <w:rPr>
          <w:b w:val="0"/>
          <w:i w:val="0"/>
        </w:rPr>
        <w:t>Standby rates apply when equipment and crew are held on site for owner-caused delay, weather hold, or force majeure. Acceleration premiums apply when work is compressed or pushed into night / weekend windows. Cold-weather and winter premiums apply where work proceeds in Nov–Mar.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Excavator Cat 320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Excavator Cat 336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$140–$200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Track dozer D8T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$155–$215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 Cat 140M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RT crane 60T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$320–$480 (min 4hr call-out)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Crawler crane 150T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$850–$1,300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Equipment operator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$93–$128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 heavy civil crew of 10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$7,000–$10,000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Overtime — double time (Sun/holiday)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100% / 100%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Afternoon shift premium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5%–10%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Night shift premium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10%–15%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Cold weather heating — LP heaters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$450–$850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Cold weather enclosure — concrete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m² enclosed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$8–$18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 freeze protection — earthworks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m³ thaw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$3.50–$8.50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 demob + remob per 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$15,000–$65,000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Extended project overhead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week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$12,000–$35,000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Material restocking / escalation impact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mat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2%–8% (&gt;3 mo)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14.  SME FACTORS — REGIONAL ADJUSTORS &amp; MARKUPS</w:t>
      </w:r>
    </w:p>
    <w:p>
      <w:pPr>
        <w:spacing w:before="200" w:after="80"/>
      </w:pPr>
      <w:r>
        <w:rPr>
          <w:b/>
          <w:color w:val="0F2F4D"/>
          <w:sz w:val="28"/>
        </w:rPr>
        <w:t>14.1  Regional Adjustors (Canada 2026)</w:t>
      </w:r>
    </w:p>
    <w:p>
      <w:pPr>
        <w:spacing w:after="80"/>
      </w:pPr>
      <w:r>
        <w:rPr>
          <w:b w:val="0"/>
          <w:i w:val="0"/>
        </w:rPr>
        <w:t>Apply the regional adjustor to the direct unit rate (after design growth). The adjustor captures regional labour market premia, material logistics, remoteness, and CBA / union density. Baseline is Manitoba / Saskatchewan = 1.00–1.08.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Ontario (Greater Toronto / Ottawa)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Ontario (Northern — Thunder Bay / Sudbury)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Quebec (Montreal)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1.12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Quebec (Northern — Chibougamau / James Bay)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1.22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Manitoba / Saskatchewan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(Edmonton / Calgary)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1.18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Alberta (Oil Sands / Fort McMurray)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British Columbia (Metro Vancouver)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British Columbia (Interior / Northern)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Yukon / NWT / Nunavut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1.55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Winter construction premium — all Canada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14.2  Indirect / GC Markup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major earthwork fleet (% of equip)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Or flat LS per fleet 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Mob/demob RT crane 60T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rate per mob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crawler crane 150T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$25,000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$55,000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Incl. partial disassembly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Camp/LOA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Add for remote sites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Small tools and consumables on direct labour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4%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Blades, hoses, bits, PPE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Supervision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Foreman + super ratio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Contractor distributable (CDI) on direct cost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Temp facilities, insurance, site admin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15.  CONTRACTOR BID COST STRUCTURE — 6-LAYER MARKUP MODEL</w:t>
      </w:r>
    </w:p>
    <w:p>
      <w:pPr>
        <w:spacing w:after="80"/>
      </w:pPr>
      <w:r>
        <w:rPr>
          <w:b w:val="0"/>
          <w:i w:val="0"/>
        </w:rPr>
        <w:t>All contractor bids in this manual are composed of six stacked cost layers. The first layer (Direct Field Costs) is built up from the Schedule of Rates (Section 8); the remaining five layers apply % markups in the following sequence: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(% of direct)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(% of direct)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Unit rates × MTO quantities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 (basis)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 (CDI)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facilities, supervision, small tools, QC, environmental, camp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Bid &amp; proposal costs, warranty, head office allocation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bond, L&amp;M bond, CGL, WCB, Builder's Risk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Ground conditions, weather, escalation, subcontractor default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Profit / fee — varies by risk and competitive position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</w:tbl>
    <w:p>
      <w:pPr>
        <w:spacing w:after="80"/>
      </w:pPr>
      <w:r>
        <w:rPr>
          <w:b w:val="0"/>
          <w:i w:val="0"/>
        </w:rPr>
        <w:t>Total bid = Direct + CDI + OH + Bond/Ins + Contingency + Profit. Sense-check the total against the unit-rate floor/ceiling table in Section 10. For mid-size mining civil projects (~$50M direct), total OH + profit typically falls in the 14–22% range — values outside this band warrant review.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16.  MOBILIZATION &amp; DEMOBILIZATION LOGIC</w:t>
      </w:r>
    </w:p>
    <w:p>
      <w:pPr>
        <w:spacing w:after="80"/>
      </w:pPr>
      <w:r>
        <w:rPr>
          <w:b w:val="0"/>
          <w:i w:val="0"/>
        </w:rPr>
        <w:t>Mob/demob is typically priced as a separate lump-sum line, not absorbed in unit rates. For remote / fly-in sites, add freight allowance. For multi-phase work, charge re-mob per phase. Sheet 13 (Standby &amp; Schedule) handles owner-caused re-mob.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Asset / Activity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Major earthwork fleet mob/demob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% of equip value or flat 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2%–5%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Heavy haul move per low-bed trip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round-trip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$1,800–$3,500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Off-road haul truck (40–100T) move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Per unit / round-trip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$8,000–$18,000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 RT 60T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per mob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$4,000–$8,000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Lattice boom crawler 150T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Flat per mob (incl. disassembly)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$25,000–$55,000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setup — fly-in remote (40-bed)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$250,000–$500,000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Camp setup — drive-in (40-bed)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$120,000–$220,000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sub (incl. CQA crew)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$25,000–$60,000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Blasting sub (drill + powder magazine)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$35,000–$90,000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crushing plant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$150,000–$400,000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Insurance / 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Provincial registration + WCB account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$5,000–$15,000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17.  CONSTRUCTABILITY &amp; EXECUTION ASSUMPTIONS  [TEMPLATE]</w:t>
      </w:r>
    </w:p>
    <w:p>
      <w:pPr>
        <w:spacing w:after="80"/>
      </w:pPr>
      <w:r>
        <w:rPr>
          <w:b w:val="0"/>
          <w:i w:val="0"/>
        </w:rPr>
        <w:t>This section captures the standing assumptions that frame each estimate. Populate per project — the headings below are mandatory; the example detail is illustrative.</w:t>
      </w:r>
    </w:p>
    <w:p>
      <w:pPr>
        <w:spacing w:before="200" w:after="80"/>
      </w:pPr>
      <w:r>
        <w:rPr>
          <w:b/>
          <w:color w:val="0F2F4D"/>
          <w:sz w:val="28"/>
        </w:rPr>
        <w:t>17.1  Work Calendar</w:t>
      </w:r>
    </w:p>
    <w:p>
      <w:pPr>
        <w:pStyle w:val="ListBullet"/>
      </w:pPr>
      <w:r>
        <w:t>Site works 10-hr shift, 14-on / 7-off (FIFO) OR 4-on / 3-off (drive-in)</w:t>
      </w:r>
    </w:p>
    <w:p>
      <w:pPr>
        <w:pStyle w:val="ListBullet"/>
      </w:pPr>
      <w:r>
        <w:t>Effective hours per shift after breaks &amp; travel: 8.5–9.0 productive hr</w:t>
      </w:r>
    </w:p>
    <w:p>
      <w:pPr>
        <w:pStyle w:val="ListBullet"/>
      </w:pPr>
      <w:r>
        <w:t>Winter weather window (no work): Nov–Mar productivity factor 0.70–0.85</w:t>
      </w:r>
    </w:p>
    <w:p>
      <w:pPr>
        <w:pStyle w:val="ListBullet"/>
      </w:pPr>
      <w:r>
        <w:t>Spring break-up moratorium (haul road restrictions): early Apr to mid-May</w:t>
      </w:r>
    </w:p>
    <w:p>
      <w:pPr>
        <w:spacing w:before="200" w:after="80"/>
      </w:pPr>
      <w:r>
        <w:rPr>
          <w:b/>
          <w:color w:val="0F2F4D"/>
          <w:sz w:val="28"/>
        </w:rPr>
        <w:t>17.2  Access &amp; Logistics</w:t>
      </w:r>
    </w:p>
    <w:p>
      <w:pPr>
        <w:pStyle w:val="ListBullet"/>
      </w:pPr>
      <w:r>
        <w:t>Primary access road condition (paved / gravel / seasonal) and weight rating</w:t>
      </w:r>
    </w:p>
    <w:p>
      <w:pPr>
        <w:pStyle w:val="ListBullet"/>
      </w:pPr>
      <w:r>
        <w:t>Fly-in vs drive-in — confirm chartered air freight cost &amp; frequency</w:t>
      </w:r>
    </w:p>
    <w:p>
      <w:pPr>
        <w:pStyle w:val="ListBullet"/>
      </w:pPr>
      <w:r>
        <w:t>Material laydown sufficient for 60–90 days inventory at site</w:t>
      </w:r>
    </w:p>
    <w:p>
      <w:pPr>
        <w:pStyle w:val="ListBullet"/>
      </w:pPr>
      <w:r>
        <w:t>Fuel resupply schedule — confirm tanker turnaround and on-site storage capacity</w:t>
      </w:r>
    </w:p>
    <w:p>
      <w:pPr>
        <w:spacing w:before="200" w:after="80"/>
      </w:pPr>
      <w:r>
        <w:rPr>
          <w:b/>
          <w:color w:val="0F2F4D"/>
          <w:sz w:val="28"/>
        </w:rPr>
        <w:t>17.3  Sequencing</w:t>
      </w:r>
    </w:p>
    <w:p>
      <w:pPr>
        <w:pStyle w:val="ListBullet"/>
      </w:pPr>
      <w:r>
        <w:t>Earthworks completion before liner install (no traffic post-liner)</w:t>
      </w:r>
    </w:p>
    <w:p>
      <w:pPr>
        <w:pStyle w:val="ListBullet"/>
      </w:pPr>
      <w:r>
        <w:t>Concrete cure times: 7 days form-strip; 28 days full strength; cold weather double</w:t>
      </w:r>
    </w:p>
    <w:p>
      <w:pPr>
        <w:pStyle w:val="ListBullet"/>
      </w:pPr>
      <w:r>
        <w:t>Steel erection cannot proceed until anchor bolts surveyed and accepted</w:t>
      </w:r>
    </w:p>
    <w:p>
      <w:pPr>
        <w:pStyle w:val="ListBullet"/>
      </w:pPr>
      <w:r>
        <w:t>Culvert installs during low-flow window per provincial fisheries authorization</w:t>
      </w:r>
    </w:p>
    <w:p>
      <w:pPr>
        <w:spacing w:before="200" w:after="80"/>
      </w:pPr>
      <w:r>
        <w:rPr>
          <w:b/>
          <w:color w:val="0F2F4D"/>
          <w:sz w:val="28"/>
        </w:rPr>
        <w:t>17.4  Geotechnical</w:t>
      </w:r>
    </w:p>
    <w:p>
      <w:pPr>
        <w:pStyle w:val="ListBullet"/>
      </w:pPr>
      <w:r>
        <w:t>Bedrock encountered at depth X m — drill+blast assumption from elevation Y</w:t>
      </w:r>
    </w:p>
    <w:p>
      <w:pPr>
        <w:pStyle w:val="ListBullet"/>
      </w:pPr>
      <w:r>
        <w:t>Water table at depth X m — dewatering required for excavations deeper than Y m</w:t>
      </w:r>
    </w:p>
    <w:p>
      <w:pPr>
        <w:pStyle w:val="ListBullet"/>
      </w:pPr>
      <w:r>
        <w:t>Acid-generating waste rock requires segregation and encapsulation (geomembrane base)</w:t>
      </w:r>
    </w:p>
    <w:p>
      <w:pPr>
        <w:spacing w:before="200" w:after="80"/>
      </w:pPr>
      <w:r>
        <w:rPr>
          <w:b/>
          <w:color w:val="0F2F4D"/>
          <w:sz w:val="28"/>
        </w:rPr>
        <w:t>17.5  Environmental</w:t>
      </w:r>
    </w:p>
    <w:p>
      <w:pPr>
        <w:pStyle w:val="ListBullet"/>
      </w:pPr>
      <w:r>
        <w:t>Fish habitat compensation work in Year 1 — site-specific permits required</w:t>
      </w:r>
    </w:p>
    <w:p>
      <w:pPr>
        <w:pStyle w:val="ListBullet"/>
      </w:pPr>
      <w:r>
        <w:t>SWPPP / ESCP plan controlling discharge to receiving water; weekly inspection minimum</w:t>
      </w:r>
    </w:p>
    <w:p>
      <w:pPr>
        <w:pStyle w:val="ListBullet"/>
      </w:pPr>
      <w:r>
        <w:t>Wildlife protocol (bear / caribou / grizzly) — daily site clearance</w:t>
      </w:r>
    </w:p>
    <w:p>
      <w:pPr>
        <w:spacing w:before="200" w:after="80"/>
      </w:pPr>
      <w:r>
        <w:rPr>
          <w:b/>
          <w:color w:val="0F2F4D"/>
          <w:sz w:val="28"/>
        </w:rPr>
        <w:t>17.6  Construction Methods</w:t>
      </w:r>
    </w:p>
    <w:p>
      <w:pPr>
        <w:pStyle w:val="ListBullet"/>
      </w:pPr>
      <w:r>
        <w:t>Roll-on / roll-off compaction at 95% Std Proctor; 98% for process pads</w:t>
      </w:r>
    </w:p>
    <w:p>
      <w:pPr>
        <w:pStyle w:val="ListBullet"/>
      </w:pPr>
      <w:r>
        <w:t>Concrete supplied from on-site batch plant (if vol &gt;2,000 m³) else ready-mix from X km</w:t>
      </w:r>
    </w:p>
    <w:p>
      <w:pPr>
        <w:pStyle w:val="ListBullet"/>
      </w:pPr>
      <w:r>
        <w:t>Aggregate supplied from on-site quarry/crusher (if vol &gt;50,000 t) else from X km</w:t>
      </w:r>
    </w:p>
    <w:p>
      <w:pPr>
        <w:pStyle w:val="ListBullet"/>
      </w:pPr>
      <w:r>
        <w:t>Blasting confined per pattern; pre-blast survey for structures within 500m radius</w:t>
      </w:r>
    </w:p>
    <w:p>
      <w:pPr>
        <w:spacing w:before="200" w:after="80"/>
      </w:pPr>
      <w:r>
        <w:rPr>
          <w:b/>
          <w:color w:val="0F2F4D"/>
          <w:sz w:val="28"/>
        </w:rPr>
        <w:t>17.7  Interface</w:t>
      </w:r>
    </w:p>
    <w:p>
      <w:pPr>
        <w:pStyle w:val="ListBullet"/>
      </w:pPr>
      <w:r>
        <w:t>Owner-supplied items (e.g. process plant equipment)</w:t>
      </w:r>
    </w:p>
    <w:p>
      <w:pPr>
        <w:pStyle w:val="ListBullet"/>
      </w:pPr>
      <w:r>
        <w:t>Existing facility tie-ins coordinated during scheduled outage windows</w:t>
      </w:r>
    </w:p>
    <w:p>
      <w:pPr>
        <w:spacing w:before="200" w:after="80"/>
      </w:pPr>
      <w:r>
        <w:rPr>
          <w:b/>
          <w:color w:val="0F2F4D"/>
          <w:sz w:val="28"/>
        </w:rPr>
        <w:t>17.8  Labour / IR</w:t>
      </w:r>
    </w:p>
    <w:p>
      <w:pPr>
        <w:pStyle w:val="ListBullet"/>
      </w:pPr>
      <w:r>
        <w:t>Open shop / CLAC / Building Trades — confirm market and CBA obligations</w:t>
      </w:r>
    </w:p>
    <w:p>
      <w:pPr>
        <w:pStyle w:val="ListBullet"/>
      </w:pPr>
      <w:r>
        <w:t>Indigenous community engagement commitment — % local hire / IBA obligations</w:t>
      </w:r>
    </w:p>
    <w:p>
      <w:pPr>
        <w:spacing w:before="200" w:after="80"/>
      </w:pPr>
      <w:r>
        <w:rPr>
          <w:b/>
          <w:color w:val="0F2F4D"/>
          <w:sz w:val="28"/>
        </w:rPr>
        <w:t>17.9  HSE</w:t>
      </w:r>
    </w:p>
    <w:p>
      <w:pPr>
        <w:pStyle w:val="ListBullet"/>
      </w:pPr>
      <w:r>
        <w:t>Site induction 4 hr per worker; site-specific safety standards apply</w:t>
      </w:r>
    </w:p>
    <w:p>
      <w:pPr>
        <w:pStyle w:val="ListBullet"/>
      </w:pPr>
      <w:r>
        <w:t>Fire watch protocol for hot work; permit-to-work system in operation</w:t>
      </w:r>
    </w:p>
    <w:p>
      <w:pPr>
        <w:pStyle w:val="ListBullet"/>
      </w:pPr>
      <w:r>
        <w:t>Critical lifts &gt;75% chart capacity require lift plan + engineer approval</w:t>
      </w:r>
    </w:p>
    <w:p>
      <w:pPr>
        <w:spacing w:before="200" w:after="80"/>
      </w:pPr>
      <w:r>
        <w:rPr>
          <w:b/>
          <w:color w:val="0F2F4D"/>
          <w:sz w:val="28"/>
        </w:rPr>
        <w:t>17.10 Productivity</w:t>
      </w:r>
    </w:p>
    <w:p>
      <w:pPr>
        <w:pStyle w:val="ListBullet"/>
      </w:pPr>
      <w:r>
        <w:t>Apply 0.85–0.95 productivity factor for first 4 weeks of project (learning curve)</w:t>
      </w:r>
    </w:p>
    <w:p>
      <w:pPr>
        <w:pStyle w:val="ListBullet"/>
      </w:pPr>
      <w:r>
        <w:t>Confined working areas: derate output by 10–30% depending on access</w:t>
      </w:r>
    </w:p>
    <w:p>
      <w:pPr>
        <w:spacing w:before="200" w:after="80"/>
      </w:pPr>
      <w:r>
        <w:rPr>
          <w:b/>
          <w:color w:val="0F2F4D"/>
          <w:sz w:val="28"/>
        </w:rPr>
        <w:t>17.11 Quality</w:t>
      </w:r>
    </w:p>
    <w:p>
      <w:pPr>
        <w:pStyle w:val="ListBullet"/>
      </w:pPr>
      <w:r>
        <w:t>All concrete pours: nuclear density + 4-cyl set per pour</w:t>
      </w:r>
    </w:p>
    <w:p>
      <w:pPr>
        <w:pStyle w:val="ListBullet"/>
      </w:pPr>
      <w:r>
        <w:t>All HDPE liner seams: 100% non-destructive (spark / vacuum) + destructive sample 1/150 m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18.  SCOPE INCLUSIONS, EXCLUSIONS &amp; CLARIFICATIONS  [TEMPLATE]</w:t>
      </w:r>
    </w:p>
    <w:p>
      <w:pPr>
        <w:spacing w:after="80"/>
      </w:pPr>
      <w:r>
        <w:rPr>
          <w:b w:val="0"/>
          <w:i w:val="0"/>
        </w:rPr>
        <w:t>The following register defines a typical contractor scope position. Populate INCLUDED / EXCLUDED / CLARIFY in each row per project. This register travels with the bid and is referenced in the contract documents.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5386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Mass excavation common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excavation including drill &amp; 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Removal of contaminated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Temporary site dewatering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Permanent stormwater pond construction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Operating sediment treatment chemicals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Haul road sub-base + surface course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Permanent asphalt paving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TMF embankment construction Zones A, B, C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2mm liner with CQA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Dam Safety Officer (DSO) services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culverts up to 1200mm diameter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box / arch culverts &gt; 1500mm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Cast-in-place foundations, walls, footings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concrete (process plant)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enclosures + equipment platforms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structural steel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systems (TMF, ponds, closure)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Geomembrane CQA Engineer of Record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Drill, blast, clear of rock excavation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Pre-blast condition surveys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potable water, sewer, process water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Electrical / instrumentation underground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perimeter chain link + wildlife excl.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area security fencing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cover system + topsoil + seeding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Long-term water treatment infrastructure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offices, lunchrooms, dryrooms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Camp accommodation (incl. food)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inspection / EPCM offices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Routine construction permits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authorization (EA, water license)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Provincial blasting permits, magazine licenses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12-month warranty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Extended warranty beyond 12 months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19.  BID LEVELING — TENDER COMPARISON FRAMEWORK  [TEMPLATE]</w:t>
      </w:r>
    </w:p>
    <w:p>
      <w:pPr>
        <w:spacing w:after="80"/>
      </w:pPr>
      <w:r>
        <w:rPr>
          <w:b w:val="0"/>
          <w:i w:val="0"/>
        </w:rPr>
        <w:t>Use a side-by-side worksheet (per the companion Excel sheet '19 Bid Leveling') to compare bidder pricing against the SME benchmark. Convert each bidder's Form of Tender into a common UOM before comparison. Flag any item more than ±20% from the benchmark for clarification. Apply Section 10 floor/ceiling tests as hard out-of-range triggers.</w:t>
      </w:r>
    </w:p>
    <w:p>
      <w:pPr>
        <w:spacing w:before="200" w:after="80"/>
      </w:pPr>
      <w:r>
        <w:rPr>
          <w:b/>
          <w:color w:val="0F2F4D"/>
          <w:sz w:val="28"/>
        </w:rPr>
        <w:t>19.1  Process</w:t>
      </w:r>
    </w:p>
    <w:p>
      <w:pPr>
        <w:pStyle w:val="ListNumber"/>
      </w:pPr>
      <w:r>
        <w:t>1) Common UOM normalization — strip lump sums, convert per-unit, align UOM.</w:t>
      </w:r>
    </w:p>
    <w:p>
      <w:pPr>
        <w:pStyle w:val="ListNumber"/>
      </w:pPr>
      <w:r>
        <w:t>2) Build the comparison table: Item | Qty | Bidder A | Bidder B | Bidder C | SME Benchmark.</w:t>
      </w:r>
    </w:p>
    <w:p>
      <w:pPr>
        <w:pStyle w:val="ListNumber"/>
      </w:pPr>
      <w:r>
        <w:t>3) Compute variance % vs benchmark for each bidder line.</w:t>
      </w:r>
    </w:p>
    <w:p>
      <w:pPr>
        <w:pStyle w:val="ListNumber"/>
      </w:pPr>
      <w:r>
        <w:t>4) Aggregate top 10 deviation items by absolute $ — these drive total bid difference.</w:t>
      </w:r>
    </w:p>
    <w:p>
      <w:pPr>
        <w:pStyle w:val="ListNumber"/>
      </w:pPr>
      <w:r>
        <w:t>5) Compile clarification / deviation log per bidder; request written response.</w:t>
      </w:r>
    </w:p>
    <w:p>
      <w:pPr>
        <w:pStyle w:val="ListNumber"/>
      </w:pPr>
      <w:r>
        <w:t>6) Re-level after clarifications: this is the 'normalized bid' that goes forward to commercial evaluation.</w:t>
      </w:r>
    </w:p>
    <w:p>
      <w:pPr>
        <w:pStyle w:val="ListNumber"/>
      </w:pPr>
      <w:r>
        <w:t>7) Run sense-check: bidder total ÷ direct quantity ($/m³ aggregate) against Section 10 ranges.</w:t>
      </w:r>
    </w:p>
    <w:p>
      <w:pPr>
        <w:spacing w:before="200" w:after="80"/>
      </w:pPr>
      <w:r>
        <w:rPr>
          <w:b/>
          <w:color w:val="0F2F4D"/>
          <w:sz w:val="28"/>
        </w:rPr>
        <w:t>19.2  Deviation Categories</w:t>
      </w:r>
    </w:p>
    <w:p>
      <w:pPr>
        <w:spacing w:after="80"/>
      </w:pPr>
      <w:r>
        <w:rPr>
          <w:b w:val="0"/>
          <w:i w:val="0"/>
        </w:rPr>
        <w:t>Typical sources of bid deviation: missing inclusions, different productivity assumption, different supplier source (especially steel/rebar after CBSA), regional adjustor misapplication, unbalanced bidding (front-loaded mobilization), and exclusion of CQA, surveys, or testing.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20.  CHANGE ORDER PRICING METHODOLOGIES</w:t>
      </w:r>
    </w:p>
    <w:p>
      <w:pPr>
        <w:spacing w:after="80"/>
      </w:pPr>
      <w:r>
        <w:rPr>
          <w:b w:val="0"/>
          <w:i w:val="0"/>
        </w:rPr>
        <w:t>Five methodologies are recognized for pricing a change. The methodology used should be agreed with the Contract Administrator at project start.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When to Use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Build-Up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Unit-rate based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Quantum well-defined; existing rate covers scope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Qty × rate × (1+DG)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Time &amp; Materials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Scope uncertain or schedule-critical; no firm quantum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LEM hr × $/hr + Mat × (1+wastage) + Sub × (1+markup) + OH%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Lump-sum quotation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Discrete, well-defined; firm quote possible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Direct + Indirect 10–15% + OH+P 10–20%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Negotiated rates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Recurring change category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Pre-agreed rate schedule × Qty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Force account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Disputed scope; owner directs work pending resolution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T&amp;M as above + auditable records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20.1  Standard Markup Stack (CCDC 2 GC 6.2.4)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% Range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Apply 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Direct labour + equip + material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Cost of work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field overhead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8–12%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Direct labour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Head office overhead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direct + CFO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profit / fee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+ OH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Bond + insurance adjustment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1.5–3%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contract increase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Sub-tier markup (flow-through subs)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price</w:t>
            </w:r>
          </w:p>
        </w:tc>
      </w:tr>
    </w:tbl>
    <w:p>
      <w:pPr>
        <w:spacing w:after="80"/>
      </w:pPr>
      <w:r>
        <w:rPr>
          <w:b w:val="0"/>
          <w:i/>
          <w:color w:val="555555"/>
        </w:rPr>
        <w:t>Daily T&amp;M sheets must be co-signed within 48 hours of work performed. Lump-sum change quotations must include itemised breakdown of LEMSC + indirect + OH+P. Time-impact analysis is required if the change affects critical path (CCDC 2 GC 6.5).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21.  PROJECT ESTIMATE ROLL-UP TEMPLATE  [TEMPLATE]</w:t>
      </w:r>
    </w:p>
    <w:p>
      <w:pPr>
        <w:spacing w:after="80"/>
      </w:pPr>
      <w:r>
        <w:rPr>
          <w:b w:val="0"/>
          <w:i w:val="0"/>
        </w:rPr>
        <w:t>Roll-up format mirroring the 6-layer bid model. Populate the Direct field cost lines from MTO × unit rate (Section 8). Apply markups within the bands shown in Section 15. Apply the regional adjustor (Section 14) to direct lines before summing if site is outside the MB/SK baseline. The live formulas are in the companion Excel sheet '21 Project Roll-Up'.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Σ Earthworks + WaterMgmt + Roads + WRSA + Drainage + Concrete + Steel + Geosynth + Blast + Buried + Fencing + Dewater + Closure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Direct × CDI% (typ. 12-18%)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OH% (typ. 6-12%)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OH) × B+I% (typ. 2-4%)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Cont.% (typ. 8-15%)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 + B+I + Cont.) × Profit% (typ. 8-15%)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TOTAL BID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Σ of layers 1-6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22.  RISK &amp; CONTINGENCY REGISTER  [TEMPLATE]</w:t>
      </w:r>
    </w:p>
    <w:p>
      <w:pPr>
        <w:spacing w:after="80"/>
      </w:pPr>
      <w:r>
        <w:rPr>
          <w:b w:val="0"/>
          <w:i w:val="0"/>
        </w:rPr>
        <w:t>Typical risk categories for Canadian mining heavy civil projects with illustrative likelihood / impact ranking and mitigation/allocation guidance. Total cost-weighted exposure drives the contingency carry in Section 15 Layer 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Cat.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 (1-5)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 (1-5)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Mitigation / Allocation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Unforeseen rock below estimated quantity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3-8% earthworks contingency; rate adjustment per CCDC GC 6.4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Acid-generating waste rock encountered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Owner-led environmental mgmt; 1-3% allowance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Weather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Extended winter shutdown beyond plan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2-5% weather contingency; review work calendar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R-04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Market/Escalation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&gt;15% above bid basis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3-8% materials escalation; index fuel surcharge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Market/Tariff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CBSA 25% surtax extended on steel/rebar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Source Canadian/US; 5-10% on steel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R-06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Subcontractor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 default or delay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1-3% sub default contingency; pre-qualify alts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Environmental permit delay for fish habitat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Phase work; engage authority early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R-08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Skilled trades shortage (Electrician/Welder)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Lock supply via early subs; 5% labour premium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Indigenous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IBA / community engagement delay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Engage early; capture in schedule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Owner-supplied materials late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Daily T&amp;M / standby for owner-caused delay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R-11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Quality/Rework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HDPE liner CQA failures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Pre-qualify installer; third-party CQA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Major incident causing site stop-work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Strong safety culture; carry incident allowance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23.  GLOSSARY &amp; ABBREVIATIONS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37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AACE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Association for the Advancement of Cost Engineering International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Cost Estimate Classification System — process industries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AFE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Authorization for Expenditure — owner approval at sanction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BCPI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Construction Price Index (Statistics Canada)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CAD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Canadian Dollar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 Border Services Agency — administers steel/rebar surtax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CDI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Contractor Distributable Indirects (site indirects)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CGL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Commercial General Liability insurance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Christian Labour Association of Canada (open shop)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Canadian Construction Documents Committee (CCDC 2 = stipulated sum)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CQA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Construction Quality Assurance (typically third-party)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DR-11 / DR-17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pipe Dimension Ratio (wall thickness class)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EHT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Employer Health Tax (Ontario / BC)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EPCM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Engineering, Procurement and Construction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Erosion &amp; Sediment Control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Investment Decision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FIFO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Fly-in / Fly-out (typically 14-on / 7-off rotation)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High-Density Polyethylene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Health, Safety, Environment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IBA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Impact Benefit Agreement (Indigenous communities)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IFC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Issued For Construction (drawing status)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Living Out Allowance (per-diem) for non-camp remote work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MTO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Material Take-Off (quantity survey from drawings)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NCSO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National Construction Safety Officer (Canadian certification)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Natural Resources Canada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Order of Magnitude (Class 5/4 estimate)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SoR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Schedule of Rates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SWM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Stormwater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SWPPP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Stormwater Pollution Prevention Plan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Tailings Management Facility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WBS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Work Breakdown Structure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 / WSIB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Workers' Compensation Board / Ontario WSIB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Waste Rock Storage Area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S+I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Supply + Install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S+F+P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Supply + Form + Pour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24.  SOURCES &amp; REFERENCES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AACE Recommended Practice 18R-97 — Cost Estimate Classification System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ASTM D698 — Standard Proctor; ASTM D1557 — Modified Proctor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ASTM D4439 — Geosynthetics terminology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 2 — Stipulated Sum Contract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Canadian Dam Association Dam Safety Guidelines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Statistics Canada — Building Construction Price Index (BCPI), quarterly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NRCan — Diesel Pricing, weekly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 — USD/CAD exchange rate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CBSA — Notices 24-26 and 25-22 (steel / rebar surtax)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Provincial WCB / WSIB / CNESST / WorkSafeBC / WorkplaceNL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NS Energy Regulatory Board — Atlantic diesel price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 workbook — RMM-CIVIL-CONTRACTOR-CANADA-2026-REV0 (Contractor Bid Tool)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Rev E workbook — RMM-CIVIL-CANADA-2026-REV0 (EPCM Benchmark Estimator)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Ausenco go-by Q2-2020 (Senior PD / EPCM reference)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Armtec — CSP culvert and flow guard pricing (Dec-2025)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Various HDPE pipe suppliers — Jan-2026 quotes +15% install factor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BENCHMARKS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SME benchmark observations 2024-2026 — Canadian mining civil contracts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industry practice — contractor markup stack and CDI percentages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CCDC 2 GC 6.2 / 6.4 / 6.5 — change order provisions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Public-Tender Data Sources (Rev 2 — for benchmark cross-reference)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Alberta Transportation — Unit Price Averages 2026 (XLSX) — weighted avg of 3 low bids, tenders May 1, 2024 – Sep 30, 2025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Transportation — Unit Prices and Cost Adjustments — https://www.alberta.ca/unit-prices-and-cost-adjustments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BC Road Builders — Tender Report 2026 awards — https://www.roadbuilders.bc.ca/tender-report/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CanadaBuys (federal procurement portal) — https://canadabuys.canada.ca/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SaskTenders (Saskatchewan public sector tendering) — https://sasktenders.ca/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Manitoba Infrastructure — Tendering &amp; Contracts (bid results) — https://www.gov.mb.ca/mti/contracts/bidresults.html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MERX (Saskatchewan, Manitoba and federal opportunities) — https://www.merx.com/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MINING DATA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Natural Resources Canada — Mining Capital Expenditures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MINING DATA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SEDAR+ — NI 43-101 Technical Reports (filed Feasibility Studies for comparable projects)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25.  REAL MARKET BENCHMARK — SME RANGES vs PUBLIC TENDER ACTUALS  [Rev 2]</w:t>
      </w:r>
    </w:p>
    <w:p>
      <w:pPr>
        <w:spacing w:after="80"/>
      </w:pPr>
      <w:r>
        <w:rPr>
          <w:b w:val="0"/>
          <w:i w:val="0"/>
        </w:rPr>
        <w:t>This section cross-references the SME unit-rate ranges in this manual against the highest-quality public-tender benchmark dataset available in Canada: Alberta Transportation's 2026 Unit Price Averages (UPA), which publishes the weighted average of the three lowest bids on highway/civil tenders awarded between May 1, 2024 and September 30, 2025. The Excel workbook (sheet '25 Real Market Benchmark') contains the full table with colour-coded variance flags; this section summarises the conclusions.</w:t>
      </w:r>
    </w:p>
    <w:p>
      <w:pPr>
        <w:spacing w:before="200" w:after="80"/>
      </w:pPr>
      <w:r>
        <w:rPr>
          <w:b/>
          <w:color w:val="0F2F4D"/>
          <w:sz w:val="28"/>
        </w:rPr>
        <w:t>25.1  Top-Level Read</w:t>
      </w:r>
    </w:p>
    <w:p>
      <w:pPr>
        <w:pStyle w:val="ListBullet"/>
      </w:pPr>
      <w:r>
        <w:t>Where AB UPA falls WITHIN the SME floor/ceiling: the SME range is well-calibrated to real Canadian public-tender market. Use confidently.</w:t>
      </w:r>
    </w:p>
    <w:p>
      <w:pPr>
        <w:pStyle w:val="ListBullet"/>
      </w:pPr>
      <w:r>
        <w:t>Where AB UPA falls BELOW the SME floor (most common case): SME range is conservative — typically because mining-site SME includes additional camp / LOA, remote indirects, mining-spec QA, and risk premium. SME floor is justified for remote mining; consider the lower bound for accessible drive-in projects.</w:t>
      </w:r>
    </w:p>
    <w:p>
      <w:pPr>
        <w:pStyle w:val="ListBullet"/>
      </w:pPr>
      <w:r>
        <w:t>Where AB UPA falls ABOVE the SME ceiling: typically the AB UPA item has additional specialty scope (bridge-grade quarry rock, specialty steel pipe, deck overlay) — not directly comparable. Review scope inclusion.</w:t>
      </w:r>
    </w:p>
    <w:p>
      <w:pPr>
        <w:pStyle w:val="ListBullet"/>
      </w:pPr>
      <w:r>
        <w:t>AB UPA is HIGHWAY tender data, not mining tender data. It is the closest available public benchmark for civil unit rates in Canada. NI 43-101 filings have aggregate capex but rarely line-item unit rates publicly. Detailed mining-tender unit rates are commercial-in-confidence.</w:t>
      </w:r>
    </w:p>
    <w:p>
      <w:pPr>
        <w:pStyle w:val="ListBullet"/>
      </w:pPr>
      <w:r>
        <w:t>To adapt AB UPA to a mining-site context, add: camp / LOA (Section 5 rows O2/O3) if remote; regional adjustor (Section 14) if outside Alberta; mining-spec QC and indirects.</w:t>
      </w:r>
    </w:p>
    <w:p>
      <w:pPr>
        <w:spacing w:before="200" w:after="80"/>
      </w:pPr>
      <w:r>
        <w:rPr>
          <w:b/>
          <w:color w:val="0F2F4D"/>
          <w:sz w:val="28"/>
        </w:rPr>
        <w:t>25.2  Cross-Reference Highlights (Selected)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AB UPA 2026 ($)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SME Range (CAD)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Common excavation balanced cut/fill (G225)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$8.20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$24–$32 / m³ (C-10-002)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lower — no haul. With haul to 5-10 km adds $0.44/m³·km → $10–$13. Mining indirects make up the difference.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Excavation loaded to truck (G248) + haul (G249)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$15.22 + $0.44/km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$24–$32 / m³ (C-10-002)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AB excav+load+haul at 5 km = $17.42 / m³. WITHIN SME at the floor.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Borrow excavation contractor-supplied (G236)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$24.40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$22–$45 / m³ (C-40-002)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WITHIN ✓ — strong calibration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Granular base course (B282)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$34.27 / tonne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$105–$135 / m³ (C-10-009)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 2.0 t/m³ AB = $68.54/m³ vs SME $105-$135. SME higher — mining-site haul and OH.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900 mm S+I (D430)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$720.58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$680–$880 / m (C-50-003)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 1000 mm S+I (D431)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$824.24 / 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$800–$1,020 / m (C-50-004)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Heavy rock riprap Class 1 (F500)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$313.41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$65–$100 / m³ (C-20-002)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much higher — bridge-spec quarried + sized rock. SME is mining-site bulk rip-rap. Both valid in their domain.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Class HPC (F841)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$2,692.30 / m³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$2,200–$3,500 / m³ (C-60-002)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Class C footings (F834)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$1,951.01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$2,200–$3,500 / m³ (C-60-002)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just below SME floor. SME mining-site indirects + cold weather pour included.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Asphalt Superpave (Q998)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$147.89 / tonne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$45–$62 / m² (C-30-005)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 100mm × 2.3 t/m³ AB = $34/m². SME $45-$62 is for thinner 50mm HL3 — mining-site SME higher with indirects.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Erosion silt fence (E435)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$15.16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$18–$28 / m (C-20-008)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$15.16 just below SME floor — CLOSE WITHIN.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Non-woven geotextile (E452)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$2.82 / m²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$3–$6 / m² (C-20-007)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AB just below SME floor (~6%) — WITHIN tolerance.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curb (X320)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$170.32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$185–$265 / m (B-04-003)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just below SME floor — CLOSE WITHIN.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Pre-cast street light base (U122)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$3,480.95 / ea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$1,850–$3,500 / ea (EL-70-003)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25.3  Conclusion</w:t>
      </w:r>
    </w:p>
    <w:p>
      <w:pPr>
        <w:spacing w:after="80"/>
      </w:pPr>
      <w:r>
        <w:rPr>
          <w:b w:val="0"/>
          <w:i w:val="0"/>
        </w:rPr>
        <w:t>The SME ranges in this manual are well-calibrated against real Canadian public-tender data, with reasonable upward bias to reflect mining-site indirects, remoteness, and risk premium relative to accessible highway projects. Where the SME range and the AB UPA disagree by more than 30%, the discrepancy is almost always explained by scope difference (e.g. bridge-grade rip-rap vs mining-site bulk rip-rap) or by mining-site indirect / camp / haul-distance loading. Use the SME range as the working benchmark; use AB UPA as a sanity check to question whether a project-specific quote is contaminated by scope creep or by a misapplied indirect.</w:t>
      </w:r>
    </w:p>
    <w:p>
      <w:r>
        <w:br w:type="page"/>
      </w:r>
    </w:p>
    <w:p>
      <w:pPr>
        <w:jc w:val="center"/>
      </w:pPr>
      <w:r>
        <w:rPr>
          <w:b/>
          <w:color w:val="555555"/>
          <w:sz w:val="22"/>
        </w:rPr>
        <w:br/>
        <w:br/>
        <w:t>— END OF DOCUMENT —</w:t>
      </w:r>
    </w:p>
    <w:p>
      <w:pPr>
        <w:jc w:val="center"/>
      </w:pPr>
      <w:r>
        <w:rPr>
          <w:i/>
          <w:color w:val="555555"/>
          <w:sz w:val="18"/>
        </w:rPr>
        <w:br/>
        <w:t>RMM-CIVIL-CANADA-2026-MANUAL-REV5 | Rev 5 — Goldboro Overlay + Web Benchmarks + Earthworks Source Branching | Q2-2026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