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BE8223"/>
          <w:spacing w:val="40"/>
          <w:sz w:val="18"/>
          <w:szCs w:val="18"/>
        </w:rPr>
        <w:t xml:space="preserve">FOUNDER INTELLIGENCE</w:t>
      </w:r>
    </w:p>
    <w:p>
      <w:pPr>
        <w:spacing w:after="200" w:before="0"/>
      </w:pPr>
      <w:r>
        <w:rPr>
          <w:rFonts w:ascii="Georgia" w:cs="Georgia" w:eastAsia="Georgia" w:hAnsi="Georgia"/>
          <w:b/>
          <w:bCs/>
          <w:color w:val="1A1A1E"/>
          <w:sz w:val="44"/>
          <w:szCs w:val="44"/>
        </w:rPr>
        <w:t xml:space="preserve">The founder-market fit problem nobody talks about</w:t>
      </w:r>
    </w:p>
    <w:p>
      <w:pPr>
        <w:spacing w:after="80" w:before="0"/>
      </w:pPr>
      <w:r>
        <w:rPr>
          <w:rFonts w:ascii="Calibri" w:cs="Calibri" w:eastAsia="Calibri" w:hAnsi="Calibri"/>
          <w:i/>
          <w:iCs/>
          <w:color w:val="888888"/>
          <w:sz w:val="20"/>
          <w:szCs w:val="20"/>
        </w:rPr>
        <w:t xml:space="preserve">LinkedIn Article — Digital Venture Studio</w:t>
      </w:r>
    </w:p>
    <w:p>
      <w:pPr>
        <w:spacing w:after="360" w:before="0"/>
      </w:pPr>
      <w:r>
        <w:rPr>
          <w:rFonts w:ascii="Calibri" w:cs="Calibri" w:eastAsia="Calibri" w:hAnsi="Calibri"/>
          <w:color w:val="888888"/>
          <w:sz w:val="20"/>
          <w:szCs w:val="20"/>
        </w:rPr>
        <w:t xml:space="preserve">Rick Musial — 26 May 2026</w:t>
      </w:r>
    </w:p>
    <w:p>
      <w:pPr>
        <w:pBdr>
          <w:bottom w:val="single" w:color="DDCFB5" w:sz="4"/>
        </w:pBdr>
        <w:spacing w:after="200" w:before="200"/>
      </w:pPr>
    </w:p>
    <w:p>
      <w:pPr>
        <w:spacing w:after="160" w:before="0"/>
      </w:pPr>
      <w:r>
        <w:rPr>
          <w:rFonts w:ascii="Georgia" w:cs="Georgia" w:eastAsia="Georgia" w:hAnsi="Georgia"/>
          <w:color w:val="1A1A1E"/>
          <w:sz w:val="22"/>
          <w:szCs w:val="22"/>
        </w:rPr>
        <w:t xml:space="preserve">Every validation tool scores the idea. None ask whether you’re the right person to build it.</w:t>
      </w:r>
    </w:p>
    <w:p>
      <w:pPr>
        <w:spacing w:after="160" w:before="0"/>
      </w:pPr>
      <w:r>
        <w:rPr>
          <w:rFonts w:ascii="Georgia" w:cs="Georgia" w:eastAsia="Georgia" w:hAnsi="Georgia"/>
          <w:color w:val="1A1A1E"/>
          <w:sz w:val="22"/>
          <w:szCs w:val="22"/>
        </w:rPr>
        <w:t xml:space="preserve">That is the question most founders skip. Not because they don’t care about the answer. Because nobody has ever asked them to look it squarely in the eye.</w:t>
      </w:r>
    </w:p>
    <w:p>
      <w:pPr>
        <w:spacing w:after="160" w:before="0"/>
      </w:pPr>
      <w:r>
        <w:rPr>
          <w:rFonts w:ascii="Georgia" w:cs="Georgia" w:eastAsia="Georgia" w:hAnsi="Georgia"/>
          <w:color w:val="1A1A1E"/>
          <w:sz w:val="22"/>
          <w:szCs w:val="22"/>
        </w:rPr>
        <w:t xml:space="preserve">I'm building a go/no-go validation tool for founders, so I have watched this pattern up close. Founders who ask every hard question about their idea — is the market real? Is the timing right? Can I build it? — and then stop just before the hardest question of all.</w:t>
      </w:r>
    </w:p>
    <w:p>
      <w:pPr>
        <w:spacing w:after="160" w:before="0"/>
      </w:pPr>
      <w:r>
        <w:rPr>
          <w:rFonts w:ascii="Georgia" w:cs="Georgia" w:eastAsia="Georgia" w:hAnsi="Georgia"/>
          <w:i/>
          <w:iCs/>
          <w:color w:val="1A1A1E"/>
          <w:sz w:val="22"/>
          <w:szCs w:val="22"/>
        </w:rPr>
        <w:t xml:space="preserve">Are you the right person to build it?</w:t>
      </w:r>
    </w:p>
    <w:p>
      <w:pPr>
        <w:spacing w:after="160" w:before="0"/>
      </w:pPr>
      <w:r>
        <w:rPr>
          <w:rFonts w:ascii="Georgia" w:cs="Georgia" w:eastAsia="Georgia" w:hAnsi="Georgia"/>
          <w:color w:val="1A1A1E"/>
          <w:sz w:val="22"/>
          <w:szCs w:val="22"/>
        </w:rPr>
        <w:t xml:space="preserve">Not about domain knowledge or credentials. Whether you are the kind of person who can pay what this particular market is going to charge.</w:t>
      </w:r>
    </w:p>
    <w:p>
      <w:pPr>
        <w:pBdr>
          <w:bottom w:val="single" w:color="DDCFB5" w:sz="4"/>
        </w:pBdr>
        <w:spacing w:after="200" w:before="200"/>
      </w:pPr>
    </w:p>
    <w:p>
      <w:pPr>
        <w:spacing w:after="120" w:before="360"/>
      </w:pPr>
      <w:r>
        <w:rPr>
          <w:rFonts w:ascii="Georgia" w:cs="Georgia" w:eastAsia="Georgia" w:hAnsi="Georgia"/>
          <w:b/>
          <w:bCs/>
          <w:color w:val="1A1A1E"/>
          <w:sz w:val="28"/>
          <w:szCs w:val="28"/>
        </w:rPr>
        <w:t xml:space="preserve">The question before the question</w:t>
      </w:r>
    </w:p>
    <w:p>
      <w:pPr>
        <w:spacing w:after="160" w:before="0"/>
      </w:pPr>
      <w:r>
        <w:rPr>
          <w:rFonts w:ascii="Georgia" w:cs="Georgia" w:eastAsia="Georgia" w:hAnsi="Georgia"/>
          <w:color w:val="1A1A1E"/>
          <w:sz w:val="22"/>
          <w:szCs w:val="22"/>
        </w:rPr>
        <w:t xml:space="preserve">Every market charges the people who try to build in it. Some charge patience — years of accumulation before any signal arrives. Some charge status: you’ll be wrong in public before you’re right, and the gap between those two points is longer than anyone tells you. Some charge something harder to name — the willingness to keep asking people who matter to you for things they don’t want to give, until asking stops feeling like a request and starts feeling like a discipline.</w:t>
      </w:r>
    </w:p>
    <w:p>
      <w:pPr>
        <w:spacing w:after="160" w:before="0"/>
      </w:pPr>
      <w:r>
        <w:rPr>
          <w:rFonts w:ascii="Georgia" w:cs="Georgia" w:eastAsia="Georgia" w:hAnsi="Georgia"/>
          <w:color w:val="1A1A1E"/>
          <w:sz w:val="22"/>
          <w:szCs w:val="22"/>
        </w:rPr>
        <w:t xml:space="preserve">The fit question is whether the cost this market charges is the specific kind of cost you can sustain.</w:t>
      </w:r>
    </w:p>
    <w:p>
      <w:pPr>
        <w:spacing w:after="160" w:before="0"/>
      </w:pPr>
      <w:r>
        <w:rPr>
          <w:rFonts w:ascii="Georgia" w:cs="Georgia" w:eastAsia="Georgia" w:hAnsi="Georgia"/>
          <w:color w:val="1A1A1E"/>
          <w:sz w:val="22"/>
          <w:szCs w:val="22"/>
        </w:rPr>
        <w:t xml:space="preserve">Paul Graham’s “Before the Startup” argues that the best founders build products for users they personally resemble — you understand the problem because you’ve lived it. That’s the table stakes version of founder-market fit.</w:t>
      </w:r>
    </w:p>
    <w:p>
      <w:pPr>
        <w:spacing w:after="160" w:before="0"/>
      </w:pPr>
      <w:r>
        <w:rPr>
          <w:rFonts w:ascii="Georgia" w:cs="Georgia" w:eastAsia="Georgia" w:hAnsi="Georgia"/>
          <w:color w:val="1A1A1E"/>
          <w:sz w:val="22"/>
          <w:szCs w:val="22"/>
        </w:rPr>
        <w:t xml:space="preserve">But I’d add something he doesn’t quite say: knowing a market and being willing to pay that market’s price are two different things. Mixing them up is one of the most common ways founders deceive themselves early on.</w:t>
      </w:r>
    </w:p>
    <w:p>
      <w:pPr>
        <w:pBdr>
          <w:bottom w:val="single" w:color="DDCFB5" w:sz="4"/>
        </w:pBdr>
        <w:spacing w:after="200" w:before="200"/>
      </w:pPr>
    </w:p>
    <w:p>
      <w:pPr>
        <w:spacing w:after="120" w:before="360"/>
      </w:pPr>
      <w:r>
        <w:rPr>
          <w:rFonts w:ascii="Georgia" w:cs="Georgia" w:eastAsia="Georgia" w:hAnsi="Georgia"/>
          <w:b/>
          <w:bCs/>
          <w:color w:val="1A1A1E"/>
          <w:sz w:val="28"/>
          <w:szCs w:val="28"/>
        </w:rPr>
        <w:t xml:space="preserve">Why domain knowledge is not enough</w:t>
      </w:r>
    </w:p>
    <w:p>
      <w:pPr>
        <w:spacing w:after="160" w:before="0"/>
      </w:pPr>
      <w:r>
        <w:rPr>
          <w:rFonts w:ascii="Georgia" w:cs="Georgia" w:eastAsia="Georgia" w:hAnsi="Georgia"/>
          <w:color w:val="1A1A1E"/>
          <w:sz w:val="22"/>
          <w:szCs w:val="22"/>
        </w:rPr>
        <w:t xml:space="preserve">I know the early-stage venture space. I’ve worked in it for years. Building Touchstone still charged me things I didn’t see coming.</w:t>
      </w:r>
    </w:p>
    <w:p>
      <w:pPr>
        <w:spacing w:after="160" w:before="0"/>
      </w:pPr>
      <w:r>
        <w:rPr>
          <w:rFonts w:ascii="Georgia" w:cs="Georgia" w:eastAsia="Georgia" w:hAnsi="Georgia"/>
          <w:color w:val="1A1A1E"/>
          <w:sz w:val="22"/>
          <w:szCs w:val="22"/>
        </w:rPr>
        <w:t xml:space="preserve">Months of building in public before I had proof. Making claims I believed but couldn’t yet demonstrate — and sitting with the discomfort of not knowing whether the people listening believed them too. Explaining what the product did to people whose polite interest I couldn’t distinguish from actual interest. That last one was harder than I expected, and I didn’t handle it particularly well.</w:t>
      </w:r>
    </w:p>
    <w:p>
      <w:pPr>
        <w:spacing w:after="160" w:before="0"/>
      </w:pPr>
      <w:r>
        <w:rPr>
          <w:rFonts w:ascii="Georgia" w:cs="Georgia" w:eastAsia="Georgia" w:hAnsi="Georgia"/>
          <w:color w:val="1A1A1E"/>
          <w:sz w:val="22"/>
          <w:szCs w:val="22"/>
        </w:rPr>
        <w:t xml:space="preserve">Domain knowledge didn’t prepare me for any of it. What got me through was simpler and less flattering: I just kept paying. Whether that’s character or stubbornness, I genuinely can’t tell you. Probably both.</w:t>
      </w:r>
    </w:p>
    <w:p>
      <w:pPr>
        <w:pBdr>
          <w:left w:val="thick" w:color="BE8223" w:sz="24"/>
        </w:pBdr>
        <w:shd w:fill="F5ECD7"/>
        <w:spacing w:after="280" w:before="280"/>
        <w:ind w:left="560" w:right="560"/>
      </w:pPr>
      <w:r>
        <w:rPr>
          <w:rFonts w:ascii="Georgia" w:cs="Georgia" w:eastAsia="Georgia" w:hAnsi="Georgia"/>
          <w:i/>
          <w:iCs/>
          <w:color w:val="1A1A1E"/>
          <w:sz w:val="24"/>
          <w:szCs w:val="24"/>
        </w:rPr>
        <w:t xml:space="preserve">“The question isn’t whether you know the market. It’s whether you’ve already paid the kind of price this market charges.”</w:t>
      </w:r>
    </w:p>
    <w:p>
      <w:pPr>
        <w:pBdr>
          <w:bottom w:val="single" w:color="DDCFB5" w:sz="4"/>
        </w:pBdr>
        <w:spacing w:after="200" w:before="200"/>
      </w:pPr>
    </w:p>
    <w:p>
      <w:pPr>
        <w:spacing w:after="120" w:before="360"/>
      </w:pPr>
      <w:r>
        <w:rPr>
          <w:rFonts w:ascii="Georgia" w:cs="Georgia" w:eastAsia="Georgia" w:hAnsi="Georgia"/>
          <w:b/>
          <w:bCs/>
          <w:color w:val="1A1A1E"/>
          <w:sz w:val="28"/>
          <w:szCs w:val="28"/>
        </w:rPr>
        <w:t xml:space="preserve">The self-scoring trap</w:t>
      </w:r>
    </w:p>
    <w:p>
      <w:pPr>
        <w:spacing w:after="160" w:before="0"/>
      </w:pPr>
      <w:r>
        <w:rPr>
          <w:rFonts w:ascii="Georgia" w:cs="Georgia" w:eastAsia="Georgia" w:hAnsi="Georgia"/>
          <w:color w:val="1A1A1E"/>
          <w:sz w:val="22"/>
          <w:szCs w:val="22"/>
        </w:rPr>
        <w:t xml:space="preserve">Ask a founder to assess their own fit and you’ll get a compromised answer. Not because they’re dishonest — because they’ve already decided to build, and that decision compromises the assessment before it begins.</w:t>
      </w:r>
    </w:p>
    <w:p>
      <w:pPr>
        <w:spacing w:after="160" w:before="0"/>
      </w:pPr>
      <w:r>
        <w:rPr>
          <w:rFonts w:ascii="Georgia" w:cs="Georgia" w:eastAsia="Georgia" w:hAnsi="Georgia"/>
          <w:color w:val="1A1A1E"/>
          <w:sz w:val="22"/>
          <w:szCs w:val="22"/>
        </w:rPr>
        <w:t xml:space="preserve">Here’s the part that makes this hard to fix: the optimism that makes founders start is the same optimism that makes them misjudge their readiness. You can’t separate the two. You can’t remove one without cutting the other. So self-reported founder-market fit is nearly useless — not because founders are deliberately deluding themselves, but because founders have to be optimists to start, and optimists are unreliable judges of their own limits.</w:t>
      </w:r>
    </w:p>
    <w:p>
      <w:pPr>
        <w:spacing w:after="160" w:before="0"/>
      </w:pPr>
      <w:r>
        <w:rPr>
          <w:rFonts w:ascii="Georgia" w:cs="Georgia" w:eastAsia="Georgia" w:hAnsi="Georgia"/>
          <w:color w:val="1A1A1E"/>
          <w:sz w:val="22"/>
          <w:szCs w:val="22"/>
        </w:rPr>
        <w:t xml:space="preserve">When I built the FMF dimension into Touchstone’s scoring, I kept returning to the same design problem: you can’t ask “are you ready for what this will cost you?” because the answer is always yes. So I stopped asking that question. The tool looks at how founders talk about the hard parts — whether they’ve named the costs at all, and whether their confidence holds up when those costs are made specific. The gap between general confidence and actually naming what’s going to be hard — that’s where the fit signal lives.</w:t>
      </w:r>
    </w:p>
    <w:p>
      <w:pPr>
        <w:pBdr>
          <w:bottom w:val="single" w:color="DDCFB5" w:sz="4"/>
        </w:pBdr>
        <w:spacing w:after="200" w:before="200"/>
      </w:pPr>
    </w:p>
    <w:p>
      <w:pPr>
        <w:spacing w:after="120" w:before="360"/>
      </w:pPr>
      <w:r>
        <w:rPr>
          <w:rFonts w:ascii="Georgia" w:cs="Georgia" w:eastAsia="Georgia" w:hAnsi="Georgia"/>
          <w:b/>
          <w:bCs/>
          <w:color w:val="1A1A1E"/>
          <w:sz w:val="28"/>
          <w:szCs w:val="28"/>
        </w:rPr>
        <w:t xml:space="preserve">Before you build</w:t>
      </w:r>
    </w:p>
    <w:p>
      <w:pPr>
        <w:spacing w:after="160" w:before="0"/>
      </w:pPr>
      <w:r>
        <w:rPr>
          <w:rFonts w:ascii="Georgia" w:cs="Georgia" w:eastAsia="Georgia" w:hAnsi="Georgia"/>
          <w:color w:val="1A1A1E"/>
          <w:sz w:val="22"/>
          <w:szCs w:val="22"/>
        </w:rPr>
        <w:t xml:space="preserve">Founder-market fit doesn’t get validated by the market the way product-market fit does. Customers either pay or they don’t, and eventually the signal is clear. Founder-market fit only gets confirmed by time — and by whether you were still standing when the bill arrived.</w:t>
      </w:r>
    </w:p>
    <w:p>
      <w:pPr>
        <w:spacing w:after="160" w:before="0"/>
      </w:pPr>
      <w:r>
        <w:rPr>
          <w:rFonts w:ascii="Georgia" w:cs="Georgia" w:eastAsia="Georgia" w:hAnsi="Georgia"/>
          <w:color w:val="1A1A1E"/>
          <w:sz w:val="22"/>
          <w:szCs w:val="22"/>
        </w:rPr>
        <w:t xml:space="preserve">Most frameworks skip it because it’s uncomfortable to measure and even more uncomfortable to hear. Nobody wants to be told they might be the wrong person. So the question doesn’t get asked, and founders find out the hard way, often years in.</w:t>
      </w:r>
    </w:p>
    <w:p>
      <w:pPr>
        <w:spacing w:after="160" w:before="0"/>
      </w:pPr>
      <w:r>
        <w:rPr>
          <w:rFonts w:ascii="Georgia" w:cs="Georgia" w:eastAsia="Georgia" w:hAnsi="Georgia"/>
          <w:color w:val="1A1A1E"/>
          <w:sz w:val="22"/>
          <w:szCs w:val="22"/>
        </w:rPr>
        <w:t xml:space="preserve">Before you build: what is this going to cost you — not the money, not the hours, but the specific thing you find hard — and is the answer still yes?</w:t>
      </w:r>
    </w:p>
    <w:p>
      <w:pPr>
        <w:spacing w:after="160" w:before="0"/>
      </w:pPr>
      <w:r>
        <w:rPr>
          <w:rFonts w:ascii="Georgia" w:cs="Georgia" w:eastAsia="Georgia" w:hAnsi="Georgia"/>
          <w:color w:val="1A1A1E"/>
          <w:sz w:val="22"/>
          <w:szCs w:val="22"/>
        </w:rPr>
        <w:t xml:space="preserve">Write it down. Not for an audience — for yourself.</w:t>
      </w:r>
    </w:p>
    <w:p>
      <w:pPr>
        <w:spacing w:after="160" w:before="0"/>
      </w:pPr>
      <w:r>
        <w:rPr>
          <w:rFonts w:ascii="Georgia" w:cs="Georgia" w:eastAsia="Georgia" w:hAnsi="Georgia"/>
          <w:color w:val="1A1A1E"/>
          <w:sz w:val="22"/>
          <w:szCs w:val="22"/>
        </w:rPr>
        <w:t xml:space="preserve">Most founders never do. The ones who do build differently. There’s a clarity that comes from naming the cost before you start — not relief exactly, more like the specific kind of calm you get from knowing what you’re actually walking into.</w:t>
      </w:r>
    </w:p>
    <w:p>
      <w:pPr>
        <w:spacing w:after="160" w:before="0"/>
      </w:pPr>
      <w:r>
        <w:rPr>
          <w:rFonts w:ascii="Georgia" w:cs="Georgia" w:eastAsia="Georgia" w:hAnsi="Georgia"/>
          <w:color w:val="1A1A1E"/>
          <w:sz w:val="22"/>
          <w:szCs w:val="22"/>
        </w:rPr>
        <w:t xml:space="preserve">That document is more important than your pitch deck. Almost nobody has one.</w:t>
      </w:r>
    </w:p>
    <w:p>
      <w:pPr>
        <w:pBdr>
          <w:bottom w:val="single" w:color="DDCFB5" w:sz="4"/>
        </w:pBdr>
        <w:spacing w:after="200" w:before="200"/>
      </w:pPr>
    </w:p>
    <w:p>
      <w:pPr>
        <w:spacing w:after="80" w:before="200"/>
      </w:pPr>
      <w:r>
        <w:rPr>
          <w:rFonts w:ascii="Georgia" w:cs="Georgia" w:eastAsia="Georgia" w:hAnsi="Georgia"/>
          <w:i/>
          <w:iCs/>
          <w:color w:val="BE8223"/>
          <w:sz w:val="22"/>
          <w:szCs w:val="22"/>
        </w:rPr>
        <w:t xml:space="preserve">What’s the cost your market charges? Drop it in the comments.</w:t>
      </w:r>
    </w:p>
    <w:p>
      <w:pPr>
        <w:pBdr>
          <w:bottom w:val="single" w:color="DDCFB5" w:sz="4"/>
        </w:pBdr>
        <w:spacing w:after="200" w:before="200"/>
      </w:pPr>
    </w:p>
    <w:p>
      <w:pPr>
        <w:spacing w:after="80" w:before="160"/>
      </w:pPr>
      <w:r>
        <w:rPr>
          <w:rFonts w:ascii="Calibri" w:cs="Calibri" w:eastAsia="Calibri" w:hAnsi="Calibri"/>
          <w:b/>
          <w:bCs/>
          <w:color w:val="1A1A1E"/>
          <w:sz w:val="22"/>
          <w:szCs w:val="22"/>
        </w:rPr>
        <w:t xml:space="preserve">Rick Musial</w:t>
      </w:r>
    </w:p>
    <w:p>
      <w:pPr>
        <w:spacing w:after="120" w:before="0"/>
      </w:pPr>
      <w:r>
        <w:rPr>
          <w:rFonts w:ascii="Calibri" w:cs="Calibri" w:eastAsia="Calibri" w:hAnsi="Calibri"/>
          <w:color w:val="888888"/>
          <w:sz w:val="18"/>
          <w:szCs w:val="18"/>
        </w:rPr>
        <w:t xml:space="preserve">Founder &amp; Chairman of Digital Venture Studio. Builder of Touchstone — a go/no-go validation platform for early-stage ventures.</w:t>
      </w:r>
    </w:p>
    <w:p>
      <w:pPr>
        <w:spacing w:after="120" w:before="0"/>
      </w:pPr>
      <w:r>
        <w:rPr>
          <w:rFonts w:ascii="Calibri" w:cs="Calibri" w:eastAsia="Calibri" w:hAnsi="Calibri"/>
          <w:color w:val="888888"/>
          <w:sz w:val="18"/>
          <w:szCs w:val="18"/>
        </w:rPr>
        <w:t xml:space="preserve">digitalventurestudio.com/blog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Digital Venture Studio — digitalventurestudio.com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2026-05-26T04:03:02.641Z</dcterms:created>
  <dcterms:modified xsi:type="dcterms:W3CDTF">2026-05-26T04:03:02.641Z</dcterms:modified>
</cp:coreProperties>
</file>

<file path=docProps/custom.xml><?xml version="1.0" encoding="utf-8"?>
<Properties xmlns="http://schemas.openxmlformats.org/officeDocument/2006/custom-properties" xmlns:vt="http://schemas.openxmlformats.org/officeDocument/2006/docPropsVTypes"/>
</file>