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40"/>
        <w:jc w:val="center"/>
      </w:pPr>
      <w:r>
        <w:rPr>
          <w:b/>
          <w:bCs/>
          <w:color w:val="1F3864"/>
          <w:sz w:val="56"/>
          <w:szCs w:val="56"/>
        </w:rPr>
        <w:t xml:space="preserve">Prior Authorization Modernization Plan</w:t>
      </w:r>
    </w:p>
    <w:p>
      <w:pPr>
        <w:spacing w:after="120"/>
        <w:jc w:val="center"/>
      </w:pPr>
      <w:r>
        <w:rPr>
          <w:b/>
          <w:bCs/>
          <w:color w:val="2E5395"/>
          <w:sz w:val="32"/>
          <w:szCs w:val="32"/>
        </w:rPr>
        <w:t xml:space="preserve">CRD / DTR / PAS on SMART on FHIR</w:t>
      </w:r>
    </w:p>
    <w:p>
      <w:pPr>
        <w:spacing w:after="1600"/>
        <w:jc w:val="center"/>
      </w:pPr>
      <w:r>
        <w:rPr>
          <w:i/>
          <w:iCs/>
          <w:color w:val="595959"/>
          <w:sz w:val="24"/>
          <w:szCs w:val="24"/>
        </w:rPr>
        <w:t xml:space="preserve">Modernizing the PreAuth Provider Portal for CMS-0057-F Compliance</w:t>
      </w:r>
    </w:p>
    <w:p>
      <w:pPr>
        <w:pBdr>
          <w:top w:val="single" w:color="BFBFBF" w:sz="6" w:space="8"/>
        </w:pBdr>
        <w:spacing w:after="240"/>
        <w:jc w:val="center"/>
      </w:pPr>
    </w:p>
    <w:p>
      <w:pPr>
        <w:spacing w:after="120"/>
        <w:jc w:val="center"/>
      </w:pPr>
      <w:r>
        <w:rPr>
          <w:sz w:val="24"/>
          <w:szCs w:val="24"/>
        </w:rPr>
        <w:t xml:space="preserve">Prepared for: Richard Williams, IBM</w:t>
      </w:r>
    </w:p>
    <w:p>
      <w:pPr>
        <w:spacing w:after="120"/>
        <w:jc w:val="center"/>
      </w:pPr>
      <w:r>
        <w:rPr>
          <w:sz w:val="24"/>
          <w:szCs w:val="24"/>
        </w:rPr>
        <w:t xml:space="preserve">Date: July 28, 2026</w:t>
      </w:r>
    </w:p>
    <w:p>
      <w:pPr>
        <w:jc w:val="center"/>
      </w:pPr>
      <w:r>
        <w:rPr>
          <w:i/>
          <w:iCs/>
          <w:color w:val="595959"/>
          <w:sz w:val="20"/>
          <w:szCs w:val="20"/>
        </w:rPr>
        <w:t xml:space="preserve">Classification: Internal — Planning Deliverable</w:t>
      </w:r>
    </w:p>
    <w:p>
      <w:pPr>
        <w:pStyle w:val="Heading1"/>
        <w:pageBreakBefore/>
        <w:spacing w:after="24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40" w:before="480"/>
      </w:pPr>
      <w:r>
        <w:t xml:space="preserve">1. Purpose &amp; Scope</w:t>
      </w:r>
    </w:p>
    <w:p>
      <w:pPr>
        <w:spacing w:after="200" w:line="276"/>
        <w:jc w:val="both"/>
      </w:pPr>
      <w:r>
        <w:t xml:space="preserve">This plan defines the approach for rebuilding IBM's current Prior Authorization (PA) solution as a standards-based SMART on FHIR application, embeddable directly within the provider's electronic medical record (EMR). The rebuilt application replaces the existing proprietary, watsonx-chatbox-driven "PreAuth Provider Portal" with a solution built natively on the HL7 Da Vinci implementation guides — Coverage Requirements Discovery (CRD), Documentation Templates and Rules (DTR), and Prior Authorization Support (PAS) — so that prior authorization determinations are driven by conformant FHIR APIs and CDS Hooks rather than by free-text, AI-mediated chat interactions.</w:t>
      </w:r>
    </w:p>
    <w:p>
      <w:pPr>
        <w:spacing w:after="200" w:line="276"/>
        <w:jc w:val="both"/>
      </w:pPr>
      <w:r>
        <w:t xml:space="preserve">The solution in scope must support two distinct modes of operation: real-time, point-of-care resolution, in which prior authorization requirements are discovered and, where possible, resolved at the moment a provider places an order; and back-office / batch resolution, in which staff work a queue of orders that could not be fully automated at the point of care. In both modes, the application must support CRD, DTR, and PAS end to end for procedures, labs, and imaging orders, and it must automate as much of the prior authorization workflow as possible — eligibility checks, requirement discovery, medical necessity matching, submission, and status tracking — so that manual chart review and manual payer contact are reduced to the smallest possible subset of cases.</w:t>
      </w:r>
    </w:p>
    <w:p>
      <w:pPr>
        <w:spacing w:after="200" w:line="276"/>
        <w:jc w:val="both"/>
      </w:pPr>
      <w:r>
        <w:t xml:space="preserve">This modernization effort is driven by regulatory necessity as much as by operational efficiency. The CMS Interoperability and Prior Authorization Final Rule (CMS-0057-F) requires impacted payers — including Medicare Advantage, Medicaid, CHIP, and Qualified Health Plan issuers on the FFEs — to implement and expose FHIR-based Coverage Requirements Discovery, Documentation Templates and Rules, and Prior Authorization Support APIs, with compliance required by January 1, 2027. To take advantage of the payer-side capabilities this rule mandates — and to avoid being the last standards-based link in an otherwise interoperable chain — IBM's provider-facing PA solution must be re-platformed onto the same Da Vinci standards ahead of that deadline.</w:t>
      </w:r>
    </w:p>
    <w:p>
      <w:pPr>
        <w:pStyle w:val="Heading1"/>
        <w:pageBreakBefore/>
        <w:spacing w:after="240" w:before="480"/>
      </w:pPr>
      <w:r>
        <w:t xml:space="preserve">2. Current State Assessment</w:t>
      </w:r>
    </w:p>
    <w:p>
      <w:pPr>
        <w:spacing w:after="200" w:line="276"/>
        <w:jc w:val="both"/>
      </w:pPr>
      <w:r>
        <w:t xml:space="preserve">Before defining the target state, it is useful to summarize the existing PreAuth Provider Portal as documented in the current design artifacts, along with the architecture concept that was previously proposed for it. Both are described below, followed by the key gap that this modernization plan is intended to close.</w:t>
      </w:r>
    </w:p>
    <w:p>
      <w:pPr>
        <w:pStyle w:val="Heading2"/>
        <w:spacing w:after="160" w:before="360"/>
      </w:pPr>
      <w:r>
        <w:t xml:space="preserve">2.1 Existing PreAuth Provider Portal — UI/UX</w:t>
      </w:r>
    </w:p>
    <w:p>
      <w:pPr>
        <w:spacing w:after="200" w:line="276"/>
        <w:jc w:val="both"/>
      </w:pPr>
      <w:r>
        <w:t xml:space="preserve">The current solution is a hash-routed single-page application (SPA) presented under a "Provider Portal" header, exercised in the existing design artifacts by a sample provider persona, Dr. Jacob P. Aagaard, MD. The application centers on two experiences: an Authorizations list screen and a three-step New Prior Authorization Request wizard.</w:t>
      </w:r>
    </w:p>
    <w:p>
      <w:pPr>
        <w:pStyle w:val="Heading3"/>
        <w:spacing w:after="120" w:before="240"/>
      </w:pPr>
      <w:r>
        <w:t xml:space="preserve">Authorizations List Screen</w:t>
      </w:r>
    </w:p>
    <w:p>
      <w:pPr>
        <w:spacing w:after="200" w:line="276"/>
        <w:jc w:val="both"/>
      </w:pPr>
      <w:r>
        <w:t xml:space="preserve">The Authorizations screen presents every prior authorization request the provider has submitted, with the following columns:</w:t>
      </w:r>
    </w:p>
    <w:p>
      <w:pPr>
        <w:pStyle w:val="ListParagraph"/>
        <w:numPr>
          <w:ilvl w:val="0"/>
          <w:numId w:val="2"/>
        </w:numPr>
        <w:spacing w:after="120" w:line="276"/>
        <w:jc w:val="both"/>
      </w:pPr>
      <w:r>
        <w:t xml:space="preserve">Auth ID</w:t>
      </w:r>
    </w:p>
    <w:p>
      <w:pPr>
        <w:pStyle w:val="ListParagraph"/>
        <w:numPr>
          <w:ilvl w:val="0"/>
          <w:numId w:val="2"/>
        </w:numPr>
        <w:spacing w:after="120" w:line="276"/>
        <w:jc w:val="both"/>
      </w:pPr>
      <w:r>
        <w:t xml:space="preserve">Patient ID</w:t>
      </w:r>
    </w:p>
    <w:p>
      <w:pPr>
        <w:pStyle w:val="ListParagraph"/>
        <w:numPr>
          <w:ilvl w:val="0"/>
          <w:numId w:val="2"/>
        </w:numPr>
        <w:spacing w:after="120" w:line="276"/>
        <w:jc w:val="both"/>
      </w:pPr>
      <w:r>
        <w:t xml:space="preserve">First Name</w:t>
      </w:r>
    </w:p>
    <w:p>
      <w:pPr>
        <w:pStyle w:val="ListParagraph"/>
        <w:numPr>
          <w:ilvl w:val="0"/>
          <w:numId w:val="2"/>
        </w:numPr>
        <w:spacing w:after="120" w:line="276"/>
        <w:jc w:val="both"/>
      </w:pPr>
      <w:r>
        <w:t xml:space="preserve">Last Name</w:t>
      </w:r>
    </w:p>
    <w:p>
      <w:pPr>
        <w:pStyle w:val="ListParagraph"/>
        <w:numPr>
          <w:ilvl w:val="0"/>
          <w:numId w:val="2"/>
        </w:numPr>
        <w:spacing w:after="120" w:line="276"/>
        <w:jc w:val="both"/>
      </w:pPr>
      <w:r>
        <w:t xml:space="preserve">Service</w:t>
      </w:r>
    </w:p>
    <w:p>
      <w:pPr>
        <w:pStyle w:val="ListParagraph"/>
        <w:numPr>
          <w:ilvl w:val="0"/>
          <w:numId w:val="2"/>
        </w:numPr>
        <w:spacing w:after="120" w:line="276"/>
        <w:jc w:val="both"/>
      </w:pPr>
      <w:r>
        <w:t xml:space="preserve">Date of Request</w:t>
      </w:r>
    </w:p>
    <w:p>
      <w:pPr>
        <w:pStyle w:val="ListParagraph"/>
        <w:numPr>
          <w:ilvl w:val="0"/>
          <w:numId w:val="2"/>
        </w:numPr>
        <w:spacing w:after="120" w:line="276"/>
        <w:jc w:val="both"/>
      </w:pPr>
      <w:r>
        <w:t xml:space="preserve">Status</w:t>
      </w:r>
    </w:p>
    <w:p>
      <w:pPr>
        <w:pStyle w:val="ListParagraph"/>
        <w:numPr>
          <w:ilvl w:val="0"/>
          <w:numId w:val="2"/>
        </w:numPr>
        <w:spacing w:after="120" w:line="276"/>
        <w:jc w:val="both"/>
      </w:pPr>
      <w:r>
        <w:t xml:space="preserve">Download PDF</w:t>
      </w:r>
    </w:p>
    <w:p>
      <w:pPr>
        <w:spacing w:after="200" w:line="276"/>
        <w:jc w:val="both"/>
      </w:pPr>
      <w:r>
        <w:t xml:space="preserve">The screen is organized into filterable tabs: All, Approved, Pending, Denied, Partially Approved, and New Request — the last of which launches the request wizard described below.</w:t>
      </w:r>
    </w:p>
    <w:p>
      <w:pPr>
        <w:pStyle w:val="Heading3"/>
        <w:spacing w:after="120" w:before="240"/>
      </w:pPr>
      <w:r>
        <w:t xml:space="preserve">New Prior Authorization Request Wizard</w:t>
      </w:r>
    </w:p>
    <w:p>
      <w:pPr>
        <w:spacing w:after="200" w:line="276"/>
        <w:jc w:val="both"/>
      </w:pPr>
      <w:r>
        <w:t xml:space="preserve">The wizard walks the provider through three steps to create and submit a new PA request:</w:t>
      </w:r>
    </w:p>
    <w:p>
      <w:pPr>
        <w:pStyle w:val="ListParagraph"/>
        <w:numPr>
          <w:ilvl w:val="0"/>
          <w:numId w:val="2"/>
        </w:numPr>
        <w:spacing w:after="120" w:line="276"/>
        <w:jc w:val="both"/>
      </w:pPr>
      <w:r>
        <w:rPr>
          <w:b/>
          <w:bCs/>
        </w:rPr>
        <w:t xml:space="preserve">Step 1 — Member Details. </w:t>
      </w:r>
      <w:r>
        <w:t xml:space="preserve">The provider searches by Member ID, and the application returns a Subscriber/Coverage card showing Group ID, Plan Type, and Date of Birth.</w:t>
      </w:r>
    </w:p>
    <w:p>
      <w:pPr>
        <w:pStyle w:val="ListParagraph"/>
        <w:numPr>
          <w:ilvl w:val="0"/>
          <w:numId w:val="2"/>
        </w:numPr>
        <w:spacing w:after="120" w:line="276"/>
        <w:jc w:val="both"/>
      </w:pPr>
      <w:r>
        <w:rPr>
          <w:b/>
          <w:bCs/>
        </w:rPr>
        <w:t xml:space="preserve">Step 2 — PA Requirements / Validation. </w:t>
      </w:r>
      <w:r>
        <w:t xml:space="preserve">The provider types a free-text natural-language question into an "Ask watsonx" box — for example, "Bariatric Surgery needs prior authorization? If so what is the requirement?" — and watsonx returns a numbered list of requirements, each auto-matched to chart evidence. In the bariatric-surgery example, this includes a Primary Obesity Diagnosis Code (E66.01), a BMI ≥ 35 threshold evidenced by a recorded BMI observation, and a Co-Morbidity Diagnosis Code evidenced by conditions such as pulmonary hypertension or sleep apnea.</w:t>
      </w:r>
    </w:p>
    <w:p>
      <w:pPr>
        <w:pStyle w:val="ListParagraph"/>
        <w:numPr>
          <w:ilvl w:val="0"/>
          <w:numId w:val="2"/>
        </w:numPr>
        <w:spacing w:after="120" w:line="276"/>
        <w:jc w:val="both"/>
      </w:pPr>
      <w:r>
        <w:rPr>
          <w:b/>
          <w:bCs/>
        </w:rPr>
        <w:t xml:space="preserve">Step 3 — Summary. </w:t>
      </w:r>
      <w:r>
        <w:t xml:space="preserve">The provider reviews a downloadable, PDF-style report combining member information, the PA number, the matched requirements with their supporting evidence, and an excerpt of narrative clinical notes.</w:t>
      </w:r>
    </w:p>
    <w:p>
      <w:pPr>
        <w:pStyle w:val="Heading2"/>
        <w:spacing w:after="160" w:before="360"/>
      </w:pPr>
      <w:r>
        <w:t xml:space="preserve">2.2 Prior Architecture Concept</w:t>
      </w:r>
    </w:p>
    <w:p>
      <w:pPr>
        <w:spacing w:after="200" w:line="276"/>
        <w:jc w:val="both"/>
      </w:pPr>
      <w:r>
        <w:t xml:space="preserve">The existing "Solution Overview" deck describes a broader architecture concept behind the current portal, organized around a central Prior Auth Service hub. Its principal elements are:</w:t>
      </w:r>
    </w:p>
    <w:p>
      <w:pPr>
        <w:pStyle w:val="ListParagraph"/>
        <w:numPr>
          <w:ilvl w:val="0"/>
          <w:numId w:val="2"/>
        </w:numPr>
        <w:spacing w:after="120" w:line="276"/>
        <w:jc w:val="both"/>
      </w:pPr>
      <w:r>
        <w:rPr>
          <w:b/>
          <w:bCs/>
        </w:rPr>
        <w:t xml:space="preserve">PAS-FHIR Repository — </w:t>
      </w:r>
      <w:r>
        <w:t xml:space="preserve">a point-in-time patient record used to support the PA submission process.</w:t>
      </w:r>
    </w:p>
    <w:p>
      <w:pPr>
        <w:pStyle w:val="ListParagraph"/>
        <w:numPr>
          <w:ilvl w:val="0"/>
          <w:numId w:val="2"/>
        </w:numPr>
        <w:spacing w:after="120" w:line="276"/>
        <w:jc w:val="both"/>
      </w:pPr>
      <w:r>
        <w:rPr>
          <w:b/>
          <w:bCs/>
        </w:rPr>
        <w:t xml:space="preserve">Payer-side PA-FHIR Repository / Intelligent Policy Engine — </w:t>
      </w:r>
      <w:r>
        <w:t xml:space="preserve">which uses watsonx to convert scanned or PDF payer medical policy documents into structured JSON, and ultimately into FHIR Questionnaire resources.</w:t>
      </w:r>
    </w:p>
    <w:p>
      <w:pPr>
        <w:pStyle w:val="ListParagraph"/>
        <w:numPr>
          <w:ilvl w:val="0"/>
          <w:numId w:val="2"/>
        </w:numPr>
        <w:spacing w:after="120" w:line="276"/>
        <w:jc w:val="both"/>
      </w:pPr>
      <w:r>
        <w:rPr>
          <w:b/>
          <w:bCs/>
        </w:rPr>
        <w:t xml:space="preserve">EDI Translator — </w:t>
      </w:r>
      <w:r>
        <w:t xml:space="preserve">which converts FHIR/JSON payloads to X12 275/278 transactions for payers that require the legacy EDI channel.</w:t>
      </w:r>
    </w:p>
    <w:p>
      <w:pPr>
        <w:pStyle w:val="ListParagraph"/>
        <w:numPr>
          <w:ilvl w:val="0"/>
          <w:numId w:val="2"/>
        </w:numPr>
        <w:spacing w:after="120" w:line="276"/>
        <w:jc w:val="both"/>
      </w:pPr>
      <w:r>
        <w:rPr>
          <w:b/>
          <w:bCs/>
        </w:rPr>
        <w:t xml:space="preserve">CDS-Hooks-triggered EHR and DTR "Smart App" landing pages — </w:t>
      </w:r>
      <w:r>
        <w:t xml:space="preserve">launched from the ordering workflow to surface coverage and documentation requirements.</w:t>
      </w:r>
    </w:p>
    <w:p>
      <w:pPr>
        <w:pStyle w:val="ListParagraph"/>
        <w:numPr>
          <w:ilvl w:val="0"/>
          <w:numId w:val="2"/>
        </w:numPr>
        <w:spacing w:after="120" w:line="276"/>
        <w:jc w:val="both"/>
      </w:pPr>
      <w:r>
        <w:rPr>
          <w:b/>
          <w:bCs/>
        </w:rPr>
        <w:t xml:space="preserve">Provider Portal — </w:t>
      </w:r>
      <w:r>
        <w:t xml:space="preserve">the Authorizations list and request wizard summarized in section 2.1.</w:t>
      </w:r>
    </w:p>
    <w:p>
      <w:pPr>
        <w:pStyle w:val="Heading2"/>
        <w:spacing w:after="160" w:before="360"/>
      </w:pPr>
      <w:r>
        <w:t xml:space="preserve">2.3 Key Gap</w:t>
      </w:r>
    </w:p>
    <w:p>
      <w:pPr>
        <w:spacing w:after="200" w:line="276"/>
        <w:jc w:val="both"/>
      </w:pPr>
      <w:r>
        <w:t xml:space="preserve">The central gap in the current implementation is that PA business logic — member/coverage lookup, requirement discovery, evidence matching, submission, and status tracking — is implemented through a proprietary generative-AI chat box ("Ask watsonx") rather than through standards-based CDS Hooks CRD cards, a DTR SMART-launched dynamic Questionnaire, or a PAS Claim/$submit transaction. This makes the current solution powerful as a demonstration of AI-assisted requirement discovery, but it is not conformant with the Da Vinci implementation guides that CMS-0057-F will require payers to expose, and it cannot interoperate directly with payer CRD, DTR, and PAS endpoints as they come online. Closing this gap — replacing the chat-box-mediated workflow with standards-based CRD/DTR/PAS interactions while preserving the strongest ideas from the existing design, such as AI-assisted policy parsing and evidence auto-matching — is the objective of this modernization plan.</w:t>
      </w:r>
    </w:p>
    <w:p>
      <w:pPr>
        <w:pStyle w:val="Heading2"/>
        <w:spacing w:after="160" w:before="360"/>
      </w:pPr>
      <w:r>
        <w:t xml:space="preserve">2.4 Existing Codebase / Repository Status</w:t>
      </w:r>
    </w:p>
    <w:p>
      <w:pPr>
        <w:spacing w:after="200" w:line="276"/>
        <w:jc w:val="both"/>
      </w:pPr>
      <w:r>
        <w:t xml:space="preserve">Foundational plumbing for this effort is already underway. The existing GitHub repository, rickwill-ibm/rhtp-fhir-poc, contains three phased branches:</w:t>
      </w:r>
    </w:p>
    <w:p>
      <w:pPr>
        <w:pStyle w:val="ListParagraph"/>
        <w:numPr>
          <w:ilvl w:val="0"/>
          <w:numId w:val="2"/>
        </w:numPr>
        <w:spacing w:after="120" w:line="276"/>
        <w:jc w:val="both"/>
      </w:pPr>
      <w:r>
        <w:rPr>
          <w:b/>
          <w:bCs/>
        </w:rPr>
        <w:t xml:space="preserve">phase1 — </w:t>
      </w:r>
      <w:r>
        <w:t xml:space="preserve">FHIR server and identity/authentication.</w:t>
      </w:r>
    </w:p>
    <w:p>
      <w:pPr>
        <w:pStyle w:val="ListParagraph"/>
        <w:numPr>
          <w:ilvl w:val="0"/>
          <w:numId w:val="2"/>
        </w:numPr>
        <w:spacing w:after="120" w:line="276"/>
        <w:jc w:val="both"/>
      </w:pPr>
      <w:r>
        <w:rPr>
          <w:b/>
          <w:bCs/>
        </w:rPr>
        <w:t xml:space="preserve">phase2 — </w:t>
      </w:r>
      <w:r>
        <w:t xml:space="preserve">live FHIR data.</w:t>
      </w:r>
    </w:p>
    <w:p>
      <w:pPr>
        <w:pStyle w:val="ListParagraph"/>
        <w:numPr>
          <w:ilvl w:val="0"/>
          <w:numId w:val="2"/>
        </w:numPr>
        <w:spacing w:after="120" w:line="276"/>
        <w:jc w:val="both"/>
      </w:pPr>
      <w:r>
        <w:rPr>
          <w:b/>
          <w:bCs/>
        </w:rPr>
        <w:t xml:space="preserve">phase3 — </w:t>
      </w:r>
      <w:r>
        <w:t xml:space="preserve">live data wired to all pages.</w:t>
      </w:r>
    </w:p>
    <w:p>
      <w:pPr>
        <w:spacing w:after="200" w:line="276"/>
        <w:jc w:val="both"/>
      </w:pPr>
      <w:r>
        <w:t xml:space="preserve">Taken together, these branches indicate that a working FHIR server and OAuth-based identity/auth plumbing already exist and can be built upon, rather than re-implemented from scratch, as this plan moves into its implementation phases (see section 9).</w:t>
      </w:r>
    </w:p>
    <w:p>
      <w:pPr>
        <w:pStyle w:val="Heading1"/>
        <w:pageBreakBefore/>
        <w:spacing w:after="240" w:before="480"/>
      </w:pPr>
      <w:r>
        <w:t xml:space="preserve">3. Target Architecture</w:t>
      </w:r>
    </w:p>
    <w:p>
      <w:pPr>
        <w:spacing w:after="200" w:line="276"/>
        <w:jc w:val="both"/>
      </w:pPr>
      <w:r>
        <w:t xml:space="preserve">The target architecture re-platforms the current PA solution onto the Da Vinci CRD, DTR, and PAS implementation guides, coordinated by a Prior Auth Service that acts as the orchestration hub for coverage checks, requirement discovery, evidence matching, and submission. Rather than exposing this logic through a conversational chat interface, every step is implemented as a discrete, standards-conformant component with a well-defined FHIR or CDS Hooks contract, so that the same building blocks can interoperate directly with any CMS-0057-F-compliant payer, while still falling back gracefully to IBM's own Intelligent Policy Engine for payers that are not yet compliant.</w:t>
      </w:r>
    </w:p>
    <w:p>
      <w:pPr>
        <w:spacing w:after="200" w:line="276"/>
        <w:jc w:val="both"/>
      </w:pPr>
      <w:r>
        <w:t xml:space="preserve">The table below summarizes each architectural component, its responsibility within the end-to-end flow, and the key standards or APIs it implements. The full order of operations across these components is described in section 4.</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500"/>
      </w:tblGrid>
      <w:tr>
        <w:trPr>
          <w:tblHeader/>
        </w:trPr>
        <w:tc>
          <w:tcPr>
            <w:tcW w:type="dxa" w:w="2400"/>
            <w:shd w:fill="1F3864" w:color="auto" w:val="clear"/>
            <w:tcMar>
              <w:top w:type="dxa" w:w="80"/>
              <w:left w:type="dxa" w:w="100"/>
              <w:bottom w:type="dxa" w:w="80"/>
              <w:right w:type="dxa" w:w="100"/>
            </w:tcMar>
            <w:vAlign w:val="center"/>
          </w:tcPr>
          <w:p>
            <w:pPr>
              <w:spacing w:after="60"/>
            </w:pPr>
            <w:r>
              <w:rPr>
                <w:b/>
                <w:bCs/>
                <w:color w:val="FFFFFF"/>
                <w:sz w:val="20"/>
                <w:szCs w:val="20"/>
              </w:rPr>
              <w:t xml:space="preserve">Component</w:t>
            </w:r>
          </w:p>
        </w:tc>
        <w:tc>
          <w:tcPr>
            <w:tcW w:type="dxa" w:w="4800"/>
            <w:shd w:fill="1F3864" w:color="auto" w:val="clear"/>
            <w:tcMar>
              <w:top w:type="dxa" w:w="80"/>
              <w:left w:type="dxa" w:w="100"/>
              <w:bottom w:type="dxa" w:w="80"/>
              <w:right w:type="dxa" w:w="100"/>
            </w:tcMar>
            <w:vAlign w:val="center"/>
          </w:tcPr>
          <w:p>
            <w:pPr>
              <w:spacing w:after="60"/>
            </w:pPr>
            <w:r>
              <w:rPr>
                <w:b/>
                <w:bCs/>
                <w:color w:val="FFFFFF"/>
                <w:sz w:val="20"/>
                <w:szCs w:val="20"/>
              </w:rPr>
              <w:t xml:space="preserve">Responsibility</w:t>
            </w:r>
          </w:p>
        </w:tc>
        <w:tc>
          <w:tcPr>
            <w:tcW w:type="dxa" w:w="2500"/>
            <w:shd w:fill="1F3864" w:color="auto" w:val="clear"/>
            <w:tcMar>
              <w:top w:type="dxa" w:w="80"/>
              <w:left w:type="dxa" w:w="100"/>
              <w:bottom w:type="dxa" w:w="80"/>
              <w:right w:type="dxa" w:w="100"/>
            </w:tcMar>
            <w:vAlign w:val="center"/>
          </w:tcPr>
          <w:p>
            <w:pPr>
              <w:spacing w:after="60"/>
            </w:pPr>
            <w:r>
              <w:rPr>
                <w:b/>
                <w:bCs/>
                <w:color w:val="FFFFFF"/>
                <w:sz w:val="20"/>
                <w:szCs w:val="20"/>
              </w:rPr>
              <w:t xml:space="preserve">Key Standards / APIs</w:t>
            </w:r>
          </w:p>
        </w:tc>
      </w:tr>
      <w:tr>
        <w:tc>
          <w:tcPr>
            <w:tcW w:type="dxa" w:w="2400"/>
            <w:tcMar>
              <w:top w:type="dxa" w:w="80"/>
              <w:left w:type="dxa" w:w="100"/>
              <w:bottom w:type="dxa" w:w="80"/>
              <w:right w:type="dxa" w:w="100"/>
            </w:tcMar>
            <w:vAlign w:val="center"/>
          </w:tcPr>
          <w:p>
            <w:pPr>
              <w:spacing w:after="60"/>
            </w:pPr>
            <w:r>
              <w:rPr>
                <w:b w:val="false"/>
                <w:bCs w:val="false"/>
                <w:color w:val="000000"/>
                <w:sz w:val="20"/>
                <w:szCs w:val="20"/>
              </w:rPr>
              <w:t xml:space="preserve">SMART on FHIR Prior Auth App</w:t>
            </w:r>
          </w:p>
        </w:tc>
        <w:tc>
          <w:tcPr>
            <w:tcW w:type="dxa" w:w="4800"/>
            <w:tcMar>
              <w:top w:type="dxa" w:w="80"/>
              <w:left w:type="dxa" w:w="100"/>
              <w:bottom w:type="dxa" w:w="80"/>
              <w:right w:type="dxa" w:w="100"/>
            </w:tcMar>
            <w:vAlign w:val="center"/>
          </w:tcPr>
          <w:p>
            <w:pPr>
              <w:spacing w:after="60"/>
            </w:pPr>
            <w:r>
              <w:rPr>
                <w:b w:val="false"/>
                <w:bCs w:val="false"/>
                <w:color w:val="000000"/>
                <w:sz w:val="20"/>
                <w:szCs w:val="20"/>
              </w:rPr>
              <w:t xml:space="preserve">Embedded launch from the EMR order workflow; supports a real-time point-of-care mode and a back-office/batch worklist mode for staff-driven resolution.</w:t>
            </w:r>
          </w:p>
        </w:tc>
        <w:tc>
          <w:tcPr>
            <w:tcW w:type="dxa" w:w="2500"/>
            <w:tcMar>
              <w:top w:type="dxa" w:w="80"/>
              <w:left w:type="dxa" w:w="100"/>
              <w:bottom w:type="dxa" w:w="80"/>
              <w:right w:type="dxa" w:w="100"/>
            </w:tcMar>
            <w:vAlign w:val="center"/>
          </w:tcPr>
          <w:p>
            <w:pPr>
              <w:spacing w:after="60"/>
            </w:pPr>
            <w:r>
              <w:rPr>
                <w:b w:val="false"/>
                <w:bCs w:val="false"/>
                <w:color w:val="000000"/>
                <w:sz w:val="20"/>
                <w:szCs w:val="20"/>
              </w:rPr>
              <w:t xml:space="preserve">SMART App Launch 2.0, FHIR R4</w:t>
            </w:r>
          </w:p>
        </w:tc>
      </w:tr>
      <w:tr>
        <w:tc>
          <w:tcPr>
            <w:tcW w:type="dxa" w:w="2400"/>
            <w:shd w:fill="F2F2F2" w:color="auto" w:val="clear"/>
            <w:tcMar>
              <w:top w:type="dxa" w:w="80"/>
              <w:left w:type="dxa" w:w="100"/>
              <w:bottom w:type="dxa" w:w="80"/>
              <w:right w:type="dxa" w:w="100"/>
            </w:tcMar>
            <w:vAlign w:val="center"/>
          </w:tcPr>
          <w:p>
            <w:pPr>
              <w:spacing w:after="60"/>
            </w:pPr>
            <w:r>
              <w:rPr>
                <w:b w:val="false"/>
                <w:bCs w:val="false"/>
                <w:color w:val="000000"/>
                <w:sz w:val="20"/>
                <w:szCs w:val="20"/>
              </w:rPr>
              <w:t xml:space="preserve">CDS Hooks Client</w:t>
            </w:r>
          </w:p>
        </w:tc>
        <w:tc>
          <w:tcPr>
            <w:tcW w:type="dxa" w:w="4800"/>
            <w:shd w:fill="F2F2F2" w:color="auto" w:val="clear"/>
            <w:tcMar>
              <w:top w:type="dxa" w:w="80"/>
              <w:left w:type="dxa" w:w="100"/>
              <w:bottom w:type="dxa" w:w="80"/>
              <w:right w:type="dxa" w:w="100"/>
            </w:tcMar>
            <w:vAlign w:val="center"/>
          </w:tcPr>
          <w:p>
            <w:pPr>
              <w:spacing w:after="60"/>
            </w:pPr>
            <w:r>
              <w:rPr>
                <w:b w:val="false"/>
                <w:bCs w:val="false"/>
                <w:color w:val="000000"/>
                <w:sz w:val="20"/>
                <w:szCs w:val="20"/>
              </w:rPr>
              <w:t xml:space="preserve">Integrated with the EMR's existing order process; fires order-select for an early signal and order-sign as the authoritative trigger.</w:t>
            </w:r>
          </w:p>
        </w:tc>
        <w:tc>
          <w:tcPr>
            <w:tcW w:type="dxa" w:w="2500"/>
            <w:shd w:fill="F2F2F2" w:color="auto" w:val="clear"/>
            <w:tcMar>
              <w:top w:type="dxa" w:w="80"/>
              <w:left w:type="dxa" w:w="100"/>
              <w:bottom w:type="dxa" w:w="80"/>
              <w:right w:type="dxa" w:w="100"/>
            </w:tcMar>
            <w:vAlign w:val="center"/>
          </w:tcPr>
          <w:p>
            <w:pPr>
              <w:spacing w:after="60"/>
            </w:pPr>
            <w:r>
              <w:rPr>
                <w:b w:val="false"/>
                <w:bCs w:val="false"/>
                <w:color w:val="000000"/>
                <w:sz w:val="20"/>
                <w:szCs w:val="20"/>
              </w:rPr>
              <w:t xml:space="preserve">CDS Hooks 2.0 (order-select, order-sign)</w:t>
            </w:r>
          </w:p>
        </w:tc>
      </w:tr>
      <w:tr>
        <w:tc>
          <w:tcPr>
            <w:tcW w:type="dxa" w:w="2400"/>
            <w:tcMar>
              <w:top w:type="dxa" w:w="80"/>
              <w:left w:type="dxa" w:w="100"/>
              <w:bottom w:type="dxa" w:w="80"/>
              <w:right w:type="dxa" w:w="100"/>
            </w:tcMar>
            <w:vAlign w:val="center"/>
          </w:tcPr>
          <w:p>
            <w:pPr>
              <w:spacing w:after="60"/>
            </w:pPr>
            <w:r>
              <w:rPr>
                <w:b w:val="false"/>
                <w:bCs w:val="false"/>
                <w:color w:val="000000"/>
                <w:sz w:val="20"/>
                <w:szCs w:val="20"/>
              </w:rPr>
              <w:t xml:space="preserve">Prior Auth Service (orchestration hub)</w:t>
            </w:r>
          </w:p>
        </w:tc>
        <w:tc>
          <w:tcPr>
            <w:tcW w:type="dxa" w:w="4800"/>
            <w:tcMar>
              <w:top w:type="dxa" w:w="80"/>
              <w:left w:type="dxa" w:w="100"/>
              <w:bottom w:type="dxa" w:w="80"/>
              <w:right w:type="dxa" w:w="100"/>
            </w:tcMar>
            <w:vAlign w:val="center"/>
          </w:tcPr>
          <w:p>
            <w:pPr>
              <w:spacing w:after="60"/>
            </w:pPr>
            <w:r>
              <w:rPr>
                <w:b w:val="false"/>
                <w:bCs w:val="false"/>
                <w:color w:val="000000"/>
                <w:sz w:val="20"/>
                <w:szCs w:val="20"/>
              </w:rPr>
              <w:t xml:space="preserve">Resolves the patient's payer FHIR endpoint from Coverage.payor and a published payer endpoint directory; acts as a CRD client to real payer CRD services where available, with a policy-engine-backed CRD fallback for payers not yet CMS-0057-F compliant.</w:t>
            </w:r>
          </w:p>
        </w:tc>
        <w:tc>
          <w:tcPr>
            <w:tcW w:type="dxa" w:w="2500"/>
            <w:tcMar>
              <w:top w:type="dxa" w:w="80"/>
              <w:left w:type="dxa" w:w="100"/>
              <w:bottom w:type="dxa" w:w="80"/>
              <w:right w:type="dxa" w:w="100"/>
            </w:tcMar>
            <w:vAlign w:val="center"/>
          </w:tcPr>
          <w:p>
            <w:pPr>
              <w:spacing w:after="60"/>
            </w:pPr>
            <w:r>
              <w:rPr>
                <w:b w:val="false"/>
                <w:bCs w:val="false"/>
                <w:color w:val="000000"/>
                <w:sz w:val="20"/>
                <w:szCs w:val="20"/>
              </w:rPr>
              <w:t xml:space="preserve">CDS Hooks, Da Vinci CRD, Coverage</w:t>
            </w:r>
          </w:p>
        </w:tc>
      </w:tr>
      <w:tr>
        <w:tc>
          <w:tcPr>
            <w:tcW w:type="dxa" w:w="2400"/>
            <w:shd w:fill="F2F2F2" w:color="auto" w:val="clear"/>
            <w:tcMar>
              <w:top w:type="dxa" w:w="80"/>
              <w:left w:type="dxa" w:w="100"/>
              <w:bottom w:type="dxa" w:w="80"/>
              <w:right w:type="dxa" w:w="100"/>
            </w:tcMar>
            <w:vAlign w:val="center"/>
          </w:tcPr>
          <w:p>
            <w:pPr>
              <w:spacing w:after="60"/>
            </w:pPr>
            <w:r>
              <w:rPr>
                <w:b w:val="false"/>
                <w:bCs w:val="false"/>
                <w:color w:val="000000"/>
                <w:sz w:val="20"/>
                <w:szCs w:val="20"/>
              </w:rPr>
              <w:t xml:space="preserve">Eligibility &amp; Enrollment Check</w:t>
            </w:r>
          </w:p>
        </w:tc>
        <w:tc>
          <w:tcPr>
            <w:tcW w:type="dxa" w:w="4800"/>
            <w:shd w:fill="F2F2F2" w:color="auto" w:val="clear"/>
            <w:tcMar>
              <w:top w:type="dxa" w:w="80"/>
              <w:left w:type="dxa" w:w="100"/>
              <w:bottom w:type="dxa" w:w="80"/>
              <w:right w:type="dxa" w:w="100"/>
            </w:tcMar>
            <w:vAlign w:val="center"/>
          </w:tcPr>
          <w:p>
            <w:pPr>
              <w:spacing w:after="60"/>
            </w:pPr>
            <w:r>
              <w:rPr>
                <w:b w:val="false"/>
                <w:bCs w:val="false"/>
                <w:color w:val="000000"/>
                <w:sz w:val="20"/>
                <w:szCs w:val="20"/>
              </w:rPr>
              <w:t xml:space="preserve">Confirms the patient's coverage and enrollment status against the payer.</w:t>
            </w:r>
          </w:p>
        </w:tc>
        <w:tc>
          <w:tcPr>
            <w:tcW w:type="dxa" w:w="2500"/>
            <w:shd w:fill="F2F2F2" w:color="auto" w:val="clear"/>
            <w:tcMar>
              <w:top w:type="dxa" w:w="80"/>
              <w:left w:type="dxa" w:w="100"/>
              <w:bottom w:type="dxa" w:w="80"/>
              <w:right w:type="dxa" w:w="100"/>
            </w:tcMar>
            <w:vAlign w:val="center"/>
          </w:tcPr>
          <w:p>
            <w:pPr>
              <w:spacing w:after="60"/>
            </w:pPr>
            <w:r>
              <w:rPr>
                <w:b w:val="false"/>
                <w:bCs w:val="false"/>
                <w:color w:val="000000"/>
                <w:sz w:val="20"/>
                <w:szCs w:val="20"/>
              </w:rPr>
              <w:t xml:space="preserve">CoverageEligibilityRequest / CoverageEligibilityResponse, X12 270/271 fallback</w:t>
            </w:r>
          </w:p>
        </w:tc>
      </w:tr>
      <w:tr>
        <w:tc>
          <w:tcPr>
            <w:tcW w:type="dxa" w:w="2400"/>
            <w:tcMar>
              <w:top w:type="dxa" w:w="80"/>
              <w:left w:type="dxa" w:w="100"/>
              <w:bottom w:type="dxa" w:w="80"/>
              <w:right w:type="dxa" w:w="100"/>
            </w:tcMar>
            <w:vAlign w:val="center"/>
          </w:tcPr>
          <w:p>
            <w:pPr>
              <w:spacing w:after="60"/>
            </w:pPr>
            <w:r>
              <w:rPr>
                <w:b w:val="false"/>
                <w:bCs w:val="false"/>
                <w:color w:val="000000"/>
                <w:sz w:val="20"/>
                <w:szCs w:val="20"/>
              </w:rPr>
              <w:t xml:space="preserve">Network Status Check</w:t>
            </w:r>
          </w:p>
        </w:tc>
        <w:tc>
          <w:tcPr>
            <w:tcW w:type="dxa" w:w="4800"/>
            <w:tcMar>
              <w:top w:type="dxa" w:w="80"/>
              <w:left w:type="dxa" w:w="100"/>
              <w:bottom w:type="dxa" w:w="80"/>
              <w:right w:type="dxa" w:w="100"/>
            </w:tcMar>
            <w:vAlign w:val="center"/>
          </w:tcPr>
          <w:p>
            <w:pPr>
              <w:spacing w:after="60"/>
            </w:pPr>
            <w:r>
              <w:rPr>
                <w:b w:val="false"/>
                <w:bCs w:val="false"/>
                <w:color w:val="000000"/>
                <w:sz w:val="20"/>
                <w:szCs w:val="20"/>
              </w:rPr>
              <w:t xml:space="preserve">Confirms in-network status of the ordering and rendering providers via provider directory lookup.</w:t>
            </w:r>
          </w:p>
        </w:tc>
        <w:tc>
          <w:tcPr>
            <w:tcW w:type="dxa" w:w="2500"/>
            <w:tcMar>
              <w:top w:type="dxa" w:w="80"/>
              <w:left w:type="dxa" w:w="100"/>
              <w:bottom w:type="dxa" w:w="80"/>
              <w:right w:type="dxa" w:w="100"/>
            </w:tcMar>
            <w:vAlign w:val="center"/>
          </w:tcPr>
          <w:p>
            <w:pPr>
              <w:spacing w:after="60"/>
            </w:pPr>
            <w:r>
              <w:rPr>
                <w:b w:val="false"/>
                <w:bCs w:val="false"/>
                <w:color w:val="000000"/>
                <w:sz w:val="20"/>
                <w:szCs w:val="20"/>
              </w:rPr>
              <w:t xml:space="preserve">PractitionerRole, Organization, Da Vinci PDex Plan-Net</w:t>
            </w:r>
          </w:p>
        </w:tc>
      </w:tr>
      <w:tr>
        <w:tc>
          <w:tcPr>
            <w:tcW w:type="dxa" w:w="2400"/>
            <w:shd w:fill="F2F2F2" w:color="auto" w:val="clear"/>
            <w:tcMar>
              <w:top w:type="dxa" w:w="80"/>
              <w:left w:type="dxa" w:w="100"/>
              <w:bottom w:type="dxa" w:w="80"/>
              <w:right w:type="dxa" w:w="100"/>
            </w:tcMar>
            <w:vAlign w:val="center"/>
          </w:tcPr>
          <w:p>
            <w:pPr>
              <w:spacing w:after="60"/>
            </w:pPr>
            <w:r>
              <w:rPr>
                <w:b w:val="false"/>
                <w:bCs w:val="false"/>
                <w:color w:val="000000"/>
                <w:sz w:val="20"/>
                <w:szCs w:val="20"/>
              </w:rPr>
              <w:t xml:space="preserve">Secondary Guidelines Check</w:t>
            </w:r>
          </w:p>
        </w:tc>
        <w:tc>
          <w:tcPr>
            <w:tcW w:type="dxa" w:w="4800"/>
            <w:shd w:fill="F2F2F2" w:color="auto" w:val="clear"/>
            <w:tcMar>
              <w:top w:type="dxa" w:w="80"/>
              <w:left w:type="dxa" w:w="100"/>
              <w:bottom w:type="dxa" w:w="80"/>
              <w:right w:type="dxa" w:w="100"/>
            </w:tcMar>
            <w:vAlign w:val="center"/>
          </w:tcPr>
          <w:p>
            <w:pPr>
              <w:spacing w:after="60"/>
            </w:pPr>
            <w:r>
              <w:rPr>
                <w:b w:val="false"/>
                <w:bCs w:val="false"/>
                <w:color w:val="000000"/>
                <w:sz w:val="20"/>
                <w:szCs w:val="20"/>
              </w:rPr>
              <w:t xml:space="preserve">Checks for additional mitigating clinical guidance beyond the payer's own policy.</w:t>
            </w:r>
          </w:p>
        </w:tc>
        <w:tc>
          <w:tcPr>
            <w:tcW w:type="dxa" w:w="2500"/>
            <w:shd w:fill="F2F2F2" w:color="auto" w:val="clear"/>
            <w:tcMar>
              <w:top w:type="dxa" w:w="80"/>
              <w:left w:type="dxa" w:w="100"/>
              <w:bottom w:type="dxa" w:w="80"/>
              <w:right w:type="dxa" w:w="100"/>
            </w:tcMar>
            <w:vAlign w:val="center"/>
          </w:tcPr>
          <w:p>
            <w:pPr>
              <w:spacing w:after="60"/>
            </w:pPr>
            <w:r>
              <w:rPr>
                <w:b w:val="false"/>
                <w:bCs w:val="false"/>
                <w:color w:val="000000"/>
                <w:sz w:val="20"/>
                <w:szCs w:val="20"/>
              </w:rPr>
              <w:t xml:space="preserve">Milliman Care Guidelines API, InterQual API</w:t>
            </w:r>
          </w:p>
        </w:tc>
      </w:tr>
      <w:tr>
        <w:tc>
          <w:tcPr>
            <w:tcW w:type="dxa" w:w="2400"/>
            <w:tcMar>
              <w:top w:type="dxa" w:w="80"/>
              <w:left w:type="dxa" w:w="100"/>
              <w:bottom w:type="dxa" w:w="80"/>
              <w:right w:type="dxa" w:w="100"/>
            </w:tcMar>
            <w:vAlign w:val="center"/>
          </w:tcPr>
          <w:p>
            <w:pPr>
              <w:spacing w:after="60"/>
            </w:pPr>
            <w:r>
              <w:rPr>
                <w:b w:val="false"/>
                <w:bCs w:val="false"/>
                <w:color w:val="000000"/>
                <w:sz w:val="20"/>
                <w:szCs w:val="20"/>
              </w:rPr>
              <w:t xml:space="preserve">Intelligent Policy Engine (watsonx)</w:t>
            </w:r>
          </w:p>
        </w:tc>
        <w:tc>
          <w:tcPr>
            <w:tcW w:type="dxa" w:w="4800"/>
            <w:tcMar>
              <w:top w:type="dxa" w:w="80"/>
              <w:left w:type="dxa" w:w="100"/>
              <w:bottom w:type="dxa" w:w="80"/>
              <w:right w:type="dxa" w:w="100"/>
            </w:tcMar>
            <w:vAlign w:val="center"/>
          </w:tcPr>
          <w:p>
            <w:pPr>
              <w:spacing w:after="60"/>
            </w:pPr>
            <w:r>
              <w:rPr>
                <w:b w:val="false"/>
                <w:bCs w:val="false"/>
                <w:color w:val="000000"/>
                <w:sz w:val="20"/>
                <w:szCs w:val="20"/>
              </w:rPr>
              <w:t xml:space="preserve">Extracts payer medical policy PDFs into structured JSON, then into FHIR Questionnaire resources with embedded CQL logic and ValueSets, stored in a Knowledge Base FHIR Repository; supports real-time on-demand parsing and pre-embedded/pre-published rules.</w:t>
            </w:r>
          </w:p>
        </w:tc>
        <w:tc>
          <w:tcPr>
            <w:tcW w:type="dxa" w:w="2500"/>
            <w:tcMar>
              <w:top w:type="dxa" w:w="80"/>
              <w:left w:type="dxa" w:w="100"/>
              <w:bottom w:type="dxa" w:w="80"/>
              <w:right w:type="dxa" w:w="100"/>
            </w:tcMar>
            <w:vAlign w:val="center"/>
          </w:tcPr>
          <w:p>
            <w:pPr>
              <w:spacing w:after="60"/>
            </w:pPr>
            <w:r>
              <w:rPr>
                <w:b w:val="false"/>
                <w:bCs w:val="false"/>
                <w:color w:val="000000"/>
                <w:sz w:val="20"/>
                <w:szCs w:val="20"/>
              </w:rPr>
              <w:t xml:space="preserve">watsonx, FHIR Questionnaire, CQL, ValueSet</w:t>
            </w:r>
          </w:p>
        </w:tc>
      </w:tr>
      <w:tr>
        <w:tc>
          <w:tcPr>
            <w:tcW w:type="dxa" w:w="2400"/>
            <w:shd w:fill="F2F2F2" w:color="auto" w:val="clear"/>
            <w:tcMar>
              <w:top w:type="dxa" w:w="80"/>
              <w:left w:type="dxa" w:w="100"/>
              <w:bottom w:type="dxa" w:w="80"/>
              <w:right w:type="dxa" w:w="100"/>
            </w:tcMar>
            <w:vAlign w:val="center"/>
          </w:tcPr>
          <w:p>
            <w:pPr>
              <w:spacing w:after="60"/>
            </w:pPr>
            <w:r>
              <w:rPr>
                <w:b w:val="false"/>
                <w:bCs w:val="false"/>
                <w:color w:val="000000"/>
                <w:sz w:val="20"/>
                <w:szCs w:val="20"/>
              </w:rPr>
              <w:t xml:space="preserve">DTR Service</w:t>
            </w:r>
          </w:p>
        </w:tc>
        <w:tc>
          <w:tcPr>
            <w:tcW w:type="dxa" w:w="4800"/>
            <w:shd w:fill="F2F2F2" w:color="auto" w:val="clear"/>
            <w:tcMar>
              <w:top w:type="dxa" w:w="80"/>
              <w:left w:type="dxa" w:w="100"/>
              <w:bottom w:type="dxa" w:w="80"/>
              <w:right w:type="dxa" w:w="100"/>
            </w:tcMar>
            <w:vAlign w:val="center"/>
          </w:tcPr>
          <w:p>
            <w:pPr>
              <w:spacing w:after="60"/>
            </w:pPr>
            <w:r>
              <w:rPr>
                <w:b w:val="false"/>
                <w:bCs w:val="false"/>
                <w:color w:val="000000"/>
                <w:sz w:val="20"/>
                <w:szCs w:val="20"/>
              </w:rPr>
              <w:t xml:space="preserve">Serves the Questionnaire Package (Questionnaire + CQL + ValueSets) for a given order.</w:t>
            </w:r>
          </w:p>
        </w:tc>
        <w:tc>
          <w:tcPr>
            <w:tcW w:type="dxa" w:w="2500"/>
            <w:shd w:fill="F2F2F2" w:color="auto" w:val="clear"/>
            <w:tcMar>
              <w:top w:type="dxa" w:w="80"/>
              <w:left w:type="dxa" w:w="100"/>
              <w:bottom w:type="dxa" w:w="80"/>
              <w:right w:type="dxa" w:w="100"/>
            </w:tcMar>
            <w:vAlign w:val="center"/>
          </w:tcPr>
          <w:p>
            <w:pPr>
              <w:spacing w:after="60"/>
            </w:pPr>
            <w:r>
              <w:rPr>
                <w:b w:val="false"/>
                <w:bCs w:val="false"/>
                <w:color w:val="000000"/>
                <w:sz w:val="20"/>
                <w:szCs w:val="20"/>
              </w:rPr>
              <w:t xml:space="preserve">Da Vinci DTR, $questionnaire-package</w:t>
            </w:r>
          </w:p>
        </w:tc>
      </w:tr>
      <w:tr>
        <w:tc>
          <w:tcPr>
            <w:tcW w:type="dxa" w:w="2400"/>
            <w:tcMar>
              <w:top w:type="dxa" w:w="80"/>
              <w:left w:type="dxa" w:w="100"/>
              <w:bottom w:type="dxa" w:w="80"/>
              <w:right w:type="dxa" w:w="100"/>
            </w:tcMar>
            <w:vAlign w:val="center"/>
          </w:tcPr>
          <w:p>
            <w:pPr>
              <w:spacing w:after="60"/>
            </w:pPr>
            <w:r>
              <w:rPr>
                <w:b w:val="false"/>
                <w:bCs w:val="false"/>
                <w:color w:val="000000"/>
                <w:sz w:val="20"/>
                <w:szCs w:val="20"/>
              </w:rPr>
              <w:t xml:space="preserve">PA Aggregation FHIR Server</w:t>
            </w:r>
          </w:p>
        </w:tc>
        <w:tc>
          <w:tcPr>
            <w:tcW w:type="dxa" w:w="4800"/>
            <w:tcMar>
              <w:top w:type="dxa" w:w="80"/>
              <w:left w:type="dxa" w:w="100"/>
              <w:bottom w:type="dxa" w:w="80"/>
              <w:right w:type="dxa" w:w="100"/>
            </w:tcMar>
            <w:vAlign w:val="center"/>
          </w:tcPr>
          <w:p>
            <w:pPr>
              <w:spacing w:after="60"/>
            </w:pPr>
            <w:r>
              <w:rPr>
                <w:b w:val="false"/>
                <w:bCs w:val="false"/>
                <w:color w:val="000000"/>
                <w:sz w:val="20"/>
                <w:szCs w:val="20"/>
              </w:rPr>
              <w:t xml:space="preserve">Combines EMR clinical documentation (US Core v3) with payer Patient Access data, applying a clinical-source-wins priority merge rule and Provenance tagging of every fact's source.</w:t>
            </w:r>
          </w:p>
        </w:tc>
        <w:tc>
          <w:tcPr>
            <w:tcW w:type="dxa" w:w="2500"/>
            <w:tcMar>
              <w:top w:type="dxa" w:w="80"/>
              <w:left w:type="dxa" w:w="100"/>
              <w:bottom w:type="dxa" w:w="80"/>
              <w:right w:type="dxa" w:w="100"/>
            </w:tcMar>
            <w:vAlign w:val="center"/>
          </w:tcPr>
          <w:p>
            <w:pPr>
              <w:spacing w:after="60"/>
            </w:pPr>
            <w:r>
              <w:rPr>
                <w:b w:val="false"/>
                <w:bCs w:val="false"/>
                <w:color w:val="000000"/>
                <w:sz w:val="20"/>
                <w:szCs w:val="20"/>
              </w:rPr>
              <w:t xml:space="preserve">US Core v3, Da Vinci PDex Patient Access, Provenance</w:t>
            </w:r>
          </w:p>
        </w:tc>
      </w:tr>
      <w:tr>
        <w:tc>
          <w:tcPr>
            <w:tcW w:type="dxa" w:w="2400"/>
            <w:shd w:fill="F2F2F2" w:color="auto" w:val="clear"/>
            <w:tcMar>
              <w:top w:type="dxa" w:w="80"/>
              <w:left w:type="dxa" w:w="100"/>
              <w:bottom w:type="dxa" w:w="80"/>
              <w:right w:type="dxa" w:w="100"/>
            </w:tcMar>
            <w:vAlign w:val="center"/>
          </w:tcPr>
          <w:p>
            <w:pPr>
              <w:spacing w:after="60"/>
            </w:pPr>
            <w:r>
              <w:rPr>
                <w:b w:val="false"/>
                <w:bCs w:val="false"/>
                <w:color w:val="000000"/>
                <w:sz w:val="20"/>
                <w:szCs w:val="20"/>
              </w:rPr>
              <w:t xml:space="preserve">Matching Engine</w:t>
            </w:r>
          </w:p>
        </w:tc>
        <w:tc>
          <w:tcPr>
            <w:tcW w:type="dxa" w:w="4800"/>
            <w:shd w:fill="F2F2F2" w:color="auto" w:val="clear"/>
            <w:tcMar>
              <w:top w:type="dxa" w:w="80"/>
              <w:left w:type="dxa" w:w="100"/>
              <w:bottom w:type="dxa" w:w="80"/>
              <w:right w:type="dxa" w:w="100"/>
            </w:tcMar>
            <w:vAlign w:val="center"/>
          </w:tcPr>
          <w:p>
            <w:pPr>
              <w:spacing w:after="60"/>
            </w:pPr>
            <w:r>
              <w:rPr>
                <w:b w:val="false"/>
                <w:bCs w:val="false"/>
                <w:color w:val="000000"/>
                <w:sz w:val="20"/>
                <w:szCs w:val="20"/>
              </w:rPr>
              <w:t xml:space="preserve">Executes CQL medical necessity rules against the aggregated FHIR store, matching by ICD-10-CM/ICD-11 and CPT/HCPCS, producing a criteria tree with a met/gap status per node.</w:t>
            </w:r>
          </w:p>
        </w:tc>
        <w:tc>
          <w:tcPr>
            <w:tcW w:type="dxa" w:w="2500"/>
            <w:shd w:fill="F2F2F2" w:color="auto" w:val="clear"/>
            <w:tcMar>
              <w:top w:type="dxa" w:w="80"/>
              <w:left w:type="dxa" w:w="100"/>
              <w:bottom w:type="dxa" w:w="80"/>
              <w:right w:type="dxa" w:w="100"/>
            </w:tcMar>
            <w:vAlign w:val="center"/>
          </w:tcPr>
          <w:p>
            <w:pPr>
              <w:spacing w:after="60"/>
            </w:pPr>
            <w:r>
              <w:rPr>
                <w:b w:val="false"/>
                <w:bCs w:val="false"/>
                <w:color w:val="000000"/>
                <w:sz w:val="20"/>
                <w:szCs w:val="20"/>
              </w:rPr>
              <w:t xml:space="preserve">CQL, ICD-10-CM/ICD-11, CPT/HCPCS</w:t>
            </w:r>
          </w:p>
        </w:tc>
      </w:tr>
      <w:tr>
        <w:tc>
          <w:tcPr>
            <w:tcW w:type="dxa" w:w="2400"/>
            <w:tcMar>
              <w:top w:type="dxa" w:w="80"/>
              <w:left w:type="dxa" w:w="100"/>
              <w:bottom w:type="dxa" w:w="80"/>
              <w:right w:type="dxa" w:w="100"/>
            </w:tcMar>
            <w:vAlign w:val="center"/>
          </w:tcPr>
          <w:p>
            <w:pPr>
              <w:spacing w:after="60"/>
            </w:pPr>
            <w:r>
              <w:rPr>
                <w:b w:val="false"/>
                <w:bCs w:val="false"/>
                <w:color w:val="000000"/>
                <w:sz w:val="20"/>
                <w:szCs w:val="20"/>
              </w:rPr>
              <w:t xml:space="preserve">CDex Attachment Handler</w:t>
            </w:r>
          </w:p>
        </w:tc>
        <w:tc>
          <w:tcPr>
            <w:tcW w:type="dxa" w:w="4800"/>
            <w:tcMar>
              <w:top w:type="dxa" w:w="80"/>
              <w:left w:type="dxa" w:w="100"/>
              <w:bottom w:type="dxa" w:w="80"/>
              <w:right w:type="dxa" w:w="100"/>
            </w:tcMar>
            <w:vAlign w:val="center"/>
          </w:tcPr>
          <w:p>
            <w:pPr>
              <w:spacing w:after="60"/>
            </w:pPr>
            <w:r>
              <w:rPr>
                <w:b w:val="false"/>
                <w:bCs w:val="false"/>
                <w:color w:val="000000"/>
                <w:sz w:val="20"/>
                <w:szCs w:val="20"/>
              </w:rPr>
              <w:t xml:space="preserve">Supports upload of supporting clinical documentation (PDF, C-CDA, text, or FHIR DocumentReference) for any unmet criteria, linked into Claim.supportingInfo.</w:t>
            </w:r>
          </w:p>
        </w:tc>
        <w:tc>
          <w:tcPr>
            <w:tcW w:type="dxa" w:w="2500"/>
            <w:tcMar>
              <w:top w:type="dxa" w:w="80"/>
              <w:left w:type="dxa" w:w="100"/>
              <w:bottom w:type="dxa" w:w="80"/>
              <w:right w:type="dxa" w:w="100"/>
            </w:tcMar>
            <w:vAlign w:val="center"/>
          </w:tcPr>
          <w:p>
            <w:pPr>
              <w:spacing w:after="60"/>
            </w:pPr>
            <w:r>
              <w:rPr>
                <w:b w:val="false"/>
                <w:bCs w:val="false"/>
                <w:color w:val="000000"/>
                <w:sz w:val="20"/>
                <w:szCs w:val="20"/>
              </w:rPr>
              <w:t xml:space="preserve">Da Vinci CDex, DocumentReference</w:t>
            </w:r>
          </w:p>
        </w:tc>
      </w:tr>
      <w:tr>
        <w:tc>
          <w:tcPr>
            <w:tcW w:type="dxa" w:w="2400"/>
            <w:shd w:fill="F2F2F2" w:color="auto" w:val="clear"/>
            <w:tcMar>
              <w:top w:type="dxa" w:w="80"/>
              <w:left w:type="dxa" w:w="100"/>
              <w:bottom w:type="dxa" w:w="80"/>
              <w:right w:type="dxa" w:w="100"/>
            </w:tcMar>
            <w:vAlign w:val="center"/>
          </w:tcPr>
          <w:p>
            <w:pPr>
              <w:spacing w:after="60"/>
            </w:pPr>
            <w:r>
              <w:rPr>
                <w:b w:val="false"/>
                <w:bCs w:val="false"/>
                <w:color w:val="000000"/>
                <w:sz w:val="20"/>
                <w:szCs w:val="20"/>
              </w:rPr>
              <w:t xml:space="preserve">PAS Submission Service</w:t>
            </w:r>
          </w:p>
        </w:tc>
        <w:tc>
          <w:tcPr>
            <w:tcW w:type="dxa" w:w="4800"/>
            <w:shd w:fill="F2F2F2" w:color="auto" w:val="clear"/>
            <w:tcMar>
              <w:top w:type="dxa" w:w="80"/>
              <w:left w:type="dxa" w:w="100"/>
              <w:bottom w:type="dxa" w:w="80"/>
              <w:right w:type="dxa" w:w="100"/>
            </w:tcMar>
            <w:vAlign w:val="center"/>
          </w:tcPr>
          <w:p>
            <w:pPr>
              <w:spacing w:after="60"/>
            </w:pPr>
            <w:r>
              <w:rPr>
                <w:b w:val="false"/>
                <w:bCs w:val="false"/>
                <w:color w:val="000000"/>
                <w:sz w:val="20"/>
                <w:szCs w:val="20"/>
              </w:rPr>
              <w:t xml:space="preserve">Assembles the PASBundle and calls Claim/$submit for FHIR-capable payers, or hands off to the EDI Translator for X12 278/275 for payers requiring the legacy channel; channel choice is driven by payer capability metadata.</w:t>
            </w:r>
          </w:p>
        </w:tc>
        <w:tc>
          <w:tcPr>
            <w:tcW w:type="dxa" w:w="2500"/>
            <w:shd w:fill="F2F2F2" w:color="auto" w:val="clear"/>
            <w:tcMar>
              <w:top w:type="dxa" w:w="80"/>
              <w:left w:type="dxa" w:w="100"/>
              <w:bottom w:type="dxa" w:w="80"/>
              <w:right w:type="dxa" w:w="100"/>
            </w:tcMar>
            <w:vAlign w:val="center"/>
          </w:tcPr>
          <w:p>
            <w:pPr>
              <w:spacing w:after="60"/>
            </w:pPr>
            <w:r>
              <w:rPr>
                <w:b w:val="false"/>
                <w:bCs w:val="false"/>
                <w:color w:val="000000"/>
                <w:sz w:val="20"/>
                <w:szCs w:val="20"/>
              </w:rPr>
              <w:t xml:space="preserve">Da Vinci PAS, Claim/$submit, X12 278/275</w:t>
            </w:r>
          </w:p>
        </w:tc>
      </w:tr>
      <w:tr>
        <w:tc>
          <w:tcPr>
            <w:tcW w:type="dxa" w:w="2400"/>
            <w:tcMar>
              <w:top w:type="dxa" w:w="80"/>
              <w:left w:type="dxa" w:w="100"/>
              <w:bottom w:type="dxa" w:w="80"/>
              <w:right w:type="dxa" w:w="100"/>
            </w:tcMar>
            <w:vAlign w:val="center"/>
          </w:tcPr>
          <w:p>
            <w:pPr>
              <w:spacing w:after="60"/>
            </w:pPr>
            <w:r>
              <w:rPr>
                <w:b w:val="false"/>
                <w:bCs w:val="false"/>
                <w:color w:val="000000"/>
                <w:sz w:val="20"/>
                <w:szCs w:val="20"/>
              </w:rPr>
              <w:t xml:space="preserve">PA Portal / Case Management</w:t>
            </w:r>
          </w:p>
        </w:tc>
        <w:tc>
          <w:tcPr>
            <w:tcW w:type="dxa" w:w="4800"/>
            <w:tcMar>
              <w:top w:type="dxa" w:w="80"/>
              <w:left w:type="dxa" w:w="100"/>
              <w:bottom w:type="dxa" w:w="80"/>
              <w:right w:type="dxa" w:w="100"/>
            </w:tcMar>
            <w:vAlign w:val="center"/>
          </w:tcPr>
          <w:p>
            <w:pPr>
              <w:spacing w:after="60"/>
            </w:pPr>
            <w:r>
              <w:rPr>
                <w:b w:val="false"/>
                <w:bCs w:val="false"/>
                <w:color w:val="000000"/>
                <w:sz w:val="20"/>
                <w:szCs w:val="20"/>
              </w:rPr>
              <w:t xml:space="preserve">Tracks every PA case through its lifecycle; subscribes via FHIR Subscription for pended-case updates; provides Claim/$inquiry as a manual polling fallback.</w:t>
            </w:r>
          </w:p>
        </w:tc>
        <w:tc>
          <w:tcPr>
            <w:tcW w:type="dxa" w:w="2500"/>
            <w:tcMar>
              <w:top w:type="dxa" w:w="80"/>
              <w:left w:type="dxa" w:w="100"/>
              <w:bottom w:type="dxa" w:w="80"/>
              <w:right w:type="dxa" w:w="100"/>
            </w:tcMar>
            <w:vAlign w:val="center"/>
          </w:tcPr>
          <w:p>
            <w:pPr>
              <w:spacing w:after="60"/>
            </w:pPr>
            <w:r>
              <w:rPr>
                <w:b w:val="false"/>
                <w:bCs w:val="false"/>
                <w:color w:val="000000"/>
                <w:sz w:val="20"/>
                <w:szCs w:val="20"/>
              </w:rPr>
              <w:t xml:space="preserve">FHIR Subscription (rest-hook, R5 backport), Claim/$inquiry</w:t>
            </w:r>
          </w:p>
        </w:tc>
      </w:tr>
      <w:tr>
        <w:tc>
          <w:tcPr>
            <w:tcW w:type="dxa" w:w="2400"/>
            <w:shd w:fill="F2F2F2" w:color="auto" w:val="clear"/>
            <w:tcMar>
              <w:top w:type="dxa" w:w="80"/>
              <w:left w:type="dxa" w:w="100"/>
              <w:bottom w:type="dxa" w:w="80"/>
              <w:right w:type="dxa" w:w="100"/>
            </w:tcMar>
            <w:vAlign w:val="center"/>
          </w:tcPr>
          <w:p>
            <w:pPr>
              <w:spacing w:after="60"/>
            </w:pPr>
            <w:r>
              <w:rPr>
                <w:b w:val="false"/>
                <w:bCs w:val="false"/>
                <w:color w:val="000000"/>
                <w:sz w:val="20"/>
                <w:szCs w:val="20"/>
              </w:rPr>
              <w:t xml:space="preserve">Evidence Record Generator</w:t>
            </w:r>
          </w:p>
        </w:tc>
        <w:tc>
          <w:tcPr>
            <w:tcW w:type="dxa" w:w="4800"/>
            <w:shd w:fill="F2F2F2" w:color="auto" w:val="clear"/>
            <w:tcMar>
              <w:top w:type="dxa" w:w="80"/>
              <w:left w:type="dxa" w:w="100"/>
              <w:bottom w:type="dxa" w:w="80"/>
              <w:right w:type="dxa" w:w="100"/>
            </w:tcMar>
            <w:vAlign w:val="center"/>
          </w:tcPr>
          <w:p>
            <w:pPr>
              <w:spacing w:after="60"/>
            </w:pPr>
            <w:r>
              <w:rPr>
                <w:b w:val="false"/>
                <w:bCs w:val="false"/>
                <w:color w:val="000000"/>
                <w:sz w:val="20"/>
                <w:szCs w:val="20"/>
              </w:rPr>
              <w:t xml:space="preserve">Renders an immutable PDF snapshot of the submitted PASBundle and DTR match-tree state at the moment of submission, for audit purposes.</w:t>
            </w:r>
          </w:p>
        </w:tc>
        <w:tc>
          <w:tcPr>
            <w:tcW w:type="dxa" w:w="2500"/>
            <w:shd w:fill="F2F2F2" w:color="auto" w:val="clear"/>
            <w:tcMar>
              <w:top w:type="dxa" w:w="80"/>
              <w:left w:type="dxa" w:w="100"/>
              <w:bottom w:type="dxa" w:w="80"/>
              <w:right w:type="dxa" w:w="100"/>
            </w:tcMar>
            <w:vAlign w:val="center"/>
          </w:tcPr>
          <w:p>
            <w:pPr>
              <w:spacing w:after="60"/>
            </w:pPr>
            <w:r>
              <w:rPr>
                <w:b w:val="false"/>
                <w:bCs w:val="false"/>
                <w:color w:val="000000"/>
                <w:sz w:val="20"/>
                <w:szCs w:val="20"/>
              </w:rPr>
              <w:t xml:space="preserve">PDF snapshot, audit/Provenance record</w:t>
            </w:r>
          </w:p>
        </w:tc>
      </w:tr>
    </w:tbl>
    <w:p>
      <w:pPr>
        <w:pStyle w:val="Heading1"/>
        <w:pageBreakBefore/>
        <w:spacing w:after="240" w:before="480"/>
      </w:pPr>
      <w:r>
        <w:t xml:space="preserve">4. End-to-End Process Flow</w:t>
      </w:r>
    </w:p>
    <w:p>
      <w:pPr>
        <w:spacing w:after="200" w:line="276"/>
        <w:jc w:val="both"/>
      </w:pPr>
      <w:r>
        <w:t xml:space="preserve">The end-to-end process flow is organized into three parts, corresponding to the three Da Vinci implementation guides in scope: Part I covers Coverage Requirements Discovery, Part II covers Documentation Templates and Rules, and Part III covers submission through the Prior Authorization Support guide, PA Portal case tracking, evidence retention, and adjudication. The numbering below runs continuously across all three parts to reflect that this is a single, continuous workflow from order entry to adjudicated outcome.</w:t>
      </w:r>
    </w:p>
    <w:p>
      <w:pPr>
        <w:pStyle w:val="Heading2"/>
        <w:spacing w:after="160" w:before="360"/>
      </w:pPr>
      <w:r>
        <w:t xml:space="preserve">Part I — CRD (Coverage Requirements Discovery)</w:t>
      </w:r>
    </w:p>
    <w:p>
      <w:pPr>
        <w:spacing w:after="160" w:line="276"/>
        <w:ind w:left="504" w:hanging="504"/>
        <w:jc w:val="both"/>
      </w:pPr>
      <w:r>
        <w:rPr>
          <w:b/>
          <w:bCs/>
          <w:color w:val="2E5395"/>
        </w:rPr>
        <w:t xml:space="preserve">1.  </w:t>
      </w:r>
      <w:r>
        <w:t xml:space="preserve">The provider places an order in the EMR through the existing CDS-Hooks-integrated order process — an imaging, lab, or procedure order.</w:t>
      </w:r>
    </w:p>
    <w:p>
      <w:pPr>
        <w:spacing w:after="160" w:line="276"/>
        <w:ind w:left="504" w:hanging="504"/>
        <w:jc w:val="both"/>
      </w:pPr>
      <w:r>
        <w:rPr>
          <w:b/>
          <w:bCs/>
          <w:color w:val="2E5395"/>
        </w:rPr>
        <w:t xml:space="preserve">2.  </w:t>
      </w:r>
      <w:r>
        <w:t xml:space="preserve">The provider (or an automated background trigger) requests a prior-authorization check. The app fires a CRD-conformant CDS Hook to the Prior Auth Service — order-select for an early signal as the order is being composed, and order-sign as the authoritative check once the order is finalized.</w:t>
      </w:r>
    </w:p>
    <w:p>
      <w:pPr>
        <w:spacing w:after="160" w:line="276"/>
        <w:ind w:left="504" w:hanging="504"/>
        <w:jc w:val="both"/>
      </w:pPr>
      <w:r>
        <w:rPr>
          <w:b/>
          <w:bCs/>
          <w:color w:val="2E5395"/>
        </w:rPr>
        <w:t xml:space="preserve">3.  </w:t>
      </w:r>
      <w:r>
        <w:t xml:space="preserve">The Prior Auth Service resolves the patient's payer FHIR endpoint and, in parallel, orchestrates four checks: (a) an eligibility and enrollment check, (b) a network-status check on the ordering and rendering provider, (c) a secondary Milliman/InterQual guideline check for any additional mitigating clinical guidance, and (d) a PA-required determination lookup against the policy engine for that specific procedure or service code.</w:t>
      </w:r>
    </w:p>
    <w:p>
      <w:pPr>
        <w:spacing w:after="160" w:line="276"/>
        <w:ind w:left="504" w:hanging="504"/>
        <w:jc w:val="both"/>
      </w:pPr>
      <w:r>
        <w:rPr>
          <w:b/>
          <w:bCs/>
          <w:color w:val="2E5395"/>
        </w:rPr>
        <w:t xml:space="preserve">4.  </w:t>
      </w:r>
      <w:r>
        <w:t xml:space="preserve">Results are returned as CDS Cards — a structured "Coverage Information" system action plus a human-readable card — and rendered in the app UI as a completed checklist: Patient Enrolled, Patient Eligible, Provider In-Network, No Conflicting Milliman/InterQual Guideline, and Prior Authorization Required (Yes/No), each with a pass/fail indicator.</w:t>
      </w:r>
    </w:p>
    <w:p>
      <w:pPr>
        <w:spacing w:after="160" w:line="276"/>
        <w:ind w:left="504" w:hanging="504"/>
        <w:jc w:val="both"/>
      </w:pPr>
      <w:r>
        <w:rPr>
          <w:b/>
          <w:bCs/>
          <w:color w:val="2E5395"/>
        </w:rPr>
        <w:t xml:space="preserve">5.  </w:t>
      </w:r>
      <w:r>
        <w:t xml:space="preserve">If any precondition fails, the flow stops and displays the reason with a manual-review pathway. If all preconditions pass and PA is required, the flow proceeds automatically — or via a "Proceed to DTR" action — into Part II.</w:t>
      </w:r>
    </w:p>
    <w:p>
      <w:pPr>
        <w:pStyle w:val="Heading2"/>
        <w:spacing w:after="160" w:before="360"/>
      </w:pPr>
      <w:r>
        <w:t xml:space="preserve">Part II — DTR (Documentation Templates and Rules)</w:t>
      </w:r>
    </w:p>
    <w:p>
      <w:pPr>
        <w:spacing w:after="160" w:line="276"/>
        <w:ind w:left="504" w:hanging="504"/>
        <w:jc w:val="both"/>
      </w:pPr>
      <w:r>
        <w:rPr>
          <w:b/>
          <w:bCs/>
          <w:color w:val="2E5395"/>
        </w:rPr>
        <w:t xml:space="preserve">6.  </w:t>
      </w:r>
      <w:r>
        <w:t xml:space="preserve">The app retrieves the medical necessity rules for the specific procedure via a Questionnaire Package request to the DTR Service, supporting both a real-time path (the policy has not yet been structured, and is parsed on demand by the Intelligent Policy Engine) and a pre-embedded path (the Questionnaire and CQL are already structured and stored in the FHIR server).</w:t>
      </w:r>
    </w:p>
    <w:p>
      <w:pPr>
        <w:spacing w:after="160" w:line="276"/>
        <w:ind w:left="504" w:hanging="504"/>
        <w:jc w:val="both"/>
      </w:pPr>
      <w:r>
        <w:rPr>
          <w:b/>
          <w:bCs/>
          <w:color w:val="2E5395"/>
        </w:rPr>
        <w:t xml:space="preserve">7.  </w:t>
      </w:r>
      <w:r>
        <w:t xml:space="preserve">The DTR SMART app is launched via the SMART link on the CRD card, and simultaneously fetches clinical documentation from the EMR (US Core v3 profiles) and from the payer's Patient Access API, merging both into the dedicated PA Aggregation FHIR Server with EMR/clinical data prioritized over payer-sourced data on any conflicting element.</w:t>
      </w:r>
    </w:p>
    <w:p>
      <w:pPr>
        <w:spacing w:after="160" w:line="276"/>
        <w:ind w:left="504" w:hanging="504"/>
        <w:jc w:val="both"/>
      </w:pPr>
      <w:r>
        <w:rPr>
          <w:b/>
          <w:bCs/>
          <w:color w:val="2E5395"/>
        </w:rPr>
        <w:t xml:space="preserve">8.  </w:t>
      </w:r>
      <w:r>
        <w:t xml:space="preserve">The CQL rules execute against the merged FHIR store, matching medical necessity codes — ICD-10-CM/ICD-11 diagnosis codes and CPT/HCPCS procedure codes — to the patient's aggregated history.</w:t>
      </w:r>
    </w:p>
    <w:p>
      <w:pPr>
        <w:spacing w:after="160" w:line="276"/>
        <w:ind w:left="504" w:hanging="504"/>
        <w:jc w:val="both"/>
      </w:pPr>
      <w:r>
        <w:rPr>
          <w:b/>
          <w:bCs/>
          <w:color w:val="2E5395"/>
        </w:rPr>
        <w:t xml:space="preserve">9.  </w:t>
      </w:r>
      <w:r>
        <w:t xml:space="preserve">Results render in a logical tree UI in the DTR screen. The root of the tree is the procedure or policy; branches are criteria groups (for example, a required-diagnosis group, a measurement/threshold group, and a comorbidity group, mirroring the bariatric-surgery example already present in the legacy design, which required a primary obesity diagnosis, a BMI ≥ 35 threshold, and a qualifying comorbidity); and each leaf shows a code or data point with a clear Met (green, with the matching evidence and its source citation) or Gap (flagged) status.</w:t>
      </w:r>
    </w:p>
    <w:p>
      <w:pPr>
        <w:spacing w:after="160" w:line="276"/>
        <w:ind w:left="504" w:hanging="504"/>
        <w:jc w:val="both"/>
      </w:pPr>
      <w:r>
        <w:rPr>
          <w:b/>
          <w:bCs/>
          <w:color w:val="2E5395"/>
        </w:rPr>
        <w:t xml:space="preserve">10.  </w:t>
      </w:r>
      <w:r>
        <w:t xml:space="preserve">For any Gap, the clinical user can upload supporting clinical documentation directly in the tree UI — via the CDex attachment pattern, as a PDF, C-CDA, or text document wrapped as a DocumentReference — or provide an attestation, and then re-run the match.</w:t>
      </w:r>
    </w:p>
    <w:p>
      <w:pPr>
        <w:spacing w:after="160" w:line="276"/>
        <w:ind w:left="504" w:hanging="504"/>
        <w:jc w:val="both"/>
      </w:pPr>
      <w:r>
        <w:rPr>
          <w:b/>
          <w:bCs/>
          <w:color w:val="2E5395"/>
        </w:rPr>
        <w:t xml:space="preserve">11.  </w:t>
      </w:r>
      <w:r>
        <w:t xml:space="preserve">Once all required criteria groups are satisfied, or gaps are explicitly resolved with an audited justification, the Submit action is enabled.</w:t>
      </w:r>
    </w:p>
    <w:p>
      <w:pPr>
        <w:pStyle w:val="Heading2"/>
        <w:spacing w:after="160" w:before="360"/>
      </w:pPr>
      <w:r>
        <w:t xml:space="preserve">Part III — Submission, PA Portal, Evidence, and Adjudication</w:t>
      </w:r>
    </w:p>
    <w:p>
      <w:pPr>
        <w:spacing w:after="160" w:line="276"/>
        <w:ind w:left="504" w:hanging="504"/>
        <w:jc w:val="both"/>
      </w:pPr>
      <w:r>
        <w:rPr>
          <w:b/>
          <w:bCs/>
          <w:color w:val="2E5395"/>
        </w:rPr>
        <w:t xml:space="preserve">12.  </w:t>
      </w:r>
      <w:r>
        <w:t xml:space="preserve">At submission, the app determines the channel based on the receiving payer's published capability: a FHIR PASBundle via Claim/$submit for FHIR-capable payers, or an X12 278 request plus X12 275 attachment transactions, generated by the EDI Translator, for payers still requiring the legacy channel.</w:t>
      </w:r>
    </w:p>
    <w:p>
      <w:pPr>
        <w:spacing w:after="160" w:line="276"/>
        <w:ind w:left="504" w:hanging="504"/>
        <w:jc w:val="both"/>
      </w:pPr>
      <w:r>
        <w:rPr>
          <w:b/>
          <w:bCs/>
          <w:color w:val="2E5395"/>
        </w:rPr>
        <w:t xml:space="preserve">13.  </w:t>
      </w:r>
      <w:r>
        <w:t xml:space="preserve">On successful submission, the system generates an internal PA tracking number, captures any payer-returned identifiers, and creates a PA case record with its initial status — Submitted or Pended.</w:t>
      </w:r>
    </w:p>
    <w:p>
      <w:pPr>
        <w:spacing w:after="160" w:line="276"/>
        <w:ind w:left="504" w:hanging="504"/>
        <w:jc w:val="both"/>
      </w:pPr>
      <w:r>
        <w:rPr>
          <w:b/>
          <w:bCs/>
          <w:color w:val="2E5395"/>
        </w:rPr>
        <w:t xml:space="preserve">14.  </w:t>
      </w:r>
      <w:r>
        <w:t xml:space="preserve">An Evidence Record — an immutable, timestamped PDF snapshot of the submitted PASBundle, the completed CRD checklist, and the DTR match-tree state — is generated and attached to the case for audit purposes.</w:t>
      </w:r>
    </w:p>
    <w:p>
      <w:pPr>
        <w:spacing w:after="160" w:line="276"/>
        <w:ind w:left="504" w:hanging="504"/>
        <w:jc w:val="both"/>
      </w:pPr>
      <w:r>
        <w:rPr>
          <w:b/>
          <w:bCs/>
          <w:color w:val="2E5395"/>
        </w:rPr>
        <w:t xml:space="preserve">15.  </w:t>
      </w:r>
      <w:r>
        <w:t xml:space="preserve">The PA Portal, an evolution of the existing Authorizations screen, lists every case with status tabs — adding Pended and Modified to the existing Submitted/Approved/Partially Approved/Denied/Pending vocabulary — and a detail view showing the full history: the Part I checklist, the Part II DTR match-tree snapshot, the submission payload type, the Evidence Record download, and the adjudication timeline.</w:t>
      </w:r>
    </w:p>
    <w:p>
      <w:pPr>
        <w:spacing w:after="160" w:line="276"/>
        <w:ind w:left="504" w:hanging="504"/>
        <w:jc w:val="both"/>
      </w:pPr>
      <w:r>
        <w:rPr>
          <w:b/>
          <w:bCs/>
          <w:color w:val="2E5395"/>
        </w:rPr>
        <w:t xml:space="preserve">16.  </w:t>
      </w:r>
      <w:r>
        <w:t xml:space="preserve">Status updates from the payer are received via FHIR Subscription (rest-hook) for pended cases, with Claim/$inquiry available as a manual polling fallback. Incoming ClaimResponse resources are mapped from their reviewAction codes — Approved, Denied, Partially Approved/Modified, Pended — into the Portal's status vocabulary.</w:t>
      </w:r>
    </w:p>
    <w:p>
      <w:pPr>
        <w:spacing w:after="160" w:line="276"/>
        <w:ind w:left="504" w:hanging="504"/>
        <w:jc w:val="both"/>
      </w:pPr>
      <w:r>
        <w:rPr>
          <w:b/>
          <w:bCs/>
          <w:color w:val="2E5395"/>
        </w:rPr>
        <w:t xml:space="preserve">17.  </w:t>
      </w:r>
      <w:r>
        <w:t xml:space="preserve">Because denied PAS requests cannot be updated and a new request must be submitted instead, the Portal distinguishes a "Resubmit as New Request" action from the "Update/Cancel" actions available on pended requests.</w:t>
      </w:r>
    </w:p>
    <w:p>
      <w:pPr>
        <w:pStyle w:val="Heading1"/>
        <w:pageBreakBefore/>
        <w:spacing w:after="240" w:before="480"/>
      </w:pPr>
      <w:r>
        <w:t xml:space="preserve">5. Automation &amp; Manual-Review Reduction</w:t>
      </w:r>
    </w:p>
    <w:p>
      <w:pPr>
        <w:spacing w:after="200" w:line="276"/>
        <w:jc w:val="both"/>
      </w:pPr>
      <w:r>
        <w:t xml:space="preserve">A central design goal of this modernization is to shift the PA workflow from manual, staff-driven steps to automated, standards-based interactions wherever the underlying data and payer capabilities allow it. The table below contrasts the legacy manual approach at each key decision point with the automated approach in the new design.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4000"/>
      </w:tblGrid>
      <w:tr>
        <w:trPr>
          <w:tblHeader/>
        </w:trPr>
        <w:tc>
          <w:tcPr>
            <w:tcW w:type="dxa" w:w="2200"/>
            <w:shd w:fill="1F3864" w:color="auto" w:val="clear"/>
            <w:tcMar>
              <w:top w:type="dxa" w:w="80"/>
              <w:left w:type="dxa" w:w="100"/>
              <w:bottom w:type="dxa" w:w="80"/>
              <w:right w:type="dxa" w:w="100"/>
            </w:tcMar>
            <w:vAlign w:val="center"/>
          </w:tcPr>
          <w:p>
            <w:pPr>
              <w:spacing w:after="60"/>
            </w:pPr>
            <w:r>
              <w:rPr>
                <w:b/>
                <w:bCs/>
                <w:color w:val="FFFFFF"/>
                <w:sz w:val="20"/>
                <w:szCs w:val="20"/>
              </w:rPr>
              <w:t xml:space="preserve">Decision Point</w:t>
            </w:r>
          </w:p>
        </w:tc>
        <w:tc>
          <w:tcPr>
            <w:tcW w:type="dxa" w:w="3500"/>
            <w:shd w:fill="1F3864" w:color="auto" w:val="clear"/>
            <w:tcMar>
              <w:top w:type="dxa" w:w="80"/>
              <w:left w:type="dxa" w:w="100"/>
              <w:bottom w:type="dxa" w:w="80"/>
              <w:right w:type="dxa" w:w="100"/>
            </w:tcMar>
            <w:vAlign w:val="center"/>
          </w:tcPr>
          <w:p>
            <w:pPr>
              <w:spacing w:after="60"/>
            </w:pPr>
            <w:r>
              <w:rPr>
                <w:b/>
                <w:bCs/>
                <w:color w:val="FFFFFF"/>
                <w:sz w:val="20"/>
                <w:szCs w:val="20"/>
              </w:rPr>
              <w:t xml:space="preserve">Legacy / Manual Approach</w:t>
            </w:r>
          </w:p>
        </w:tc>
        <w:tc>
          <w:tcPr>
            <w:tcW w:type="dxa" w:w="4000"/>
            <w:shd w:fill="1F3864" w:color="auto" w:val="clear"/>
            <w:tcMar>
              <w:top w:type="dxa" w:w="80"/>
              <w:left w:type="dxa" w:w="100"/>
              <w:bottom w:type="dxa" w:w="80"/>
              <w:right w:type="dxa" w:w="100"/>
            </w:tcMar>
            <w:vAlign w:val="center"/>
          </w:tcPr>
          <w:p>
            <w:pPr>
              <w:spacing w:after="60"/>
            </w:pPr>
            <w:r>
              <w:rPr>
                <w:b/>
                <w:bCs/>
                <w:color w:val="FFFFFF"/>
                <w:sz w:val="20"/>
                <w:szCs w:val="20"/>
              </w:rPr>
              <w:t xml:space="preserve">Automated Approach in New Design</w:t>
            </w:r>
          </w:p>
        </w:tc>
      </w:tr>
      <w:tr>
        <w:tc>
          <w:tcPr>
            <w:tcW w:type="dxa" w:w="2200"/>
            <w:tcMar>
              <w:top w:type="dxa" w:w="80"/>
              <w:left w:type="dxa" w:w="100"/>
              <w:bottom w:type="dxa" w:w="80"/>
              <w:right w:type="dxa" w:w="100"/>
            </w:tcMar>
            <w:vAlign w:val="center"/>
          </w:tcPr>
          <w:p>
            <w:pPr>
              <w:spacing w:after="60"/>
            </w:pPr>
            <w:r>
              <w:rPr>
                <w:b w:val="false"/>
                <w:bCs w:val="false"/>
                <w:color w:val="000000"/>
                <w:sz w:val="20"/>
                <w:szCs w:val="20"/>
              </w:rPr>
              <w:t xml:space="preserve">Policy lookup</w:t>
            </w:r>
          </w:p>
        </w:tc>
        <w:tc>
          <w:tcPr>
            <w:tcW w:type="dxa" w:w="3500"/>
            <w:tcMar>
              <w:top w:type="dxa" w:w="80"/>
              <w:left w:type="dxa" w:w="100"/>
              <w:bottom w:type="dxa" w:w="80"/>
              <w:right w:type="dxa" w:w="100"/>
            </w:tcMar>
            <w:vAlign w:val="center"/>
          </w:tcPr>
          <w:p>
            <w:pPr>
              <w:spacing w:after="60"/>
            </w:pPr>
            <w:r>
              <w:rPr>
                <w:b w:val="false"/>
                <w:bCs w:val="false"/>
                <w:color w:val="000000"/>
                <w:sz w:val="20"/>
                <w:szCs w:val="20"/>
              </w:rPr>
              <w:t xml:space="preserve">Manual chart review against payer policy documents.</w:t>
            </w:r>
          </w:p>
        </w:tc>
        <w:tc>
          <w:tcPr>
            <w:tcW w:type="dxa" w:w="4000"/>
            <w:tcMar>
              <w:top w:type="dxa" w:w="80"/>
              <w:left w:type="dxa" w:w="100"/>
              <w:bottom w:type="dxa" w:w="80"/>
              <w:right w:type="dxa" w:w="100"/>
            </w:tcMar>
            <w:vAlign w:val="center"/>
          </w:tcPr>
          <w:p>
            <w:pPr>
              <w:spacing w:after="60"/>
            </w:pPr>
            <w:r>
              <w:rPr>
                <w:b w:val="false"/>
                <w:bCs w:val="false"/>
                <w:color w:val="000000"/>
                <w:sz w:val="20"/>
                <w:szCs w:val="20"/>
              </w:rPr>
              <w:t xml:space="preserve">AI-parsed structured policy (Intelligent Policy Engine) combined with executable CQL rules.</w:t>
            </w:r>
          </w:p>
        </w:tc>
      </w:tr>
      <w:tr>
        <w:tc>
          <w:tcPr>
            <w:tcW w:type="dxa" w:w="2200"/>
            <w:shd w:fill="F2F2F2" w:color="auto" w:val="clear"/>
            <w:tcMar>
              <w:top w:type="dxa" w:w="80"/>
              <w:left w:type="dxa" w:w="100"/>
              <w:bottom w:type="dxa" w:w="80"/>
              <w:right w:type="dxa" w:w="100"/>
            </w:tcMar>
            <w:vAlign w:val="center"/>
          </w:tcPr>
          <w:p>
            <w:pPr>
              <w:spacing w:after="60"/>
            </w:pPr>
            <w:r>
              <w:rPr>
                <w:b w:val="false"/>
                <w:bCs w:val="false"/>
                <w:color w:val="000000"/>
                <w:sz w:val="20"/>
                <w:szCs w:val="20"/>
              </w:rPr>
              <w:t xml:space="preserve">Eligibility / network checks</w:t>
            </w:r>
          </w:p>
        </w:tc>
        <w:tc>
          <w:tcPr>
            <w:tcW w:type="dxa" w:w="3500"/>
            <w:shd w:fill="F2F2F2" w:color="auto" w:val="clear"/>
            <w:tcMar>
              <w:top w:type="dxa" w:w="80"/>
              <w:left w:type="dxa" w:w="100"/>
              <w:bottom w:type="dxa" w:w="80"/>
              <w:right w:type="dxa" w:w="100"/>
            </w:tcMar>
            <w:vAlign w:val="center"/>
          </w:tcPr>
          <w:p>
            <w:pPr>
              <w:spacing w:after="60"/>
            </w:pPr>
            <w:r>
              <w:rPr>
                <w:b w:val="false"/>
                <w:bCs w:val="false"/>
                <w:color w:val="000000"/>
                <w:sz w:val="20"/>
                <w:szCs w:val="20"/>
              </w:rPr>
              <w:t xml:space="preserve">Phone or payer-portal lookups performed by staff.</w:t>
            </w:r>
          </w:p>
        </w:tc>
        <w:tc>
          <w:tcPr>
            <w:tcW w:type="dxa" w:w="4000"/>
            <w:shd w:fill="F2F2F2" w:color="auto" w:val="clear"/>
            <w:tcMar>
              <w:top w:type="dxa" w:w="80"/>
              <w:left w:type="dxa" w:w="100"/>
              <w:bottom w:type="dxa" w:w="80"/>
              <w:right w:type="dxa" w:w="100"/>
            </w:tcMar>
            <w:vAlign w:val="center"/>
          </w:tcPr>
          <w:p>
            <w:pPr>
              <w:spacing w:after="60"/>
            </w:pPr>
            <w:r>
              <w:rPr>
                <w:b w:val="false"/>
                <w:bCs w:val="false"/>
                <w:color w:val="000000"/>
                <w:sz w:val="20"/>
                <w:szCs w:val="20"/>
              </w:rPr>
              <w:t xml:space="preserve">Automated CRD and eligibility API calls executed in real time as part of the CDS Hook response.</w:t>
            </w:r>
          </w:p>
        </w:tc>
      </w:tr>
      <w:tr>
        <w:tc>
          <w:tcPr>
            <w:tcW w:type="dxa" w:w="2200"/>
            <w:tcMar>
              <w:top w:type="dxa" w:w="80"/>
              <w:left w:type="dxa" w:w="100"/>
              <w:bottom w:type="dxa" w:w="80"/>
              <w:right w:type="dxa" w:w="100"/>
            </w:tcMar>
            <w:vAlign w:val="center"/>
          </w:tcPr>
          <w:p>
            <w:pPr>
              <w:spacing w:after="60"/>
            </w:pPr>
            <w:r>
              <w:rPr>
                <w:b w:val="false"/>
                <w:bCs w:val="false"/>
                <w:color w:val="000000"/>
                <w:sz w:val="20"/>
                <w:szCs w:val="20"/>
              </w:rPr>
              <w:t xml:space="preserve">Medical necessity matching</w:t>
            </w:r>
          </w:p>
        </w:tc>
        <w:tc>
          <w:tcPr>
            <w:tcW w:type="dxa" w:w="3500"/>
            <w:tcMar>
              <w:top w:type="dxa" w:w="80"/>
              <w:left w:type="dxa" w:w="100"/>
              <w:bottom w:type="dxa" w:w="80"/>
              <w:right w:type="dxa" w:w="100"/>
            </w:tcMar>
            <w:vAlign w:val="center"/>
          </w:tcPr>
          <w:p>
            <w:pPr>
              <w:spacing w:after="60"/>
            </w:pPr>
            <w:r>
              <w:rPr>
                <w:b w:val="false"/>
                <w:bCs w:val="false"/>
                <w:color w:val="000000"/>
                <w:sz w:val="20"/>
                <w:szCs w:val="20"/>
              </w:rPr>
              <w:t xml:space="preserve">Manual chart abstraction by clinical staff.</w:t>
            </w:r>
          </w:p>
        </w:tc>
        <w:tc>
          <w:tcPr>
            <w:tcW w:type="dxa" w:w="4000"/>
            <w:tcMar>
              <w:top w:type="dxa" w:w="80"/>
              <w:left w:type="dxa" w:w="100"/>
              <w:bottom w:type="dxa" w:w="80"/>
              <w:right w:type="dxa" w:w="100"/>
            </w:tcMar>
            <w:vAlign w:val="center"/>
          </w:tcPr>
          <w:p>
            <w:pPr>
              <w:spacing w:after="60"/>
            </w:pPr>
            <w:r>
              <w:rPr>
                <w:b w:val="false"/>
                <w:bCs w:val="false"/>
                <w:color w:val="000000"/>
                <w:sz w:val="20"/>
                <w:szCs w:val="20"/>
              </w:rPr>
              <w:t xml:space="preserve">Automated CQL match executed against aggregated FHIR data from the EMR and payer Patient Access API.</w:t>
            </w:r>
          </w:p>
        </w:tc>
      </w:tr>
      <w:tr>
        <w:tc>
          <w:tcPr>
            <w:tcW w:type="dxa" w:w="2200"/>
            <w:shd w:fill="F2F2F2" w:color="auto" w:val="clear"/>
            <w:tcMar>
              <w:top w:type="dxa" w:w="80"/>
              <w:left w:type="dxa" w:w="100"/>
              <w:bottom w:type="dxa" w:w="80"/>
              <w:right w:type="dxa" w:w="100"/>
            </w:tcMar>
            <w:vAlign w:val="center"/>
          </w:tcPr>
          <w:p>
            <w:pPr>
              <w:spacing w:after="60"/>
            </w:pPr>
            <w:r>
              <w:rPr>
                <w:b w:val="false"/>
                <w:bCs w:val="false"/>
                <w:color w:val="000000"/>
                <w:sz w:val="20"/>
                <w:szCs w:val="20"/>
              </w:rPr>
              <w:t xml:space="preserve">Channel selection</w:t>
            </w:r>
          </w:p>
        </w:tc>
        <w:tc>
          <w:tcPr>
            <w:tcW w:type="dxa" w:w="3500"/>
            <w:shd w:fill="F2F2F2" w:color="auto" w:val="clear"/>
            <w:tcMar>
              <w:top w:type="dxa" w:w="80"/>
              <w:left w:type="dxa" w:w="100"/>
              <w:bottom w:type="dxa" w:w="80"/>
              <w:right w:type="dxa" w:w="100"/>
            </w:tcMar>
            <w:vAlign w:val="center"/>
          </w:tcPr>
          <w:p>
            <w:pPr>
              <w:spacing w:after="60"/>
            </w:pPr>
            <w:r>
              <w:rPr>
                <w:b w:val="false"/>
                <w:bCs w:val="false"/>
                <w:color w:val="000000"/>
                <w:sz w:val="20"/>
                <w:szCs w:val="20"/>
              </w:rPr>
              <w:t xml:space="preserve">Manual, payer-specific process knowledge held by staff.</w:t>
            </w:r>
          </w:p>
        </w:tc>
        <w:tc>
          <w:tcPr>
            <w:tcW w:type="dxa" w:w="4000"/>
            <w:shd w:fill="F2F2F2" w:color="auto" w:val="clear"/>
            <w:tcMar>
              <w:top w:type="dxa" w:w="80"/>
              <w:left w:type="dxa" w:w="100"/>
              <w:bottom w:type="dxa" w:w="80"/>
              <w:right w:type="dxa" w:w="100"/>
            </w:tcMar>
            <w:vAlign w:val="center"/>
          </w:tcPr>
          <w:p>
            <w:pPr>
              <w:spacing w:after="60"/>
            </w:pPr>
            <w:r>
              <w:rPr>
                <w:b w:val="false"/>
                <w:bCs w:val="false"/>
                <w:color w:val="000000"/>
                <w:sz w:val="20"/>
                <w:szCs w:val="20"/>
              </w:rPr>
              <w:t xml:space="preserve">Automated, capability-driven routing between FHIR PASBundle submission and EDI 275/278.</w:t>
            </w:r>
          </w:p>
        </w:tc>
      </w:tr>
      <w:tr>
        <w:tc>
          <w:tcPr>
            <w:tcW w:type="dxa" w:w="2200"/>
            <w:tcMar>
              <w:top w:type="dxa" w:w="80"/>
              <w:left w:type="dxa" w:w="100"/>
              <w:bottom w:type="dxa" w:w="80"/>
              <w:right w:type="dxa" w:w="100"/>
            </w:tcMar>
            <w:vAlign w:val="center"/>
          </w:tcPr>
          <w:p>
            <w:pPr>
              <w:spacing w:after="60"/>
            </w:pPr>
            <w:r>
              <w:rPr>
                <w:b w:val="false"/>
                <w:bCs w:val="false"/>
                <w:color w:val="000000"/>
                <w:sz w:val="20"/>
                <w:szCs w:val="20"/>
              </w:rPr>
              <w:t xml:space="preserve">Status tracking</w:t>
            </w:r>
          </w:p>
        </w:tc>
        <w:tc>
          <w:tcPr>
            <w:tcW w:type="dxa" w:w="3500"/>
            <w:tcMar>
              <w:top w:type="dxa" w:w="80"/>
              <w:left w:type="dxa" w:w="100"/>
              <w:bottom w:type="dxa" w:w="80"/>
              <w:right w:type="dxa" w:w="100"/>
            </w:tcMar>
            <w:vAlign w:val="center"/>
          </w:tcPr>
          <w:p>
            <w:pPr>
              <w:spacing w:after="60"/>
            </w:pPr>
            <w:r>
              <w:rPr>
                <w:b w:val="false"/>
                <w:bCs w:val="false"/>
                <w:color w:val="000000"/>
                <w:sz w:val="20"/>
                <w:szCs w:val="20"/>
              </w:rPr>
              <w:t xml:space="preserve">Manual portal polling by staff.</w:t>
            </w:r>
          </w:p>
        </w:tc>
        <w:tc>
          <w:tcPr>
            <w:tcW w:type="dxa" w:w="4000"/>
            <w:tcMar>
              <w:top w:type="dxa" w:w="80"/>
              <w:left w:type="dxa" w:w="100"/>
              <w:bottom w:type="dxa" w:w="80"/>
              <w:right w:type="dxa" w:w="100"/>
            </w:tcMar>
            <w:vAlign w:val="center"/>
          </w:tcPr>
          <w:p>
            <w:pPr>
              <w:spacing w:after="60"/>
            </w:pPr>
            <w:r>
              <w:rPr>
                <w:b w:val="false"/>
                <w:bCs w:val="false"/>
                <w:color w:val="000000"/>
                <w:sz w:val="20"/>
                <w:szCs w:val="20"/>
              </w:rPr>
              <w:t xml:space="preserve">Subscription-based push updates (FHIR Subscription rest-hook), with Claim/$inquiry as fallback.</w:t>
            </w:r>
          </w:p>
        </w:tc>
      </w:tr>
    </w:tbl>
    <w:p>
      <w:pPr>
        <w:spacing w:after="200" w:line="276"/>
        <w:jc w:val="both"/>
      </w:pPr>
      <w:r>
        <w:t xml:space="preserve">Even in the fully automated target state, true manual review is retained — deliberately — for two categories of cases only. First, genuine documentation gaps, where a DTR criterion cannot be satisfied from structured data already available in the EMR or payer record and new supporting evidence must be uploaded. Second, low-confidence matches: specifically, matches derived from unstructured clinical notes via NLP/AI extraction should be flagged for clinician confirmation before they are treated as satisfying a criterion, while deterministic matches against structured, coded EMR or payer data can proceed automatically without human review.</w:t>
      </w:r>
    </w:p>
    <w:p>
      <w:pPr>
        <w:pStyle w:val="Heading1"/>
        <w:pageBreakBefore/>
        <w:spacing w:after="240" w:before="480"/>
      </w:pPr>
      <w:r>
        <w:t xml:space="preserve">6. New / Updated Screens</w:t>
      </w:r>
    </w:p>
    <w:p>
      <w:pPr>
        <w:spacing w:after="200" w:line="276"/>
        <w:jc w:val="both"/>
      </w:pPr>
      <w:r>
        <w:t xml:space="preserve">The target experience is delivered across eight screens, summarized briefly below; a separate interactive prototype will deliver a fuller treatment of each.</w:t>
      </w:r>
    </w:p>
    <w:p>
      <w:pPr>
        <w:spacing w:after="200" w:line="276"/>
        <w:ind w:left="360" w:hanging="360"/>
        <w:jc w:val="both"/>
      </w:pPr>
      <w:r>
        <w:rPr>
          <w:b/>
          <w:bCs/>
        </w:rPr>
        <w:t xml:space="preserve">1. Order &amp; CRD Trigger Panel — </w:t>
      </w:r>
      <w:r>
        <w:t xml:space="preserve">Embedded directly in the EMR order workflow, this panel surfaces the CRD check as the provider places an imaging, lab, or procedure order, giving an early signal from order-select and confirming the authoritative result at order-sign without leaving the ordering context.</w:t>
      </w:r>
    </w:p>
    <w:p>
      <w:pPr>
        <w:spacing w:after="200" w:line="276"/>
        <w:ind w:left="360" w:hanging="360"/>
        <w:jc w:val="both"/>
      </w:pPr>
      <w:r>
        <w:rPr>
          <w:b/>
          <w:bCs/>
        </w:rPr>
        <w:t xml:space="preserve">2. CRD Checklist / Coverage Determination Results — </w:t>
      </w:r>
      <w:r>
        <w:t xml:space="preserve">Displays the completed Part I checklist — Patient Enrolled, Patient Eligible, Provider In-Network, No Conflicting Milliman/InterQual Guideline, and Prior Authorization Required — each with a clear pass/fail indicator and a path into DTR when PA is required.</w:t>
      </w:r>
    </w:p>
    <w:p>
      <w:pPr>
        <w:spacing w:after="200" w:line="276"/>
        <w:ind w:left="360" w:hanging="360"/>
        <w:jc w:val="both"/>
      </w:pPr>
      <w:r>
        <w:rPr>
          <w:b/>
          <w:bCs/>
        </w:rPr>
        <w:t xml:space="preserve">3. DTR Medical Necessity Tree — </w:t>
      </w:r>
      <w:r>
        <w:t xml:space="preserve">Renders the criteria tree returned by the Matching Engine, with Met and Gap status per leaf and evidence citations, and lets the clinical user upload supporting documentation directly against any gap before re-running the match.</w:t>
      </w:r>
    </w:p>
    <w:p>
      <w:pPr>
        <w:spacing w:after="200" w:line="276"/>
        <w:ind w:left="360" w:hanging="360"/>
        <w:jc w:val="both"/>
      </w:pPr>
      <w:r>
        <w:rPr>
          <w:b/>
          <w:bCs/>
        </w:rPr>
        <w:t xml:space="preserve">4. Review &amp; Submit — </w:t>
      </w:r>
      <w:r>
        <w:t xml:space="preserve">A final review screen that presents the assembled submission package and lets the system (or, where applicable, the user) confirm the FHIR-PAS-versus-EDI-275/278 channel selection before the request is sent to the payer.</w:t>
      </w:r>
    </w:p>
    <w:p>
      <w:pPr>
        <w:spacing w:after="200" w:line="276"/>
        <w:ind w:left="360" w:hanging="360"/>
        <w:jc w:val="both"/>
      </w:pPr>
      <w:r>
        <w:rPr>
          <w:b/>
          <w:bCs/>
        </w:rPr>
        <w:t xml:space="preserve">5. PA Portal Case List — </w:t>
      </w:r>
      <w:r>
        <w:t xml:space="preserve">The evolved Authorizations screen, listing every PA case with the expanded status vocabulary — Submitted, Pended, Approved, Partially Approved/Modified, Denied, and Pending — and quick access into each case's detail view.</w:t>
      </w:r>
    </w:p>
    <w:p>
      <w:pPr>
        <w:spacing w:after="200" w:line="276"/>
        <w:ind w:left="360" w:hanging="360"/>
        <w:jc w:val="both"/>
      </w:pPr>
      <w:r>
        <w:rPr>
          <w:b/>
          <w:bCs/>
        </w:rPr>
        <w:t xml:space="preserve">6. PA Case Detail / Timeline — </w:t>
      </w:r>
      <w:r>
        <w:t xml:space="preserve">Combines the case's full history in one place: the Part I checklist, the Part II DTR snapshot, submission information, the Evidence Record, and the adjudication timeline, so the full lifecycle of a case is reviewable from a single screen.</w:t>
      </w:r>
    </w:p>
    <w:p>
      <w:pPr>
        <w:spacing w:after="200" w:line="276"/>
        <w:ind w:left="360" w:hanging="360"/>
        <w:jc w:val="both"/>
      </w:pPr>
      <w:r>
        <w:rPr>
          <w:b/>
          <w:bCs/>
        </w:rPr>
        <w:t xml:space="preserve">7. Evidence Record — </w:t>
      </w:r>
      <w:r>
        <w:t xml:space="preserve">The generated, immutable PDF artifact capturing the submitted PASBundle, the CRD checklist, and the DTR match-tree state at the moment of submission, available for download from the case detail screen.</w:t>
      </w:r>
    </w:p>
    <w:p>
      <w:pPr>
        <w:spacing w:after="200" w:line="276"/>
        <w:ind w:left="360" w:hanging="360"/>
        <w:jc w:val="both"/>
      </w:pPr>
      <w:r>
        <w:rPr>
          <w:b/>
          <w:bCs/>
        </w:rPr>
        <w:t xml:space="preserve">8. Back-Office Batch Worklist — </w:t>
      </w:r>
      <w:r>
        <w:t xml:space="preserve">A queue-style screen for staff-driven, non-real-time resolution of orders that could not be fully automated at the point of care, supporting the back-office/batch resolution mode described in section 1.</w:t>
      </w:r>
    </w:p>
    <w:p>
      <w:pPr>
        <w:pStyle w:val="Heading1"/>
        <w:pageBreakBefore/>
        <w:spacing w:after="240" w:before="480"/>
      </w:pPr>
      <w:r>
        <w:t xml:space="preserve">7. FHIR Resources &amp; Standards Reference</w:t>
      </w:r>
    </w:p>
    <w:p>
      <w:pPr>
        <w:spacing w:after="200" w:line="276"/>
        <w:jc w:val="both"/>
      </w:pPr>
      <w:r>
        <w:t xml:space="preserve">The table below consolidates the FHIR resources, operations, and standards referenced throughout this plan, organized by the architectural layer in which each applies.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500"/>
      </w:tblGrid>
      <w:tr>
        <w:trPr>
          <w:tblHeader/>
        </w:trPr>
        <w:tc>
          <w:tcPr>
            <w:tcW w:type="dxa" w:w="1800"/>
            <w:shd w:fill="1F3864" w:color="auto" w:val="clear"/>
            <w:tcMar>
              <w:top w:type="dxa" w:w="80"/>
              <w:left w:type="dxa" w:w="100"/>
              <w:bottom w:type="dxa" w:w="80"/>
              <w:right w:type="dxa" w:w="100"/>
            </w:tcMar>
            <w:vAlign w:val="center"/>
          </w:tcPr>
          <w:p>
            <w:pPr>
              <w:spacing w:after="60"/>
            </w:pPr>
            <w:r>
              <w:rPr>
                <w:b/>
                <w:bCs/>
                <w:color w:val="FFFFFF"/>
                <w:sz w:val="20"/>
                <w:szCs w:val="20"/>
              </w:rPr>
              <w:t xml:space="preserve">Layer</w:t>
            </w:r>
          </w:p>
        </w:tc>
        <w:tc>
          <w:tcPr>
            <w:tcW w:type="dxa" w:w="3400"/>
            <w:shd w:fill="1F3864" w:color="auto" w:val="clear"/>
            <w:tcMar>
              <w:top w:type="dxa" w:w="80"/>
              <w:left w:type="dxa" w:w="100"/>
              <w:bottom w:type="dxa" w:w="80"/>
              <w:right w:type="dxa" w:w="100"/>
            </w:tcMar>
            <w:vAlign w:val="center"/>
          </w:tcPr>
          <w:p>
            <w:pPr>
              <w:spacing w:after="60"/>
            </w:pPr>
            <w:r>
              <w:rPr>
                <w:b/>
                <w:bCs/>
                <w:color w:val="FFFFFF"/>
                <w:sz w:val="20"/>
                <w:szCs w:val="20"/>
              </w:rPr>
              <w:t xml:space="preserve">Standard / Operation</w:t>
            </w:r>
          </w:p>
        </w:tc>
        <w:tc>
          <w:tcPr>
            <w:tcW w:type="dxa" w:w="4500"/>
            <w:shd w:fill="1F3864" w:color="auto" w:val="clear"/>
            <w:tcMar>
              <w:top w:type="dxa" w:w="80"/>
              <w:left w:type="dxa" w:w="100"/>
              <w:bottom w:type="dxa" w:w="80"/>
              <w:right w:type="dxa" w:w="100"/>
            </w:tcMar>
            <w:vAlign w:val="center"/>
          </w:tcPr>
          <w:p>
            <w:pPr>
              <w:spacing w:after="60"/>
            </w:pPr>
            <w:r>
              <w:rPr>
                <w:b/>
                <w:bCs/>
                <w:color w:val="FFFFFF"/>
                <w:sz w:val="20"/>
                <w:szCs w:val="20"/>
              </w:rPr>
              <w:t xml:space="preserve">Key Resources</w:t>
            </w:r>
          </w:p>
        </w:tc>
      </w:tr>
      <w:tr>
        <w:tc>
          <w:tcPr>
            <w:tcW w:type="dxa" w:w="1800"/>
            <w:tcMar>
              <w:top w:type="dxa" w:w="80"/>
              <w:left w:type="dxa" w:w="100"/>
              <w:bottom w:type="dxa" w:w="80"/>
              <w:right w:type="dxa" w:w="100"/>
            </w:tcMar>
            <w:vAlign w:val="center"/>
          </w:tcPr>
          <w:p>
            <w:pPr>
              <w:spacing w:after="60"/>
            </w:pPr>
            <w:r>
              <w:rPr>
                <w:b w:val="false"/>
                <w:bCs w:val="false"/>
                <w:color w:val="000000"/>
                <w:sz w:val="20"/>
                <w:szCs w:val="20"/>
              </w:rPr>
              <w:t xml:space="preserve">CDS Hooks</w:t>
            </w:r>
          </w:p>
        </w:tc>
        <w:tc>
          <w:tcPr>
            <w:tcW w:type="dxa" w:w="3400"/>
            <w:tcMar>
              <w:top w:type="dxa" w:w="80"/>
              <w:left w:type="dxa" w:w="100"/>
              <w:bottom w:type="dxa" w:w="80"/>
              <w:right w:type="dxa" w:w="100"/>
            </w:tcMar>
            <w:vAlign w:val="center"/>
          </w:tcPr>
          <w:p>
            <w:pPr>
              <w:spacing w:after="60"/>
            </w:pPr>
            <w:r>
              <w:rPr>
                <w:b w:val="false"/>
                <w:bCs w:val="false"/>
                <w:color w:val="000000"/>
                <w:sz w:val="20"/>
                <w:szCs w:val="20"/>
              </w:rPr>
              <w:t xml:space="preserve">order-select and order-sign hooks; Coverage Information system action; SMART-link card suggestions</w:t>
            </w:r>
          </w:p>
        </w:tc>
        <w:tc>
          <w:tcPr>
            <w:tcW w:type="dxa" w:w="4500"/>
            <w:tcMar>
              <w:top w:type="dxa" w:w="80"/>
              <w:left w:type="dxa" w:w="100"/>
              <w:bottom w:type="dxa" w:w="80"/>
              <w:right w:type="dxa" w:w="100"/>
            </w:tcMar>
            <w:vAlign w:val="center"/>
          </w:tcPr>
          <w:p>
            <w:pPr>
              <w:spacing w:after="60"/>
            </w:pPr>
            <w:r>
              <w:rPr>
                <w:b w:val="false"/>
                <w:bCs w:val="false"/>
                <w:color w:val="000000"/>
                <w:sz w:val="20"/>
                <w:szCs w:val="20"/>
              </w:rPr>
              <w:t xml:space="preserve">CDS Hooks 2.0 cards and system actions</w:t>
            </w:r>
          </w:p>
        </w:tc>
      </w:tr>
      <w:tr>
        <w:tc>
          <w:tcPr>
            <w:tcW w:type="dxa" w:w="1800"/>
            <w:shd w:fill="F2F2F2" w:color="auto" w:val="clear"/>
            <w:tcMar>
              <w:top w:type="dxa" w:w="80"/>
              <w:left w:type="dxa" w:w="100"/>
              <w:bottom w:type="dxa" w:w="80"/>
              <w:right w:type="dxa" w:w="100"/>
            </w:tcMar>
            <w:vAlign w:val="center"/>
          </w:tcPr>
          <w:p>
            <w:pPr>
              <w:spacing w:after="60"/>
            </w:pPr>
            <w:r>
              <w:rPr>
                <w:b w:val="false"/>
                <w:bCs w:val="false"/>
                <w:color w:val="000000"/>
                <w:sz w:val="20"/>
                <w:szCs w:val="20"/>
              </w:rPr>
              <w:t xml:space="preserve">DTR</w:t>
            </w:r>
          </w:p>
        </w:tc>
        <w:tc>
          <w:tcPr>
            <w:tcW w:type="dxa" w:w="3400"/>
            <w:shd w:fill="F2F2F2" w:color="auto" w:val="clear"/>
            <w:tcMar>
              <w:top w:type="dxa" w:w="80"/>
              <w:left w:type="dxa" w:w="100"/>
              <w:bottom w:type="dxa" w:w="80"/>
              <w:right w:type="dxa" w:w="100"/>
            </w:tcMar>
            <w:vAlign w:val="center"/>
          </w:tcPr>
          <w:p>
            <w:pPr>
              <w:spacing w:after="60"/>
            </w:pPr>
            <w:r>
              <w:rPr>
                <w:b w:val="false"/>
                <w:bCs w:val="false"/>
                <w:color w:val="000000"/>
                <w:sz w:val="20"/>
                <w:szCs w:val="20"/>
              </w:rPr>
              <w:t xml:space="preserve">SMART App Launch 2.0; Questionnaire Package operation; embedded CQL</w:t>
            </w:r>
          </w:p>
        </w:tc>
        <w:tc>
          <w:tcPr>
            <w:tcW w:type="dxa" w:w="4500"/>
            <w:shd w:fill="F2F2F2" w:color="auto" w:val="clear"/>
            <w:tcMar>
              <w:top w:type="dxa" w:w="80"/>
              <w:left w:type="dxa" w:w="100"/>
              <w:bottom w:type="dxa" w:w="80"/>
              <w:right w:type="dxa" w:w="100"/>
            </w:tcMar>
            <w:vAlign w:val="center"/>
          </w:tcPr>
          <w:p>
            <w:pPr>
              <w:spacing w:after="60"/>
            </w:pPr>
            <w:r>
              <w:rPr>
                <w:b w:val="false"/>
                <w:bCs w:val="false"/>
                <w:color w:val="000000"/>
                <w:sz w:val="20"/>
                <w:szCs w:val="20"/>
              </w:rPr>
              <w:t xml:space="preserve">Questionnaire, QuestionnaireResponse, US Core Patient/Condition/Observation/MedicationRequest/DiagnosticReport, Da Vinci PDex Patient Access resources</w:t>
            </w:r>
          </w:p>
        </w:tc>
      </w:tr>
      <w:tr>
        <w:tc>
          <w:tcPr>
            <w:tcW w:type="dxa" w:w="1800"/>
            <w:tcMar>
              <w:top w:type="dxa" w:w="80"/>
              <w:left w:type="dxa" w:w="100"/>
              <w:bottom w:type="dxa" w:w="80"/>
              <w:right w:type="dxa" w:w="100"/>
            </w:tcMar>
            <w:vAlign w:val="center"/>
          </w:tcPr>
          <w:p>
            <w:pPr>
              <w:spacing w:after="60"/>
            </w:pPr>
            <w:r>
              <w:rPr>
                <w:b w:val="false"/>
                <w:bCs w:val="false"/>
                <w:color w:val="000000"/>
                <w:sz w:val="20"/>
                <w:szCs w:val="20"/>
              </w:rPr>
              <w:t xml:space="preserve">PAS</w:t>
            </w:r>
          </w:p>
        </w:tc>
        <w:tc>
          <w:tcPr>
            <w:tcW w:type="dxa" w:w="3400"/>
            <w:tcMar>
              <w:top w:type="dxa" w:w="80"/>
              <w:left w:type="dxa" w:w="100"/>
              <w:bottom w:type="dxa" w:w="80"/>
              <w:right w:type="dxa" w:w="100"/>
            </w:tcMar>
            <w:vAlign w:val="center"/>
          </w:tcPr>
          <w:p>
            <w:pPr>
              <w:spacing w:after="60"/>
            </w:pPr>
            <w:r>
              <w:rPr>
                <w:b w:val="false"/>
                <w:bCs w:val="false"/>
                <w:color w:val="000000"/>
                <w:sz w:val="20"/>
                <w:szCs w:val="20"/>
              </w:rPr>
              <w:t xml:space="preserve">Claim/$submit; Claim/$inquiry; X12 278/275 mapping</w:t>
            </w:r>
          </w:p>
        </w:tc>
        <w:tc>
          <w:tcPr>
            <w:tcW w:type="dxa" w:w="4500"/>
            <w:tcMar>
              <w:top w:type="dxa" w:w="80"/>
              <w:left w:type="dxa" w:w="100"/>
              <w:bottom w:type="dxa" w:w="80"/>
              <w:right w:type="dxa" w:w="100"/>
            </w:tcMar>
            <w:vAlign w:val="center"/>
          </w:tcPr>
          <w:p>
            <w:pPr>
              <w:spacing w:after="60"/>
            </w:pPr>
            <w:r>
              <w:rPr>
                <w:b w:val="false"/>
                <w:bCs w:val="false"/>
                <w:color w:val="000000"/>
                <w:sz w:val="20"/>
                <w:szCs w:val="20"/>
              </w:rPr>
              <w:t xml:space="preserve">PASBundle, Claim, ClaimResponse (with reviewAction extension codes including A6-Modified), Task, DocumentReference, Subscription (rest-hook, R5 backport)</w:t>
            </w:r>
          </w:p>
        </w:tc>
      </w:tr>
      <w:tr>
        <w:tc>
          <w:tcPr>
            <w:tcW w:type="dxa" w:w="1800"/>
            <w:shd w:fill="F2F2F2" w:color="auto" w:val="clear"/>
            <w:tcMar>
              <w:top w:type="dxa" w:w="80"/>
              <w:left w:type="dxa" w:w="100"/>
              <w:bottom w:type="dxa" w:w="80"/>
              <w:right w:type="dxa" w:w="100"/>
            </w:tcMar>
            <w:vAlign w:val="center"/>
          </w:tcPr>
          <w:p>
            <w:pPr>
              <w:spacing w:after="60"/>
            </w:pPr>
            <w:r>
              <w:rPr>
                <w:b w:val="false"/>
                <w:bCs w:val="false"/>
                <w:color w:val="000000"/>
                <w:sz w:val="20"/>
                <w:szCs w:val="20"/>
              </w:rPr>
              <w:t xml:space="preserve">Provider directory</w:t>
            </w:r>
          </w:p>
        </w:tc>
        <w:tc>
          <w:tcPr>
            <w:tcW w:type="dxa" w:w="3400"/>
            <w:shd w:fill="F2F2F2" w:color="auto" w:val="clear"/>
            <w:tcMar>
              <w:top w:type="dxa" w:w="80"/>
              <w:left w:type="dxa" w:w="100"/>
              <w:bottom w:type="dxa" w:w="80"/>
              <w:right w:type="dxa" w:w="100"/>
            </w:tcMar>
            <w:vAlign w:val="center"/>
          </w:tcPr>
          <w:p>
            <w:pPr>
              <w:spacing w:after="60"/>
            </w:pPr>
            <w:r>
              <w:rPr>
                <w:b w:val="false"/>
                <w:bCs w:val="false"/>
                <w:color w:val="000000"/>
                <w:sz w:val="20"/>
                <w:szCs w:val="20"/>
              </w:rPr>
              <w:t xml:space="preserve">Provider network status lookup</w:t>
            </w:r>
          </w:p>
        </w:tc>
        <w:tc>
          <w:tcPr>
            <w:tcW w:type="dxa" w:w="4500"/>
            <w:shd w:fill="F2F2F2" w:color="auto" w:val="clear"/>
            <w:tcMar>
              <w:top w:type="dxa" w:w="80"/>
              <w:left w:type="dxa" w:w="100"/>
              <w:bottom w:type="dxa" w:w="80"/>
              <w:right w:type="dxa" w:w="100"/>
            </w:tcMar>
            <w:vAlign w:val="center"/>
          </w:tcPr>
          <w:p>
            <w:pPr>
              <w:spacing w:after="60"/>
            </w:pPr>
            <w:r>
              <w:rPr>
                <w:b w:val="false"/>
                <w:bCs w:val="false"/>
                <w:color w:val="000000"/>
                <w:sz w:val="20"/>
                <w:szCs w:val="20"/>
              </w:rPr>
              <w:t xml:space="preserve">PractitionerRole, Organization, Da Vinci PDex Plan-Net</w:t>
            </w:r>
          </w:p>
        </w:tc>
      </w:tr>
      <w:tr>
        <w:tc>
          <w:tcPr>
            <w:tcW w:type="dxa" w:w="1800"/>
            <w:tcMar>
              <w:top w:type="dxa" w:w="80"/>
              <w:left w:type="dxa" w:w="100"/>
              <w:bottom w:type="dxa" w:w="80"/>
              <w:right w:type="dxa" w:w="100"/>
            </w:tcMar>
            <w:vAlign w:val="center"/>
          </w:tcPr>
          <w:p>
            <w:pPr>
              <w:spacing w:after="60"/>
            </w:pPr>
            <w:r>
              <w:rPr>
                <w:b w:val="false"/>
                <w:bCs w:val="false"/>
                <w:color w:val="000000"/>
                <w:sz w:val="20"/>
                <w:szCs w:val="20"/>
              </w:rPr>
              <w:t xml:space="preserve">Coverage / eligibility</w:t>
            </w:r>
          </w:p>
        </w:tc>
        <w:tc>
          <w:tcPr>
            <w:tcW w:type="dxa" w:w="3400"/>
            <w:tcMar>
              <w:top w:type="dxa" w:w="80"/>
              <w:left w:type="dxa" w:w="100"/>
              <w:bottom w:type="dxa" w:w="80"/>
              <w:right w:type="dxa" w:w="100"/>
            </w:tcMar>
            <w:vAlign w:val="center"/>
          </w:tcPr>
          <w:p>
            <w:pPr>
              <w:spacing w:after="60"/>
            </w:pPr>
            <w:r>
              <w:rPr>
                <w:b w:val="false"/>
                <w:bCs w:val="false"/>
                <w:color w:val="000000"/>
                <w:sz w:val="20"/>
                <w:szCs w:val="20"/>
              </w:rPr>
              <w:t xml:space="preserve">Coverage and eligibility verification</w:t>
            </w:r>
          </w:p>
        </w:tc>
        <w:tc>
          <w:tcPr>
            <w:tcW w:type="dxa" w:w="4500"/>
            <w:tcMar>
              <w:top w:type="dxa" w:w="80"/>
              <w:left w:type="dxa" w:w="100"/>
              <w:bottom w:type="dxa" w:w="80"/>
              <w:right w:type="dxa" w:w="100"/>
            </w:tcMar>
            <w:vAlign w:val="center"/>
          </w:tcPr>
          <w:p>
            <w:pPr>
              <w:spacing w:after="60"/>
            </w:pPr>
            <w:r>
              <w:rPr>
                <w:b w:val="false"/>
                <w:bCs w:val="false"/>
                <w:color w:val="000000"/>
                <w:sz w:val="20"/>
                <w:szCs w:val="20"/>
              </w:rPr>
              <w:t xml:space="preserve">Coverage, CoverageEligibilityRequest, CoverageEligibilityResponse</w:t>
            </w:r>
          </w:p>
        </w:tc>
      </w:tr>
      <w:tr>
        <w:tc>
          <w:tcPr>
            <w:tcW w:type="dxa" w:w="1800"/>
            <w:shd w:fill="F2F2F2" w:color="auto" w:val="clear"/>
            <w:tcMar>
              <w:top w:type="dxa" w:w="80"/>
              <w:left w:type="dxa" w:w="100"/>
              <w:bottom w:type="dxa" w:w="80"/>
              <w:right w:type="dxa" w:w="100"/>
            </w:tcMar>
            <w:vAlign w:val="center"/>
          </w:tcPr>
          <w:p>
            <w:pPr>
              <w:spacing w:after="60"/>
            </w:pPr>
            <w:r>
              <w:rPr>
                <w:b w:val="false"/>
                <w:bCs w:val="false"/>
                <w:color w:val="000000"/>
                <w:sz w:val="20"/>
                <w:szCs w:val="20"/>
              </w:rPr>
              <w:t xml:space="preserve">CDex</w:t>
            </w:r>
          </w:p>
        </w:tc>
        <w:tc>
          <w:tcPr>
            <w:tcW w:type="dxa" w:w="3400"/>
            <w:shd w:fill="F2F2F2" w:color="auto" w:val="clear"/>
            <w:tcMar>
              <w:top w:type="dxa" w:w="80"/>
              <w:left w:type="dxa" w:w="100"/>
              <w:bottom w:type="dxa" w:w="80"/>
              <w:right w:type="dxa" w:w="100"/>
            </w:tcMar>
            <w:vAlign w:val="center"/>
          </w:tcPr>
          <w:p>
            <w:pPr>
              <w:spacing w:after="60"/>
            </w:pPr>
            <w:r>
              <w:rPr>
                <w:b w:val="false"/>
                <w:bCs w:val="false"/>
                <w:color w:val="000000"/>
                <w:sz w:val="20"/>
                <w:szCs w:val="20"/>
              </w:rPr>
              <w:t xml:space="preserve">Attachments pattern for supporting documentation</w:t>
            </w:r>
          </w:p>
        </w:tc>
        <w:tc>
          <w:tcPr>
            <w:tcW w:type="dxa" w:w="4500"/>
            <w:shd w:fill="F2F2F2" w:color="auto" w:val="clear"/>
            <w:tcMar>
              <w:top w:type="dxa" w:w="80"/>
              <w:left w:type="dxa" w:w="100"/>
              <w:bottom w:type="dxa" w:w="80"/>
              <w:right w:type="dxa" w:w="100"/>
            </w:tcMar>
            <w:vAlign w:val="center"/>
          </w:tcPr>
          <w:p>
            <w:pPr>
              <w:spacing w:after="60"/>
            </w:pPr>
            <w:r>
              <w:rPr>
                <w:b w:val="false"/>
                <w:bCs w:val="false"/>
                <w:color w:val="000000"/>
                <w:sz w:val="20"/>
                <w:szCs w:val="20"/>
              </w:rPr>
              <w:t xml:space="preserve">DocumentReference-based attachment exchange</w:t>
            </w:r>
          </w:p>
        </w:tc>
      </w:tr>
    </w:tbl>
    <w:p>
      <w:pPr>
        <w:pStyle w:val="Heading1"/>
        <w:pageBreakBefore/>
        <w:spacing w:after="240" w:before="480"/>
      </w:pPr>
      <w:r>
        <w:t xml:space="preserve">8. Data Aggregation &amp; Priority Rules</w:t>
      </w:r>
    </w:p>
    <w:p>
      <w:pPr>
        <w:spacing w:after="200" w:line="276"/>
        <w:jc w:val="both"/>
      </w:pPr>
      <w:r>
        <w:t xml:space="preserve">Medical necessity matching depends on assembling a single, coherent clinical picture of the patient from two independently authoritative sources: the provider's EMR and the payer's Patient Access API. The dedicated PA Aggregation FHIR Server exists specifically to hold this merged view for the duration of a case, rather than mixing EMR and payer data directly inside either source system.</w:t>
      </w:r>
    </w:p>
    <w:p>
      <w:pPr>
        <w:spacing w:after="200" w:line="276"/>
        <w:jc w:val="both"/>
      </w:pPr>
      <w:r>
        <w:t xml:space="preserve">Ingestion runs in parallel from both sources. From the EMR, clinical data is pulled via the US Core v3 FHIR API under the SMART OAuth context established at app launch. From the payer, data is pulled via the Patient Access API under a separate patient-authorized token reflecting the patient's consent for that payer to share their own record back to the requesting provider.</w:t>
      </w:r>
    </w:p>
    <w:p>
      <w:pPr>
        <w:spacing w:after="200" w:line="276"/>
        <w:jc w:val="both"/>
      </w:pPr>
      <w:r>
        <w:t xml:space="preserve">Because the same clinical facts — a diagnosis, an observation, a medication — may be present in both sources, the aggregation layer applies resource-level de-duplication by identifier, followed by a clinical-source-wins conflict-resolution rule: where the EMR and the payer disagree on a conflicting element, the EMR/clinical-source value takes precedence, on the premise that the treating provider's own record is the more current and clinically authoritative source.</w:t>
      </w:r>
    </w:p>
    <w:p>
      <w:pPr>
        <w:spacing w:after="200" w:line="276"/>
        <w:jc w:val="both"/>
      </w:pPr>
      <w:r>
        <w:t xml:space="preserve">Every fact that lands in the aggregated store is tagged with a Provenance resource identifying its originating system. This tagging serves two purposes: it provides the audit trail required to demonstrate how a medical necessity determination was reached, and it supplies the source citation shown alongside each piece of matched evidence in the DTR tree UI and carried forward into the Evidence Record generated at submission.</w:t>
      </w:r>
    </w:p>
    <w:p>
      <w:pPr>
        <w:pStyle w:val="Heading1"/>
        <w:pageBreakBefore/>
        <w:spacing w:after="240" w:before="480"/>
      </w:pPr>
      <w:r>
        <w:t xml:space="preserve">9. Implementation Roadmap &amp; Branch Strategy</w:t>
      </w:r>
    </w:p>
    <w:p>
      <w:pPr>
        <w:spacing w:after="200" w:line="276"/>
        <w:jc w:val="both"/>
      </w:pPr>
      <w:r>
        <w:t xml:space="preserve">The existing repository, rickwill-ibm/rhtp-fhir-poc, already contains three completed phase branches — phase1 (FHIR server + identity), phase2 (live FHIR data), and phase3 (live data wired to all pages) — and these branches should not be modified or overwritten. They represent working, load-bearing foundation and are treated as a stable base for this next stage of work.</w:t>
      </w:r>
    </w:p>
    <w:p>
      <w:pPr>
        <w:spacing w:after="200" w:line="276"/>
        <w:jc w:val="both"/>
      </w:pPr>
      <w:r>
        <w:t xml:space="preserve">All new work for this modernization should occur on a new branch, recommended as feature/phase4-crd-dtr-pas-integration, branched off main, and built additively on top of the existing FHIR server, identity, and data plumbing already established in phases 1 through 3.</w:t>
      </w:r>
    </w:p>
    <w:p>
      <w:pPr>
        <w:spacing w:after="200" w:line="276"/>
        <w:jc w:val="both"/>
      </w:pPr>
      <w:r>
        <w:t xml:space="preserve">Within that branch, the work is sequenced into five sub-phases: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7700"/>
      </w:tblGrid>
      <w:tr>
        <w:trPr>
          <w:tblHeader/>
        </w:trPr>
        <w:tc>
          <w:tcPr>
            <w:tcW w:type="dxa" w:w="1600"/>
            <w:shd w:fill="1F3864" w:color="auto" w:val="clear"/>
            <w:tcMar>
              <w:top w:type="dxa" w:w="80"/>
              <w:left w:type="dxa" w:w="100"/>
              <w:bottom w:type="dxa" w:w="80"/>
              <w:right w:type="dxa" w:w="100"/>
            </w:tcMar>
            <w:vAlign w:val="center"/>
          </w:tcPr>
          <w:p>
            <w:pPr>
              <w:spacing w:after="60"/>
            </w:pPr>
            <w:r>
              <w:rPr>
                <w:b/>
                <w:bCs/>
                <w:color w:val="FFFFFF"/>
                <w:sz w:val="20"/>
                <w:szCs w:val="20"/>
              </w:rPr>
              <w:t xml:space="preserve">Phase</w:t>
            </w:r>
          </w:p>
        </w:tc>
        <w:tc>
          <w:tcPr>
            <w:tcW w:type="dxa" w:w="7700"/>
            <w:shd w:fill="1F3864" w:color="auto" w:val="clear"/>
            <w:tcMar>
              <w:top w:type="dxa" w:w="80"/>
              <w:left w:type="dxa" w:w="100"/>
              <w:bottom w:type="dxa" w:w="80"/>
              <w:right w:type="dxa" w:w="100"/>
            </w:tcMar>
            <w:vAlign w:val="center"/>
          </w:tcPr>
          <w:p>
            <w:pPr>
              <w:spacing w:after="60"/>
            </w:pPr>
            <w:r>
              <w:rPr>
                <w:b/>
                <w:bCs/>
                <w:color w:val="FFFFFF"/>
                <w:sz w:val="20"/>
                <w:szCs w:val="20"/>
              </w:rPr>
              <w:t xml:space="preserve">Scope</w:t>
            </w:r>
          </w:p>
        </w:tc>
      </w:tr>
      <w:tr>
        <w:tc>
          <w:tcPr>
            <w:tcW w:type="dxa" w:w="1600"/>
            <w:tcMar>
              <w:top w:type="dxa" w:w="80"/>
              <w:left w:type="dxa" w:w="100"/>
              <w:bottom w:type="dxa" w:w="80"/>
              <w:right w:type="dxa" w:w="100"/>
            </w:tcMar>
            <w:vAlign w:val="center"/>
          </w:tcPr>
          <w:p>
            <w:pPr>
              <w:spacing w:after="60"/>
            </w:pPr>
            <w:r>
              <w:rPr>
                <w:b w:val="false"/>
                <w:bCs w:val="false"/>
                <w:color w:val="000000"/>
                <w:sz w:val="20"/>
                <w:szCs w:val="20"/>
              </w:rPr>
              <w:t xml:space="preserve">4a</w:t>
            </w:r>
          </w:p>
        </w:tc>
        <w:tc>
          <w:tcPr>
            <w:tcW w:type="dxa" w:w="7700"/>
            <w:tcMar>
              <w:top w:type="dxa" w:w="80"/>
              <w:left w:type="dxa" w:w="100"/>
              <w:bottom w:type="dxa" w:w="80"/>
              <w:right w:type="dxa" w:w="100"/>
            </w:tcMar>
            <w:vAlign w:val="center"/>
          </w:tcPr>
          <w:p>
            <w:pPr>
              <w:spacing w:after="60"/>
            </w:pPr>
            <w:r>
              <w:rPr>
                <w:b w:val="false"/>
                <w:bCs w:val="false"/>
                <w:color w:val="000000"/>
                <w:sz w:val="20"/>
                <w:szCs w:val="20"/>
              </w:rPr>
              <w:t xml:space="preserve">CDS Hooks CRD integration and the Checklist UI.</w:t>
            </w:r>
          </w:p>
        </w:tc>
      </w:tr>
      <w:tr>
        <w:tc>
          <w:tcPr>
            <w:tcW w:type="dxa" w:w="1600"/>
            <w:shd w:fill="F2F2F2" w:color="auto" w:val="clear"/>
            <w:tcMar>
              <w:top w:type="dxa" w:w="80"/>
              <w:left w:type="dxa" w:w="100"/>
              <w:bottom w:type="dxa" w:w="80"/>
              <w:right w:type="dxa" w:w="100"/>
            </w:tcMar>
            <w:vAlign w:val="center"/>
          </w:tcPr>
          <w:p>
            <w:pPr>
              <w:spacing w:after="60"/>
            </w:pPr>
            <w:r>
              <w:rPr>
                <w:b w:val="false"/>
                <w:bCs w:val="false"/>
                <w:color w:val="000000"/>
                <w:sz w:val="20"/>
                <w:szCs w:val="20"/>
              </w:rPr>
              <w:t xml:space="preserve">4b</w:t>
            </w:r>
          </w:p>
        </w:tc>
        <w:tc>
          <w:tcPr>
            <w:tcW w:type="dxa" w:w="7700"/>
            <w:shd w:fill="F2F2F2" w:color="auto" w:val="clear"/>
            <w:tcMar>
              <w:top w:type="dxa" w:w="80"/>
              <w:left w:type="dxa" w:w="100"/>
              <w:bottom w:type="dxa" w:w="80"/>
              <w:right w:type="dxa" w:w="100"/>
            </w:tcMar>
            <w:vAlign w:val="center"/>
          </w:tcPr>
          <w:p>
            <w:pPr>
              <w:spacing w:after="60"/>
            </w:pPr>
            <w:r>
              <w:rPr>
                <w:b w:val="false"/>
                <w:bCs w:val="false"/>
                <w:color w:val="000000"/>
                <w:sz w:val="20"/>
                <w:szCs w:val="20"/>
              </w:rPr>
              <w:t xml:space="preserve">DTR SMART app, aggregation FHIR server, and the medical-necessity tree UI with document upload.</w:t>
            </w:r>
          </w:p>
        </w:tc>
      </w:tr>
      <w:tr>
        <w:tc>
          <w:tcPr>
            <w:tcW w:type="dxa" w:w="1600"/>
            <w:tcMar>
              <w:top w:type="dxa" w:w="80"/>
              <w:left w:type="dxa" w:w="100"/>
              <w:bottom w:type="dxa" w:w="80"/>
              <w:right w:type="dxa" w:w="100"/>
            </w:tcMar>
            <w:vAlign w:val="center"/>
          </w:tcPr>
          <w:p>
            <w:pPr>
              <w:spacing w:after="60"/>
            </w:pPr>
            <w:r>
              <w:rPr>
                <w:b w:val="false"/>
                <w:bCs w:val="false"/>
                <w:color w:val="000000"/>
                <w:sz w:val="20"/>
                <w:szCs w:val="20"/>
              </w:rPr>
              <w:t xml:space="preserve">4c</w:t>
            </w:r>
          </w:p>
        </w:tc>
        <w:tc>
          <w:tcPr>
            <w:tcW w:type="dxa" w:w="7700"/>
            <w:tcMar>
              <w:top w:type="dxa" w:w="80"/>
              <w:left w:type="dxa" w:w="100"/>
              <w:bottom w:type="dxa" w:w="80"/>
              <w:right w:type="dxa" w:w="100"/>
            </w:tcMar>
            <w:vAlign w:val="center"/>
          </w:tcPr>
          <w:p>
            <w:pPr>
              <w:spacing w:after="60"/>
            </w:pPr>
            <w:r>
              <w:rPr>
                <w:b w:val="false"/>
                <w:bCs w:val="false"/>
                <w:color w:val="000000"/>
                <w:sz w:val="20"/>
                <w:szCs w:val="20"/>
              </w:rPr>
              <w:t xml:space="preserve">PAS submission (Claim/$submit and EDI 275/278 translator) and PA Portal updates.</w:t>
            </w:r>
          </w:p>
        </w:tc>
      </w:tr>
      <w:tr>
        <w:tc>
          <w:tcPr>
            <w:tcW w:type="dxa" w:w="1600"/>
            <w:shd w:fill="F2F2F2" w:color="auto" w:val="clear"/>
            <w:tcMar>
              <w:top w:type="dxa" w:w="80"/>
              <w:left w:type="dxa" w:w="100"/>
              <w:bottom w:type="dxa" w:w="80"/>
              <w:right w:type="dxa" w:w="100"/>
            </w:tcMar>
            <w:vAlign w:val="center"/>
          </w:tcPr>
          <w:p>
            <w:pPr>
              <w:spacing w:after="60"/>
            </w:pPr>
            <w:r>
              <w:rPr>
                <w:b w:val="false"/>
                <w:bCs w:val="false"/>
                <w:color w:val="000000"/>
                <w:sz w:val="20"/>
                <w:szCs w:val="20"/>
              </w:rPr>
              <w:t xml:space="preserve">4d</w:t>
            </w:r>
          </w:p>
        </w:tc>
        <w:tc>
          <w:tcPr>
            <w:tcW w:type="dxa" w:w="7700"/>
            <w:shd w:fill="F2F2F2" w:color="auto" w:val="clear"/>
            <w:tcMar>
              <w:top w:type="dxa" w:w="80"/>
              <w:left w:type="dxa" w:w="100"/>
              <w:bottom w:type="dxa" w:w="80"/>
              <w:right w:type="dxa" w:w="100"/>
            </w:tcMar>
            <w:vAlign w:val="center"/>
          </w:tcPr>
          <w:p>
            <w:pPr>
              <w:spacing w:after="60"/>
            </w:pPr>
            <w:r>
              <w:rPr>
                <w:b w:val="false"/>
                <w:bCs w:val="false"/>
                <w:color w:val="000000"/>
                <w:sz w:val="20"/>
                <w:szCs w:val="20"/>
              </w:rPr>
              <w:t xml:space="preserve">Evidence Record generation and Subscription-based status sync.</w:t>
            </w:r>
          </w:p>
        </w:tc>
      </w:tr>
      <w:tr>
        <w:tc>
          <w:tcPr>
            <w:tcW w:type="dxa" w:w="1600"/>
            <w:tcMar>
              <w:top w:type="dxa" w:w="80"/>
              <w:left w:type="dxa" w:w="100"/>
              <w:bottom w:type="dxa" w:w="80"/>
              <w:right w:type="dxa" w:w="100"/>
            </w:tcMar>
            <w:vAlign w:val="center"/>
          </w:tcPr>
          <w:p>
            <w:pPr>
              <w:spacing w:after="60"/>
            </w:pPr>
            <w:r>
              <w:rPr>
                <w:b w:val="false"/>
                <w:bCs w:val="false"/>
                <w:color w:val="000000"/>
                <w:sz w:val="20"/>
                <w:szCs w:val="20"/>
              </w:rPr>
              <w:t xml:space="preserve">4e</w:t>
            </w:r>
          </w:p>
        </w:tc>
        <w:tc>
          <w:tcPr>
            <w:tcW w:type="dxa" w:w="7700"/>
            <w:tcMar>
              <w:top w:type="dxa" w:w="80"/>
              <w:left w:type="dxa" w:w="100"/>
              <w:bottom w:type="dxa" w:w="80"/>
              <w:right w:type="dxa" w:w="100"/>
            </w:tcMar>
            <w:vAlign w:val="center"/>
          </w:tcPr>
          <w:p>
            <w:pPr>
              <w:spacing w:after="60"/>
            </w:pPr>
            <w:r>
              <w:rPr>
                <w:b w:val="false"/>
                <w:bCs w:val="false"/>
                <w:color w:val="000000"/>
                <w:sz w:val="20"/>
                <w:szCs w:val="20"/>
              </w:rPr>
              <w:t xml:space="preserve">Back-office batch worklist.</w:t>
            </w:r>
          </w:p>
        </w:tc>
      </w:tr>
    </w:tbl>
    <w:p>
      <w:pPr>
        <w:spacing w:after="120"/>
      </w:pPr>
    </w:p>
    <w:p>
      <w:pPr>
        <w:spacing w:after="200" w:line="276"/>
        <w:jc w:val="both"/>
      </w:pPr>
      <w:r>
        <w:t xml:space="preserve">Before beginning 4a, an initial short-lived design-spike branch is recommended to validate the Intelligent Policy Engine's JSON-to-Questionnaire/CQL output schema. This component — converting unstructured payer policy PDFs into structured Questionnaire, CQL, and ValueSet resources — is the most novel and highest-risk piece of the architecture, and validating its output schema early reduces the risk of rework across every downstream phase that depends on it (4a's PA-required lookup, 4b's medical-necessity matching, and beyond).</w:t>
      </w:r>
    </w:p>
    <w:p>
      <w:pPr>
        <w:pStyle w:val="Heading1"/>
        <w:pageBreakBefore/>
        <w:spacing w:after="240" w:before="480"/>
      </w:pPr>
      <w:r>
        <w:t xml:space="preserve">10. Compliance &amp; Non-Functional Requirements</w:t>
      </w:r>
    </w:p>
    <w:p>
      <w:pPr>
        <w:pStyle w:val="ListParagraph"/>
        <w:numPr>
          <w:ilvl w:val="0"/>
          <w:numId w:val="2"/>
        </w:numPr>
        <w:spacing w:after="120" w:line="276"/>
        <w:jc w:val="both"/>
      </w:pPr>
      <w:r>
        <w:rPr>
          <w:b/>
          <w:bCs/>
        </w:rPr>
        <w:t xml:space="preserve">Regulatory deadline: </w:t>
      </w:r>
      <w:r>
        <w:t xml:space="preserve">CMS-0057-F requires CRD/DTR/PAS API conformance by January 1, 2027.</w:t>
      </w:r>
    </w:p>
    <w:p>
      <w:pPr>
        <w:pStyle w:val="ListParagraph"/>
        <w:numPr>
          <w:ilvl w:val="0"/>
          <w:numId w:val="2"/>
        </w:numPr>
        <w:spacing w:after="120" w:line="276"/>
        <w:jc w:val="both"/>
      </w:pPr>
      <w:r>
        <w:rPr>
          <w:b/>
          <w:bCs/>
        </w:rPr>
        <w:t xml:space="preserve">Decision-time SLAs: </w:t>
      </w:r>
      <w:r>
        <w:t xml:space="preserve">72-hour standard and 24-hour expedited determinations under the API-based pathway, with a target of 15 seconds or less for the Claim/$submit round trip.</w:t>
      </w:r>
    </w:p>
    <w:p>
      <w:pPr>
        <w:pStyle w:val="ListParagraph"/>
        <w:numPr>
          <w:ilvl w:val="0"/>
          <w:numId w:val="2"/>
        </w:numPr>
        <w:spacing w:after="120" w:line="276"/>
        <w:jc w:val="both"/>
      </w:pPr>
      <w:r>
        <w:rPr>
          <w:b/>
          <w:bCs/>
        </w:rPr>
        <w:t xml:space="preserve">Security: </w:t>
      </w:r>
      <w:r>
        <w:t xml:space="preserve">OAuth2 / SMART App Launch security for both the EMR data pull and the Patient Access API data pull.</w:t>
      </w:r>
    </w:p>
    <w:p>
      <w:pPr>
        <w:pStyle w:val="ListParagraph"/>
        <w:numPr>
          <w:ilvl w:val="0"/>
          <w:numId w:val="2"/>
        </w:numPr>
        <w:spacing w:after="120" w:line="276"/>
        <w:jc w:val="both"/>
      </w:pPr>
      <w:r>
        <w:rPr>
          <w:b/>
          <w:bCs/>
        </w:rPr>
        <w:t xml:space="preserve">Patient consent: </w:t>
      </w:r>
      <w:r>
        <w:t xml:space="preserve">explicit patient consent is required to authorize the Patient Access API pull of payer-held data.</w:t>
      </w:r>
    </w:p>
    <w:p>
      <w:pPr>
        <w:pStyle w:val="ListParagraph"/>
        <w:numPr>
          <w:ilvl w:val="0"/>
          <w:numId w:val="2"/>
        </w:numPr>
        <w:spacing w:after="120" w:line="276"/>
        <w:jc w:val="both"/>
      </w:pPr>
      <w:r>
        <w:rPr>
          <w:b/>
          <w:bCs/>
        </w:rPr>
        <w:t xml:space="preserve">Audit trail: </w:t>
      </w:r>
      <w:r>
        <w:t xml:space="preserve">Provenance-based audit trail covering every fact used in a medical necessity determination.</w:t>
      </w:r>
    </w:p>
    <w:p>
      <w:pPr>
        <w:pStyle w:val="ListParagraph"/>
        <w:numPr>
          <w:ilvl w:val="0"/>
          <w:numId w:val="2"/>
        </w:numPr>
        <w:spacing w:after="120" w:line="276"/>
        <w:jc w:val="both"/>
      </w:pPr>
      <w:r>
        <w:rPr>
          <w:b/>
          <w:bCs/>
        </w:rPr>
        <w:t xml:space="preserve">EDI attachment encoding: </w:t>
      </w:r>
      <w:r>
        <w:t xml:space="preserve">for the EDI channel, X12 275 attachments use BDS01 Filter ID Code = "B64" and CAT02 Attachment Information Format Code = "HL".</w:t>
      </w:r>
    </w:p>
    <w:p>
      <w:pPr>
        <w:pStyle w:val="ListParagraph"/>
        <w:numPr>
          <w:ilvl w:val="0"/>
          <w:numId w:val="2"/>
        </w:numPr>
        <w:spacing w:after="120" w:line="276"/>
        <w:jc w:val="both"/>
      </w:pPr>
      <w:r>
        <w:rPr>
          <w:b/>
          <w:bCs/>
        </w:rPr>
        <w:t xml:space="preserve">Data retention: </w:t>
      </w:r>
      <w:r>
        <w:t xml:space="preserve">a minimum 6-month retention requirement applies to pended PA case data.</w:t>
      </w:r>
    </w:p>
    <w:p>
      <w:pPr>
        <w:pStyle w:val="Heading1"/>
        <w:pageBreakBefore/>
        <w:spacing w:after="240" w:before="480"/>
      </w:pPr>
      <w:r>
        <w:t xml:space="preserve">11. Open Questions &amp; Risks</w:t>
      </w:r>
    </w:p>
    <w:p>
      <w:pPr>
        <w:pStyle w:val="ListParagraph"/>
        <w:numPr>
          <w:ilvl w:val="0"/>
          <w:numId w:val="2"/>
        </w:numPr>
        <w:spacing w:after="120" w:line="276"/>
        <w:jc w:val="both"/>
      </w:pPr>
      <w:r>
        <w:rPr>
          <w:b/>
          <w:bCs/>
        </w:rPr>
        <w:t xml:space="preserve">CRD server-vs-client role: </w:t>
      </w:r>
      <w:r>
        <w:t xml:space="preserve">whether the Prior Auth Service should act as an actual CRD server for payers who are not yet CMS-0057-F compliant, versus purely as a CRD client to compliant payer endpoints. Recommendation: a dual-mode design — client-first, with a policy-engine-backed fallback.</w:t>
      </w:r>
    </w:p>
    <w:p>
      <w:pPr>
        <w:pStyle w:val="ListParagraph"/>
        <w:numPr>
          <w:ilvl w:val="0"/>
          <w:numId w:val="2"/>
        </w:numPr>
        <w:spacing w:after="120" w:line="276"/>
        <w:jc w:val="both"/>
      </w:pPr>
      <w:r>
        <w:rPr>
          <w:b/>
          <w:bCs/>
        </w:rPr>
        <w:t xml:space="preserve">Third-party guideline licensing: </w:t>
      </w:r>
      <w:r>
        <w:t xml:space="preserve">Milliman Care Guidelines and InterQual API licensing/access has not yet been confirmed and should be validated before Phase 4a.</w:t>
      </w:r>
    </w:p>
    <w:p>
      <w:pPr>
        <w:pStyle w:val="ListParagraph"/>
        <w:numPr>
          <w:ilvl w:val="0"/>
          <w:numId w:val="2"/>
        </w:numPr>
        <w:spacing w:after="120" w:line="276"/>
        <w:jc w:val="both"/>
      </w:pPr>
      <w:r>
        <w:rPr>
          <w:b/>
          <w:bCs/>
        </w:rPr>
        <w:t xml:space="preserve">Prior-phase code review: </w:t>
      </w:r>
      <w:r>
        <w:t xml:space="preserve">the actual code contents of repository phases 1–3 have not been directly reviewed in this planning exercise — only branch names were available. A technical review of the existing FHIR server, identity/auth pattern, and UI framework is recommended before Phase 4 kickoff.</w:t>
      </w:r>
    </w:p>
    <w:p>
      <w:pPr>
        <w:pStyle w:val="ListParagraph"/>
        <w:numPr>
          <w:ilvl w:val="0"/>
          <w:numId w:val="2"/>
        </w:numPr>
        <w:spacing w:after="120" w:line="276"/>
        <w:jc w:val="both"/>
      </w:pPr>
      <w:r>
        <w:rPr>
          <w:b/>
          <w:bCs/>
        </w:rPr>
        <w:t xml:space="preserve">Confidence threshold: </w:t>
      </w:r>
      <w:r>
        <w:t xml:space="preserve">the confidence threshold distinguishing an auto-approved deterministic match from a flagged low-confidence/NLP-derived match has not yet been defined and needs clinical stakeholder input.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Prior Authorization Modernization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Calibri" w:cs="Calibri" w:eastAsia="Calibri" w:hAnsi="Calibri"/>
      <w:b/>
      <w:bCs/>
      <w:color w:val="1F3864"/>
      <w:sz w:val="56"/>
      <w:szCs w:val="56"/>
    </w:rPr>
  </w:style>
  <w:style w:type="paragraph" w:styleId="Heading1">
    <w:name w:val="Heading 1"/>
    <w:basedOn w:val="Normal"/>
    <w:next w:val="Normal"/>
    <w:qFormat/>
    <w:pPr>
      <w:pBdr>
        <w:bottom w:val="single" w:color="1F3864" w:sz="8" w:space="4"/>
      </w:pBdr>
      <w:spacing w:after="240" w:before="480"/>
    </w:pPr>
    <w:rPr>
      <w:rFonts w:ascii="Calibri" w:cs="Calibri" w:eastAsia="Calibri" w:hAnsi="Calibri"/>
      <w:b/>
      <w:bCs/>
      <w:color w:val="1F3864"/>
      <w:sz w:val="30"/>
      <w:szCs w:val="30"/>
    </w:rPr>
  </w:style>
  <w:style w:type="paragraph" w:styleId="Heading2">
    <w:name w:val="Heading 2"/>
    <w:basedOn w:val="Normal"/>
    <w:next w:val="Normal"/>
    <w:qFormat/>
    <w:pPr>
      <w:spacing w:after="160" w:before="360"/>
    </w:pPr>
    <w:rPr>
      <w:rFonts w:ascii="Calibri" w:cs="Calibri" w:eastAsia="Calibri" w:hAnsi="Calibri"/>
      <w:b/>
      <w:bCs/>
      <w:color w:val="2E5395"/>
      <w:sz w:val="25"/>
      <w:szCs w:val="25"/>
    </w:rPr>
  </w:style>
  <w:style w:type="paragraph" w:styleId="Heading3">
    <w:name w:val="Heading 3"/>
    <w:basedOn w:val="Normal"/>
    <w:next w:val="Normal"/>
    <w:qFormat/>
    <w:pPr>
      <w:spacing w:after="120" w:before="240"/>
    </w:pPr>
    <w:rPr>
      <w:rFonts w:ascii="Calibri" w:cs="Calibri" w:eastAsia="Calibri" w:hAnsi="Calibri"/>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Prior Authorization Modernization Plan</dc:title>
  <dc:creator>IBM</dc:creator>
  <dc:description>CRD / DTR / PAS on SMART on FHIR — Prior Authorization Modernization Plan</dc:description>
  <cp:lastModifiedBy>Un-named</cp:lastModifiedBy>
  <cp:revision>1</cp:revision>
  <dcterms:created xsi:type="dcterms:W3CDTF">2026-07-28T12:56:21.432Z</dcterms:created>
  <dcterms:modified xsi:type="dcterms:W3CDTF">2026-07-28T12:56:21.432Z</dcterms:modified>
</cp:coreProperties>
</file>

<file path=docProps/custom.xml><?xml version="1.0" encoding="utf-8"?>
<Properties xmlns="http://schemas.openxmlformats.org/officeDocument/2006/custom-properties" xmlns:vt="http://schemas.openxmlformats.org/officeDocument/2006/docPropsVTypes"/>
</file>