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Prior Authorization / CMS-0057-F Project</w:t>
      </w:r>
    </w:p>
    <w:p>
      <w:pPr>
        <w:spacing w:after="400"/>
      </w:pPr>
      <w:r>
        <w:rPr>
          <w:color w:val="444444"/>
          <w:sz w:val="32"/>
          <w:szCs w:val="32"/>
        </w:rPr>
        <w:t xml:space="preserve">Knowledge Base Index &amp; Summary</w:t>
      </w:r>
    </w:p>
    <w:p>
      <w:pPr>
        <w:spacing w:after="60"/>
      </w:pPr>
      <w:r>
        <w:rPr>
          <w:b/>
          <w:bCs/>
        </w:rPr>
        <w:t xml:space="preserve">Prepared for: </w:t>
      </w:r>
      <w:r>
        <w:t xml:space="preserve">Richard Williams, IBM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August 6, 2026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Consolidated index of 9 project files, summarized for import into a Claude Project knowledge base</w:t>
      </w:r>
    </w:p>
    <w:p>
      <w:pPr>
        <w:pBdr>
          <w:bottom w:val="single" w:color="AAAAAA" w:sz="6" w:space="1"/>
        </w:pBdr>
        <w:spacing w:after="200"/>
      </w:pPr>
    </w:p>
    <w:p>
      <w:pPr>
        <w:spacing w:after="120"/>
      </w:pPr>
      <w:r>
        <w:t xml:space="preserve">This document summarizes and organizes the content of 9 files related to the Prior Authorization (PA) modernization effort — the CMS-0057-F-compliant SMART on FHIR rebuild (CRD → DTR → PAS), the RHTP (Rural Health / Total Cost of Care) platform, associated cost models, and vendor (Onyx) reference material. The original files have also been copied as-is into a “Project Knowledge Uploads” folder alongside this summary so both the raw source files and this index can be added to the Claude Project's knowledge.</w:t>
      </w:r>
    </w:p>
    <w:p>
      <w:pPr>
        <w:spacing w:after="120"/>
      </w:pPr>
      <w:r>
        <w:t xml:space="preserve">Use this document as a map: each section below covers one source file, what it contains, and the key facts worth knowing without opening the original.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File Index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400"/>
        <w:gridCol w:w="4300"/>
      </w:tblGrid>
      <w:tr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What it is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Prior_Authorization_Modernization_Plan.docx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Word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Master planning doc — current-state gap analysis + target CRD/DTR/PAS architecture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Prior_Auth_CRD_DTR_PAS_Process_Flow.pptx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PowerPoint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6-slide visual diagram of the same 3-part CRD/DTR/PAS flow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Prior_Auth_CRD_DTR_PAS_Prototype.html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HTML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Click-through UI mockup of the future Provider Portal (6 screens)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rhtp-cms-0057-f-demo-paths.html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HTML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Live demo script for the built RHTP app — 8 scenarios, URLs, test data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start_PA_FHIR.sh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Shell script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Dev script that boots the full local PA FHIR stack (5 services)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CMS-0057-Assessment-Fillable-Clean.docx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Word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Completed CMS-0057 readiness questionnaire for a Medicaid health plan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P2P Implementation Playbook (1).pdf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PDF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Onyx Technology's Payer-to-Payer exchange implementation guide (vendor doc)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Prior_Auth_Cost_Model.xlsx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Excel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Cost model for the CRD/DTR/PAS modernization build (labor, tasks, run-rate)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RHTP_Cost_Model V1.0.xlsx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Excel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Broader RHTP platform cost model — 23 modules, 3 phases, ROI, build-vs-partner comparison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Prior_Authorization_Modernization_Plan.docx</w:t>
      </w:r>
    </w:p>
    <w:p>
      <w:pPr>
        <w:spacing w:after="60"/>
      </w:pPr>
      <w:r>
        <w:rPr>
          <w:b/>
          <w:bCs/>
        </w:rPr>
        <w:t xml:space="preserve">Prepared for: </w:t>
      </w:r>
      <w:r>
        <w:t xml:space="preserve">Richard Williams, IBM — July 28, 2026 — Internal Planning Deliverable</w:t>
      </w:r>
    </w:p>
    <w:p>
      <w:pPr>
        <w:spacing w:after="120"/>
      </w:pPr>
      <w:r>
        <w:t xml:space="preserve">The master planning document for rebuilding IBM's Prior Authorization solution as a standards-based SMART on FHIR app, replacing the current watsonx-chatbox-driven “PreAuth Provider Portal.”</w:t>
      </w:r>
    </w:p>
    <w:p>
      <w:pPr>
        <w:pStyle w:val="Heading2"/>
        <w:spacing w:after="150" w:before="300"/>
      </w:pPr>
      <w:r>
        <w:t xml:space="preserve">Purpose &amp; Regulatory Driver</w:t>
      </w:r>
    </w:p>
    <w:p>
      <w:pPr>
        <w:spacing w:after="120"/>
      </w:pPr>
      <w:r>
        <w:t xml:space="preserve">CMS-0057-F requires impacted payers (Medicare Advantage, Medicaid, CHIP, QHP issuers on the FFEs) to expose FHIR-based CRD, DTR, and PAS APIs by January 1, 2027. The plan re-platforms IBM's provider-facing PA app onto the same Da Vinci standards so it can interoperate with compliant payers ahead of that deadline. Must support both real-time point-of-care resolution and back-office/batch resolution.</w:t>
      </w:r>
    </w:p>
    <w:p>
      <w:pPr>
        <w:pStyle w:val="Heading2"/>
        <w:spacing w:after="150" w:before="300"/>
      </w:pPr>
      <w:r>
        <w:t xml:space="preserve">Current State — “PreAuth Provider Portal”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Hash-routed SPA with an Authorizations list screen (Auth ID, Patient ID, Name, Service, Date, Status) and filterable tabs (All/Approved/Pending/Denied/Partially Approved).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3-step New PA Request wizard: (1) Member lookup, (2) free-text “Ask watsonx” box that returns matched requirements against chart evidence, (3) downloadable PDF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architecture concept: PAS-FHIR Repository, payer-side Intelligent Policy Engine (watsonx parses payer PDFs → JSON → FHIR Questionnaires), EDI Translator (FHIR↔X12 275/278), CDS-Hooks-triggered DTR SMART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gap: PA logic runs through a proprietary AI chatbox, not standards-based CDS Hooks/DTR Questionnaire/PAS $submit — so it can't interoperate with CMS-0057-F payer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repo rickwill-ibm/rhtp-fhir-poc already has phase1 (FHIR server + auth), phase2 (live FHIR data), phase3 (data wired to all pages) — stable foundation, not to be modified.</w:t>
      </w:r>
    </w:p>
    <w:p>
      <w:pPr>
        <w:pStyle w:val="Heading2"/>
        <w:spacing w:after="150" w:before="300"/>
      </w:pPr>
      <w:r>
        <w:t xml:space="preserve">Target Architecture — End-to-End Flow</w:t>
      </w:r>
    </w:p>
    <w:p>
      <w:pPr>
        <w:pStyle w:val="Heading3"/>
        <w:spacing w:after="100" w:before="200"/>
      </w:pPr>
      <w:r>
        <w:t xml:space="preserve">Part I — CRD (Coverage Requirements Discovery)</w:t>
      </w:r>
    </w:p>
    <w:p>
      <w:pPr>
        <w:spacing w:after="120"/>
      </w:pPr>
      <w:r>
        <w:t xml:space="preserve">Provider places order → CDS Hook (order-select / order-sign) fires to Prior Auth Service → parallel checks: eligibility/enrollment, provider network status, Milliman/InterQual guideline conflict, PA-required lookup (Policy Engine) → CDS Cards render a checklist (Enrolled / Eligible / In-Network / No Conflicting Guideline / PA Required Y-N). Fails stop with manual-review path; passes proceed to DTR.</w:t>
      </w:r>
    </w:p>
    <w:p>
      <w:pPr>
        <w:pStyle w:val="Heading3"/>
        <w:spacing w:after="100" w:before="200"/>
      </w:pPr>
      <w:r>
        <w:t xml:space="preserve">Part II — DTR (Documentation Templates and Rules)</w:t>
      </w:r>
    </w:p>
    <w:p>
      <w:pPr>
        <w:spacing w:after="120"/>
      </w:pPr>
      <w:r>
        <w:t xml:space="preserve">Questionnaire Package requested (real-time watsonx parse, or pre-embedded Questionnaire+CQL). DTR SMART app launches, pulls EMR data (US Core v3) and payer Patient Access API data into a PA Aggregation FHIR Server (EMR wins on conflicts). CQL matches ICD-10/CPT/HCPCS codes to patient history. Results render as a criteria tree (Met/Gap per leaf, with evidence + citation). Gaps can be closed via CDex document upload or attestation. Submit enables once satisfied.</w:t>
      </w:r>
    </w:p>
    <w:p>
      <w:pPr>
        <w:pStyle w:val="Heading3"/>
        <w:spacing w:after="100" w:before="200"/>
      </w:pPr>
      <w:r>
        <w:t xml:space="preserve">Part III — Submission, PA Portal, Evidence, Adjudication</w:t>
      </w:r>
    </w:p>
    <w:p>
      <w:pPr>
        <w:spacing w:after="120"/>
      </w:pPr>
      <w:r>
        <w:t xml:space="preserve">Channel chosen by payer capability: FHIR PASBundle via Claim/$submit, or X12 278/275 via EDI Translator. Generates PA tracking number + case record (Submitted/Pended) + an immutable Evidence Record (PDF snapshot of PASBundle + CRD checklist + DTR tree). Status updates via FHIR Subscription (rest-hook) or Claim/$inquiry polling; ClaimResponse reviewAction codes map to Approved/Denied/Partially Approved-Modified/Pended. Denied requests must be resubmitted as new (not updated).</w:t>
      </w:r>
    </w:p>
    <w:p>
      <w:pPr>
        <w:pStyle w:val="Heading2"/>
        <w:spacing w:after="150" w:before="300"/>
      </w:pPr>
      <w:r>
        <w:t xml:space="preserve">Automation Principle</w:t>
      </w:r>
    </w:p>
    <w:p>
      <w:pPr>
        <w:spacing w:after="120"/>
      </w:pPr>
      <w:r>
        <w:t xml:space="preserve">Manual review is retained deliberately only for: (1) genuine documentation gaps needing new evidence, and (2) low-confidence NLP/AI-derived matches requiring clinician confirmation. Deterministic matches against structured, coded data proceed automatically.</w:t>
      </w:r>
    </w:p>
    <w:p>
      <w:pPr>
        <w:pStyle w:val="Heading2"/>
        <w:spacing w:after="150" w:before="300"/>
      </w:pPr>
      <w:r>
        <w:t xml:space="preserve">8 Target Screens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&amp; CRD Trigger Panel (embedded in EMR order workflow)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CRD Checklist / Coverage Determination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DTR Medical Necessity Tree (Met/Gap, evidence, upload)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&amp; Submit (FHIR-PAS vs. EDI 275/278 channel choice)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 Portal Case List (expanded status vocabulary incl. Pended, Modified)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 Case Detail / Timeline (full case history in one 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Record (immutable PDF artifact)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Back-Office Batch Worklist (staff queue for non-automated cases)</w:t>
      </w:r>
    </w:p>
    <w:p>
      <w:pPr>
        <w:pStyle w:val="Heading2"/>
        <w:spacing w:after="150" w:before="300"/>
      </w:pPr>
      <w:r>
        <w:t xml:space="preserve">Data Aggregation Rules</w:t>
      </w:r>
    </w:p>
    <w:p>
      <w:pPr>
        <w:spacing w:after="120"/>
      </w:pPr>
      <w:r>
        <w:t xml:space="preserve">EMR data (US Core v3, SMART OAuth) and payer Patient Access API data (patient-authorized token) merge into the PA Aggregation FHIR Server. De-duplication by identifier; on conflicts, the EMR/clinical source wins. Every fact tagged with a Provenance resource for audit trail and DTR evidence citation.</w:t>
      </w:r>
    </w:p>
    <w:p>
      <w:pPr>
        <w:pStyle w:val="Heading2"/>
        <w:spacing w:after="150" w:before="300"/>
      </w:pPr>
      <w:r>
        <w:t xml:space="preserve">Roadmap &amp; Branching</w:t>
      </w:r>
    </w:p>
    <w:p>
      <w:pPr>
        <w:spacing w:after="120"/>
      </w:pPr>
      <w:r>
        <w:t xml:space="preserve">New work branches from main as feature/phase4-crd-dtr-pas-integration, built on top of phases 1–3 (not modified). Recommended design-spike branch first to validate the Intelligent Policy Engine's JSON-to-Questionnaire/CQL output schema (highest-risk, most novel component) before sub-phases 4a onward.</w:t>
      </w:r>
    </w:p>
    <w:p>
      <w:pPr>
        <w:pStyle w:val="Heading2"/>
        <w:spacing w:after="150" w:before="300"/>
      </w:pPr>
      <w:r>
        <w:t xml:space="preserve">Compliance &amp;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deadline: CRD/DTR/PAS conformance by January 1, 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SLAs: 72-hour standard / 24-hour expedited determinations; target ≤15s for Claim/$submit round trip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OAuth2 / SMART App Launch security for both EMR and Patient Access API pulls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patient consent required for Patient Access API pull of payer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Provenance-based audit trail for every fact used in a determination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EDI: X12 275 attachments use BDS01 Filter ID Code “B64”, CAT02 Attachment Format Code “HL”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6-month data retention for pended PA cases</w:t>
      </w:r>
    </w:p>
    <w:p>
      <w:pPr>
        <w:pStyle w:val="Heading2"/>
        <w:spacing w:after="150" w:before="300"/>
      </w:pPr>
      <w:r>
        <w:t xml:space="preserve">Open Questions /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Prior Auth Service should act as CRD server (for non-compliant payers) vs. pure CRD client — recommendation: dual-mode, client-first with policy-engine fallback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Milliman Care Guidelines / InterQual API licensing not yet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 phases 1–3 code not yet directly reviewed (only branch names known) — technical review recommended before Phase 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threshold for auto-approved vs. flagged low-confidence matches not yet defined — needs clinical stakeholder input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Prior_Auth_CRD_DTR_PAS_Process_Flow.pptx</w:t>
      </w:r>
    </w:p>
    <w:p>
      <w:pPr>
        <w:spacing w:after="120"/>
      </w:pPr>
      <w:r>
        <w:t xml:space="preserve">6-slide visual swimlane deck (Provider/EMR · Prior Auth Service/DTR Aggregation · Payer) illustrating the same three-part flow as the Modernization Plan, prepared for Richard Williams, IBM — July 2026. Useful as the presentation-ready companion to the written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1: Title — “CRD / DTR / PAS Process Flow”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2: Legend — swimlanes, shape key, 3-part structure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3: Part I — CRD diagram (order → hook → 4 parallel checks → pass/fail branch)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4: Part II — DTR diagram (questionnaire package → real-time parse vs. pre-embedded → SMART app → data fetch)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5: Part III — Submission &amp; tracking diagram (channel decision → PASBundle or X12 → case record → Evidence Record)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Slide 6: Executive summary — 6-step end-to-end lifecycle (Order → CRD Checklist → DTR Match → Submit → Adjudication → PA Portal)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Prior_Auth_CRD_DTR_PAS_Prototype.html</w:t>
      </w:r>
    </w:p>
    <w:p>
      <w:pPr>
        <w:spacing w:after="120"/>
      </w:pPr>
      <w:r>
        <w:t xml:space="preserve">A standalone, client-side click-through mockup (“Provider Portal · CRD · DTR · PAS”) — no backend calls, all mock data generated client-side. Persona: Dr. Jacob P. Aagaard, MD.</w:t>
      </w:r>
    </w:p>
    <w:p>
      <w:pPr>
        <w:spacing w:after="120"/>
      </w:pPr>
      <w:r>
        <w:t xml:space="preserve">Walks through 6 screens matching the target architecture: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Order &amp; CRD Trigger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CRD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DTR — Medical Necessity Match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Review &amp; Submit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Authorizations / PA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Case Detail</w:t>
      </w:r>
    </w:p>
    <w:p>
      <w:pPr>
        <w:spacing w:after="120"/>
      </w:pPr>
      <w:r>
        <w:t xml:space="preserve">Serves as the interactive UI proof-of-concept referenced in the Modernization Plan's “8 new/updated screens” section (screens 1–4 and 6–7 covered here).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rhtp-cms-0057-f-demo-paths.html</w:t>
      </w:r>
    </w:p>
    <w:p>
      <w:pPr>
        <w:spacing w:after="120"/>
      </w:pPr>
      <w:r>
        <w:t xml:space="preserve">A live demo script / quick-reference guide for the built RHTP application (branch feat/cms0057f-native, app at localhost:4029, FHIR at localhost:8090/fhir, Tier-A/offline mode). This is the most detailed record of what has actually been built and how to drive a demo of it. “Made with IBM Bob.”</w:t>
      </w:r>
    </w:p>
    <w:p>
      <w:pPr>
        <w:pStyle w:val="Heading2"/>
        <w:spacing w:after="150" w:before="300"/>
      </w:pPr>
      <w:r>
        <w:t xml:space="preserve">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Member: Maria Redhawk (maria-sd-001), South Dakota Medicaid — conditions T2DM, HTN, CKD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Provider A (gold-carded): NPI 1730154783 → PA-exempt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Provider B (not gold-carded): NPI 1518998765 → PA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CPT 72148 (MRI lumbar spine) → pa-required-list branch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CPT 75561 (cardiac MRI, Aetna CPB #0520) → criteria-gated / SNOMED-vs-ICD-10 deficiency branch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CPT 0408T (CCM, Aetna CPB #0930, not covered) → likely-denial-experimental branch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SD critical network-adequacy counties: Oglala Lakota (Pine Ridge), Todd (Rosebud)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 counties (2nd seed state): Fulton, DeKalb, Gwinnett, Cobb, Clay</w:t>
      </w:r>
    </w:p>
    <w:p>
      <w:pPr>
        <w:pStyle w:val="Heading2"/>
        <w:spacing w:after="150" w:before="300"/>
      </w:pPr>
      <w:r>
        <w:t xml:space="preserve">8 Demo Scenarios (Acts 1–3)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★ CMS Hub (/cms) — entry point, links to 6 surfaces, all feature-flags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S1 Patient Access (/access) — live FHIR reads via BFF: Coverage, Conditions, ClaimResponses (1 approved, 1 denied w/ reason), consent panel, provenance badge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S2 Golden Thread — Financial Clearance (/financial-clearance) — same order (CPT 72148), two providers: gold-carded Provider A auto-clears (pa-exempt-gold-card, propensity 0); non-gold Provider B routes to PA (pa-required-list) with propensity score + deficiency + remediation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S3 Medical Necessity &amp; Evidence Record (/evidence/{id}) — append-only EvidenceTimeline (determination → gold-card check → propensity → eligibility → estimation), propensity factor breakdown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S3b Policy Engine branches — same FinancialClearanceRunner widget, 3 branches demonstrated by changing the order code (see CPT codes above)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S4 Reviewer Work Queue (/work-queue) — 5 groups by disposition (High-risk review, Ready to submit, More info, Denied-appeal, Auto-cleared), SLA due dates + breach flags (72h/7d)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S5 Stage-3 Handoff — Prior Authorization (/prior-auth) — CRD cards (dev-stubbed), DTR questionnaire (3 clinical questions), human-gated submit (requires named approver), paMachine state rail (crd-check → dtr-fill → ready → submitted)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S2b Provider Access (/provider-access, optional) — $member-match, treatment-relationship authorization basis (vs. member consent)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S2c Payer-to-Payer (/payer-to-payer, optional) — async bulk $export job, StatusTimeline (Consent → Export requested → in-progress → Imported)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S6–S8 Network Adequacy (/network-adequacy) — analyst copilot: gap analysis (Pine Ridge/Rosebud flagged critical), compliance validation (NON-COMPLIANT verdict with per-standard shortfall), augmentation recommendation (human-review gated), state switch SD→GA. Maps to MA §422.116, Medicaid §438.68 + 2024 Access rule, QHP §156.230</w:t>
      </w:r>
    </w:p>
    <w:p>
      <w:pPr>
        <w:pStyle w:val="Heading2"/>
        <w:spacing w:after="150" w:before="300"/>
      </w:pPr>
      <w:r>
        <w:t xml:space="preserve">Honesty / Scope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CRD cards in Stage 5 are devCrdCards() stubs, not engine-driven in offline mode — documented next increment is wiring evaluate() behind the CRD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Criteria-met (approve) path for the Policy Engine is proven only in automated tests (ICD-10 cardiac diagnosis) — not shown live because Maria's seed conditions are SNOMED-coded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Adequacy copilot is deterministic (parses intent, answers from the engine) — works offline with no API key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start_PA_FHIR.sh</w:t>
      </w:r>
    </w:p>
    <w:p>
      <w:pPr>
        <w:spacing w:after="120"/>
      </w:pPr>
      <w:r>
        <w:t xml:space="preserve">Local dev-environment startup script (zsh) that boots the full PA FHIR stack in 5 stages. Root path: ~/Documents/Prior Authorization Rebuild/PA-Standalone-SmartApp.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1700"/>
      </w:tblGrid>
      <w:tr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Port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Docker FHIR servers (EMR, Payer, RHTP)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8080 / 8082 / 8090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Seed FHIR data (Rachel Green persona — EMR + payer records)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CDS Hooks server (order-sign CRD hook)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8081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Intelligent Policy engine (LLM policy engine + DTR eval)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8083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PA SMART App (Next.js frontend, live FHIR mode)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4032</w:t>
            </w:r>
          </w:p>
        </w:tc>
      </w:tr>
    </w:tbl>
    <w:p>
      <w:pPr>
        <w:pStyle w:val="Heading2"/>
        <w:spacing w:after="150" w:before="300"/>
      </w:pPr>
      <w:r>
        <w:t xml:space="preserve">Usage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./start_PA_FHIR.sh — full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./start_PA_FHIR.sh --mock — frontend only, mock mode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./start_PA_FHIR.sh --stop — stop all PA services (Docker containers persist and must be stopped separately: docker stop tcoc-hapi-fhir pa-hapi-payer)</w:t>
      </w:r>
    </w:p>
    <w:p>
      <w:pPr>
        <w:spacing w:after="120"/>
      </w:pPr>
      <w:r>
        <w:t xml:space="preserve">Tracks PIDs in ~/.pa_fhir_pids and logs in ~/.pa_fhir_logs. Note: the demo-paths doc above references a different app port (4029) than this script's stage 5 (4032) — worth reconciling which is current.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CMS-0057-Assessment-Fillable-Clean.docx</w:t>
      </w:r>
    </w:p>
    <w:p>
      <w:pPr>
        <w:spacing w:after="120"/>
      </w:pPr>
      <w:r>
        <w:t xml:space="preserve">A completed CMS-0057 Assessment Questionnaire (“Advancing Interoperability and Prior Authorization”), issued by Onyx Health (assessment.onyxhealth.io). This copy is filled in for a specific Medicaid health plan operating in Idaho, with UM/PBM vendor Telligen for pharmacy.</w:t>
      </w:r>
    </w:p>
    <w:p>
      <w:pPr>
        <w:pStyle w:val="Heading2"/>
        <w:spacing w:after="150" w:before="300"/>
      </w:pPr>
      <w:r>
        <w:t xml:space="preserve">Respondent / Plan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State: Idaho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Access API (CMS-9115) already implemented: Yes, business line = Medicaid only, no Commercial plans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members across all plans: 307,929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Vision and Dental plans offered (same population as general Medicaid, no special carve-outs)</w:t>
      </w:r>
    </w:p>
    <w:p>
      <w:pPr>
        <w:pStyle w:val="Heading2"/>
        <w:spacing w:after="150" w:before="300"/>
      </w:pPr>
      <w:r>
        <w:t xml:space="preserve">PA Volumes &amp; TAT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PAs/month: ~3,300; Drug (pharmacy) PAs/month: ~3,910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Mandated/government lives: 234; Commercial lives: 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Providers submitting PAs (pharmacy channel): 1,707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~10–15% of pharmacy PAs raised don't actually need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Contracted TAT: 7 calendar days standard, 72 hours urgent (per Telligen contract); actual pharmacy average TAT measured at 289:14:36 (mostly fax-based); medical TAT varies by business 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consolidation platform used to submit PAs (pharmacy: No; medical: Unsure)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EMR used by providers: Epic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Auto-approval rules: Yes for pharmacy, No for medical; auto-approval rate not tracked</w:t>
      </w:r>
    </w:p>
    <w:p>
      <w:pPr>
        <w:pStyle w:val="Heading2"/>
        <w:spacing w:after="150" w:before="300"/>
      </w:pPr>
      <w:r>
        <w:t xml:space="preserve">UM Vendors &amp; Guidelines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independent UM vendors (no single coordinating primary vendor)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Medical policy guideline vendor: MCG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Internal UM department: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vendor PA decision data with clinical support: batch reporting only (not real-time)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vendor(s) have announced support for CMS-0057 recommended Implementation Guides: Yes</w:t>
      </w:r>
    </w:p>
    <w:p>
      <w:pPr>
        <w:pStyle w:val="Heading2"/>
        <w:spacing w:after="150" w:before="300"/>
      </w:pPr>
      <w:r>
        <w:t xml:space="preserve">Interoperability / API Maturity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PAA (CMS-9115) vendor: Onyx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Access API exposes Claims data; not Clinical, Provider Directory (unsure), or Formulary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Maturity levels (1=Ad Hoc → 5=Optimized):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Patient Access API: 4 — Managed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Provider Access API: 2 — Initial (planned, not yet implemented)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Payer-to-Payer API: 2 — Initial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Prior Authorization API: 2 — Initial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Developer Portal exists: Yes — SAFHIR Development Portal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current process for attributing members to providers (Provider Access section)</w:t>
      </w:r>
    </w:p>
    <w:p>
      <w:pPr>
        <w:spacing w:after="120"/>
      </w:pPr>
      <w:r>
        <w:t xml:space="preserve">Takeaway: this plan is well ahead on the Patient Access API (already Managed-level) but still Initial-stage on Provider Access, Payer-to-Payer, and Prior Authorization APIs — exactly the three provisions the modernization plan and RHTP prototype target.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P2P Implementation Playbook (Onyx Technology, 2025)</w:t>
      </w:r>
    </w:p>
    <w:p>
      <w:pPr>
        <w:spacing w:after="120"/>
      </w:pPr>
      <w:r>
        <w:t xml:space="preserve">A 21-page confidential/proprietary vendor implementation guide from Onyx Technology (“OnyxPayer Payer to Payer”) describing how health plans implement the CMS-0057-aligned Payer-to-Payer (P2P) exchange of clinical (non-financial) data when a member switches plans. Deadline referenced: January 1, 2027. Scope: data from 2016 onward; not required for mandated↔commercial transitions (but supportable voluntarily).</w:t>
      </w:r>
    </w:p>
    <w:p>
      <w:pPr>
        <w:pStyle w:val="Heading2"/>
        <w:spacing w:after="150" w:before="300"/>
      </w:pPr>
      <w:r>
        <w:t xml:space="preserve">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Payer (“Data requestor”) — member's active plan; executes consent capture, demographic/coverage submission, $member-match, FHIR ingest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Payer (“Data supplier”) — member's prior plan/custodian; executes registration portal setup, request review, identity resolution, $davinci-data-export, FHIR-compliant export provisioning</w:t>
      </w:r>
    </w:p>
    <w:p>
      <w:pPr>
        <w:pStyle w:val="Heading2"/>
        <w:spacing w:after="150" w:before="300"/>
      </w:pPr>
      <w:r>
        <w:t xml:space="preserve">Workflow — “Get Data” (New Payer, via OnyxPayer app)</w:t>
      </w:r>
    </w:p>
    <w:p>
      <w:pPr>
        <w:spacing w:after="120"/>
      </w:pPr>
      <w:r>
        <w:t xml:space="preserve">Roughly: gather consent/demographic/prior-coverage inputs → create Onyx Payer admin account → register on Old Payer's registration portal → receive credentials (Client ID/Secret/Token URL/Scope/Member Match URL/Export URL) → create connection in OnyxPayer → run member match (view Matched/Unmatched/Consent-Constrained counts by Group ID) → export matched members via Da Vinci $davinci-data-export as NDJSON → transfer files (Old Payer pushes to New Payer's SFTP, or New Payer pulls) → Bulk Uploader ingests NDJSON into New Payer's FHIR server.</w:t>
      </w:r>
    </w:p>
    <w:p>
      <w:pPr>
        <w:pStyle w:val="Heading2"/>
        <w:spacing w:after="150" w:before="300"/>
      </w:pPr>
      <w:r>
        <w:t xml:space="preserve">Workflow — “Give Data” (Old Payer)</w:t>
      </w:r>
    </w:p>
    <w:p>
      <w:pPr>
        <w:spacing w:after="120"/>
      </w:pPr>
      <w:r>
        <w:t xml:space="preserve">Register on Onyx Registration Portal as Payer Admin → approve New Payer access requests via Payer Admin Portal → share credentials (Client ID/Secret/Member Match &amp; Export URLs) once approved.</w:t>
      </w:r>
    </w:p>
    <w:p>
      <w:pPr>
        <w:pStyle w:val="Heading2"/>
        <w:spacing w:after="150" w:before="300"/>
      </w:pPr>
      <w:r>
        <w:t xml:space="preserve">Onyx GA Standard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Member Match API — matches multiple members, categorized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 Vinci Data Export APIs — exports FHIR resources with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Payer-to-Payer Bulk Uploads — NDJSON from old payer into new payer's FHIR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FHIR Import APIs (Azure &amp; AWS) — bulk FHIR resource import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Developer Portal — payer registration and app provisioning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 2.0 — Client Credentials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CSV-to-JSON Converter &amp; Validator — for bulk matching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FITE Cards — IG conformance / scope discovery via capability statements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 Collections — prebuilt requests/environments for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OnyxPayer UI add-ons: connection management, data upload/validation, member matching UI</w:t>
      </w:r>
    </w:p>
    <w:p>
      <w:pPr>
        <w:pStyle w:val="Heading2"/>
        <w:spacing w:after="150" w:before="300"/>
      </w:pPr>
      <w:r>
        <w:t xml:space="preserve">Onboarding — Working Sessions</w:t>
      </w:r>
    </w:p>
    <w:p>
      <w:pPr>
        <w:spacing w:after="120"/>
      </w:pPr>
      <w:r>
        <w:t xml:space="preserve">Structured session sequence: PM-to-PM pre-kickoff (0.5h) → Kick-off Meeting (1h, full stakeholder group: PM, IT Lead, Business Stakeholders, Enterprise Solution Architect, Cloud Engineer, Data SME, Consent Management, Member Portal Team) → Discovery Session 1: P2P Introduction &amp; Demo (1h) → Discovery Session 2: Member Coverage / Interoperability (partial capture) → Discovery Session 3: Open Q&amp;A (1h). Each session lists specific artifacts produced (RACI Matrix, Project Plan draft, Implementation Roadmap, User Manuals, FAQs).</w:t>
      </w:r>
    </w:p>
    <w:p>
      <w:pPr>
        <w:spacing w:after="120"/>
      </w:pPr>
      <w:r>
        <w:t xml:space="preserve">Relevance: this is third-party (Onyx) reference material for how a vendor implements Payer-to-Payer — useful as a comparison point against the in-house RHTP /payer-to-payer surface (S2c in the demo-paths doc) and the Provider Access/P2P sections of the Modernization Plan.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Prior_Auth_Cost_Model.xlsx</w:t>
      </w:r>
    </w:p>
    <w:p>
      <w:pPr>
        <w:spacing w:after="120"/>
      </w:pPr>
      <w:r>
        <w:t xml:space="preserve">Cost model specifically for the CRD/DTR/PAS modernization build described in the Modernization Plan. Prepared for Richard Williams. All figures illustrative.</w:t>
      </w:r>
    </w:p>
    <w:p>
      <w:pPr>
        <w:pStyle w:val="Heading2"/>
        <w:spacing w:after="150" w:before="300"/>
      </w:pPr>
      <w:r>
        <w:t xml:space="preserve">Sheets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Assumptions — blended daily labor rates by role: Tech Lead $1,450/day, Backend/FHIR Engineers $1,100/day, Data/Integration Engineer $1,100/day, Frontend Engineer $1,000/day, QA Engineer $900/day, Security Engineer $1,250/day, Product/Clinical SME $1,300/day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Cost Detail — line-item tasks by phase (S0 discovery through 4A build phase and beyond), each with owner role, person-days, and computed cost. E.g. S0-01 Repo &amp; Environment Review (3 days, $4,350); 4A-01 CDS Hooks Client (5 days, $5,500); 4A-08 CRD Checklist UI (5 days, $5,000)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Summary — total labor cost by role: Tech Lead $10,875, Backend/FHIR Engineer 1 $62,700 (57 days), Backend/FHIR Engineer 2 $51,700 (47 days), Data/Integration Engineer $14,300, Frontend Engineer $32,000, QA Engineer $25,200, Security Engineer $5,000, Product/Clinical SME $15,600, Project Manager $4,200 — scope: 1 payer set of test/build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Ongoing Run-Rate (post go-live) — total monthly run-rate $48,884.79, comprising: Infrastructure &amp; Hosting $7,560/mo, Third-Party Licensing (Milliman/InterQual) $15,083/mo, Backend/FHIR support labor $11,935/mo, QA support labor $4,882.50/mo, additional EMR connections $1,500/mo, payer connection monitoring $2,250/mo, SOC 2 Type II annual renewal ($2,083.33/mo amortized), clinical policy revision $890.63/mo, facility connectivity $2,700/mo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RHTP_Cost_Model V1.0.xlsx</w:t>
      </w:r>
    </w:p>
    <w:p>
      <w:pPr>
        <w:spacing w:after="120"/>
      </w:pPr>
      <w:r>
        <w:t xml:space="preserve">Companion cost workbook to the broader RHTP (Rural Health / Total Cost of Care) platform plan — models the full 23-module reference architecture phased across 3 build phases plus discovery. Explicitly a structural placeholder: “placeholder rates — replace with your team's actuals.”</w:t>
      </w:r>
    </w:p>
    <w:p>
      <w:pPr>
        <w:pStyle w:val="Heading2"/>
        <w:spacing w:after="150" w:before="300"/>
      </w:pPr>
      <w:r>
        <w:t xml:space="preserve">Rate Card (illustrative)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600"/>
      </w:tblGrid>
      <w:tr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Onshore $/hr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Offshore $/hr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Engagement / Program Lead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220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Solution Architect (FHIR)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245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85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AI / Agent Orchestration Engineer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210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75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Data / Integration Engineer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185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Platform / DevSecOps Engineer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190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UX / Product Designer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165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55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QA / Test Engineer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150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Clinical / Business SME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Change Mgmt / Training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160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Support Analyst (L1/L2)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130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</w:tr>
    </w:tbl>
    <w:p>
      <w:pPr>
        <w:pStyle w:val="Heading2"/>
        <w:spacing w:after="150" w:before="300"/>
      </w:pPr>
      <w:r>
        <w:t xml:space="preserve">23 Modules Across 3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Platform (5): FHIR-Native Integration, Knowledge Graph &amp; Master Person Index, Consent &amp; Governance, Agent Orchestration Engine, Identity/Security/Access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 Modules: Care Manager Workspace, Case Manager/Care Coordinator, Community-Based Organization Referral, and others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Connectors: Clinical EHR FHIR, Claims &amp; Eligibility, SDOH Manual Assessment, and others</w:t>
      </w:r>
    </w:p>
    <w:p>
      <w:pPr>
        <w:pStyle w:val="Heading2"/>
        <w:spacing w:after="150" w:before="300"/>
      </w:pPr>
      <w:r>
        <w:t xml:space="preserve">Phase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2400"/>
      </w:tblGrid>
      <w:tr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Duration (mo)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# Modules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Build Cost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Phase 0 — Discovery &amp; Foundation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fixed-scope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$150,000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Phase 1 — MVP / First Value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3.5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$1,153,880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Phase 2 — Expand Reach &amp; Real-Time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$317,200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Phase 3 — Program &amp; Population Scale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$490,880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$2,111,960</w:t>
            </w:r>
          </w:p>
        </w:tc>
      </w:tr>
    </w:tbl>
    <w:p>
      <w:pPr>
        <w:pStyle w:val="Heading2"/>
        <w:spacing w:after="150" w:before="300"/>
      </w:pPr>
      <w:r>
        <w:t xml:space="preserve">Run &amp; Maintain (Annual, Steady State)</w:t>
      </w:r>
    </w:p>
    <w:p>
      <w:pPr>
        <w:spacing w:after="120"/>
      </w:pPr>
      <w:r>
        <w:t xml:space="preserve">Steady-state labor subtotal: $1,423,200/yr across Platform/DevSecOps (1.5 FTE), Data/Integration (1.5 FTE), AI/Agent Orchestration (1 FTE), QA (0.5 FTE), Support Analyst (1.5 FTE), Program Lead (0.5 FTE), Clinical SME (0.25 FTE). Plus infrastructure/cloud/licensing (cloud hosting placeholder $600,000/yr).</w:t>
      </w:r>
    </w:p>
    <w:p>
      <w:pPr>
        <w:pStyle w:val="Heading2"/>
        <w:spacing w:after="150" w:before="300"/>
      </w:pPr>
      <w:r>
        <w:t xml:space="preserve">ROI Illustration (Phase 1 pilot)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Pilot cohort: 7,500 members; baseline avoidable ED visit rate 35%; avg avoidable cost/visit $1,800; target 10% reduction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→ 2,625 baseline avoidable visits; 262.5 avoided at target; gross annual avoided-cost benefit: $472,500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Compared against Phase 1 build cost ($1,153,880) + partial-year run cost ($909,280)</w:t>
      </w:r>
    </w:p>
    <w:p>
      <w:pPr>
        <w:pStyle w:val="Heading2"/>
        <w:spacing w:after="150" w:before="300"/>
      </w:pPr>
      <w:r>
        <w:t xml:space="preserve">Approach A vs. Approach B (Build vs. Partner/Asset Model)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400"/>
        <w:gridCol w:w="1700"/>
      </w:tblGrid>
      <w:tr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Approach A (Full Custom)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Approach B (Asset + Partner)</w:t>
            </w:r>
          </w:p>
        </w:tc>
        <w:tc>
          <w:tcPr>
            <w:tcW w:type="dxa" w:w="0"/>
            <w:shd w:fill="E8EEF7" w:val="clear"/>
          </w:tcPr>
          <w:p>
            <w:r>
              <w:rPr>
                <w:b/>
                <w:bCs/>
              </w:rPr>
              <w:t xml:space="preserve">Difference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Total build cost, all phases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$2,111,960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$1,674,732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$437,228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Phase 0+1 / MVP build cost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$1,303,880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$1,013,552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$290,328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IBM upfront asset investment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$856,128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1st client's incremental cost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$1,153,880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$157,424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$996,456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Total duration, all phases (mo)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10.5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3.5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Time to first live functionality (mo)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3.75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1.25</w:t>
            </w:r>
          </w:p>
        </w:tc>
      </w:tr>
      <w:tr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Annual run cost, steady state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$2,273,200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$2,059,720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</w:rPr>
              <w:t xml:space="preserve">$213,480</w:t>
            </w:r>
          </w:p>
        </w:tc>
      </w:tr>
    </w:tbl>
    <w:p>
      <w:pPr>
        <w:spacing w:after="120"/>
      </w:pPr>
      <w:r>
        <w:t xml:space="preserve">Approach B (build a reusable IBM asset once, then leverage it per client via a partner-delivery model) cuts a new client's incremental cost from $1.15M to $157K and shortens time-to-first-value by over a month, at the cost of an $856K upfront IBM investment.</w:t>
      </w:r>
    </w:p>
    <w:p>
      <w:pPr>
        <w:pStyle w:val="Heading2"/>
        <w:spacing w:after="150" w:before="300"/>
      </w:pPr>
      <w:r>
        <w:t xml:space="preserve">Module Specification Sheet</w:t>
      </w:r>
    </w:p>
    <w:p>
      <w:pPr>
        <w:spacing w:after="120"/>
      </w:pPr>
      <w:r>
        <w:t xml:space="preserve">Maps all 23 modules to: category, phase, associated screen/view, key inputs, key outputs, and dev-team development hours (e.g. C1 FHIR-Native Integration = 1,280 hrs; C4 Agent Orchestration Engine = 1,600 hrs; C3 Consent &amp; Governance = 640 hrs).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2026-08-06T13:04:33.975Z</dcterms:created>
  <dcterms:modified xsi:type="dcterms:W3CDTF">2026-08-06T13:04:33.976Z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