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pPr>
      <w:r>
        <w:rPr>
          <w:b/>
          <w:bCs/>
          <w:sz w:val="40"/>
          <w:szCs w:val="40"/>
        </w:rPr>
        <w:t xml:space="preserve">CMS-0057-F Data Mapping &amp; Extract Requirements</w:t>
      </w:r>
    </w:p>
    <w:p>
      <w:pPr>
        <w:spacing w:after="400"/>
      </w:pPr>
      <w:r>
        <w:rPr>
          <w:color w:val="444444"/>
          <w:sz w:val="26"/>
          <w:szCs w:val="26"/>
        </w:rPr>
        <w:t xml:space="preserve">Gap Analysis Against the Current Patient Access Repository</w:t>
      </w:r>
    </w:p>
    <w:p>
      <w:pPr>
        <w:spacing w:after="80"/>
      </w:pPr>
      <w:r>
        <w:rPr>
          <w:b/>
          <w:bCs/>
        </w:rPr>
        <w:t xml:space="preserve">Prepared for: </w:t>
      </w:r>
      <w:r>
        <w:t xml:space="preserve">Richard Williams, IBM</w:t>
      </w:r>
    </w:p>
    <w:p>
      <w:pPr>
        <w:spacing w:after="80"/>
      </w:pPr>
      <w:r>
        <w:rPr>
          <w:b/>
          <w:bCs/>
        </w:rPr>
        <w:t xml:space="preserve">Date: </w:t>
      </w:r>
      <w:r>
        <w:t xml:space="preserve">August 6, 2026</w:t>
      </w:r>
    </w:p>
    <w:p>
      <w:pPr>
        <w:spacing w:after="400"/>
      </w:pPr>
      <w:r>
        <w:rPr>
          <w:b/>
          <w:bCs/>
        </w:rPr>
        <w:t xml:space="preserve">Companion to: </w:t>
      </w:r>
      <w:r>
        <w:t xml:space="preserve">Prior Authorization Modernization Plan; CMS-0057 Assessment Questionnaire; RFI 2026HCA13 response</w:t>
      </w:r>
    </w:p>
    <w:p>
      <w:pPr>
        <w:pBdr>
          <w:bottom w:val="single" w:color="AAAAAA" w:sz="6" w:space="1"/>
        </w:pBdr>
        <w:spacing w:after="200"/>
      </w:pPr>
    </w:p>
    <w:p>
      <w:pPr>
        <w:spacing w:after="140"/>
        <w:jc w:val="both"/>
      </w:pPr>
      <w:r>
        <w:t xml:space="preserve">This document summarizes exactly what data CMS-0057-F requires payers to map, extract, and expose — across the Patient Access, Provider Access, and Payer-to-Payer APIs — and evaluates that requirement against the current-state Patient Access implementation documented in IBM's CMS-0057 Assessment Questionnaire engagement. It closes with what IBM's RHTP platform already does to close the gap, and what remains open.</w:t>
      </w:r>
    </w:p>
    <w:p>
      <w:r>
        <w:br w:type="page"/>
      </w:r>
    </w:p>
    <w:p>
      <w:pPr>
        <w:pStyle w:val="Heading1"/>
        <w:spacing w:after="160" w:before="360"/>
      </w:pPr>
      <w:r>
        <w:t xml:space="preserve">1. Purpose &amp; Scope</w:t>
      </w:r>
    </w:p>
    <w:p>
      <w:pPr>
        <w:spacing w:after="140"/>
        <w:jc w:val="both"/>
      </w:pPr>
      <w:r>
        <w:t xml:space="preserve">CMS-0057-F is frequently discussed as "four new APIs," but from a data-engineering standpoint it is better understood as a single, expanded data-mapping requirement — the same three categories of data, re-used across three different sharing mechanisms, each with its own audience, consent model, and retrieval pattern. This document lays out that requirement precisely, then evaluates it against a real current-state baseline: the CMS-0057 Assessment Questionnaire IBM completed for a Medicaid managed care health plan, which found a Patient Access API exposing Claims data only. The gap between that baseline and CMS-0057-F's expanded requirement is the actual scope of the data-mapping and extract work a payer needs to plan for, and it is the same gap IBM's RHTP platform is built to close.</w:t>
      </w:r>
    </w:p>
    <w:p>
      <w:r>
        <w:br w:type="page"/>
      </w:r>
    </w:p>
    <w:p>
      <w:pPr>
        <w:pStyle w:val="Heading1"/>
        <w:spacing w:after="160" w:before="360"/>
      </w:pPr>
      <w:r>
        <w:t xml:space="preserve">2. The Three Data Categories CMS-0057-F Requires</w:t>
      </w:r>
    </w:p>
    <w:p>
      <w:pPr>
        <w:spacing w:after="140"/>
        <w:jc w:val="both"/>
      </w:pPr>
      <w:r>
        <w:t xml:space="preserve">Every one of CMS-0057-F's three data-sharing APIs — Patient Access, Provider Access, and Payer-to-Payer — is built from the same three underlying data categories. What differs between the three APIs is not what data exists, but who can request it, under what consent basis, and how far back it must reach.</w:t>
      </w:r>
    </w:p>
    <w:p>
      <w:pPr>
        <w:pStyle w:val="Heading2"/>
        <w:spacing w:after="120" w:before="260"/>
      </w:pPr>
      <w:r>
        <w:t xml:space="preserve">2.1 Claims and encounter data</w:t>
      </w:r>
    </w:p>
    <w:p>
      <w:pPr>
        <w:spacing w:after="140"/>
        <w:jc w:val="both"/>
      </w:pPr>
      <w:r>
        <w:t xml:space="preserve">Individual claims and encounter data, excluding provider remittances and enrollee cost-sharing amounts. This is the category most payers already have the most mature pipeline for, since it was the core of the original CMS-9115 Patient Access API baseline.</w:t>
      </w:r>
    </w:p>
    <w:p>
      <w:pPr>
        <w:pStyle w:val="Heading2"/>
        <w:spacing w:after="120" w:before="260"/>
      </w:pPr>
      <w:r>
        <w:t xml:space="preserve">2.2 USCDI v3 clinical data</w:t>
      </w:r>
    </w:p>
    <w:p>
      <w:pPr>
        <w:spacing w:after="140"/>
        <w:jc w:val="both"/>
      </w:pPr>
      <w:r>
        <w:t xml:space="preserve">Data classes and data elements defined in USCDI Version 3 — a materially larger set than the USCDI v1 baseline most CMS-9115 Patient Access implementations were built against. Conditions, and any other USCDI v3 class not currently mapped, fall in this category. This is typically the largest incremental mapping effort, because it requires new extracts from clinical or care-management systems that a claims-only Patient Access implementation never had to touch.</w:t>
      </w:r>
    </w:p>
    <w:p>
      <w:pPr>
        <w:pStyle w:val="Heading2"/>
        <w:spacing w:after="120" w:before="260"/>
      </w:pPr>
      <w:r>
        <w:t xml:space="preserve">2.3 Prior authorization status data</w:t>
      </w:r>
    </w:p>
    <w:p>
      <w:pPr>
        <w:spacing w:after="140"/>
        <w:jc w:val="both"/>
      </w:pPr>
      <w:r>
        <w:t xml:space="preserve">Structured prior-authorization status, approval or denial dates, and the specific reason for any denial, for everything except drug prior authorizations. This category did not exist as a requirement before CMS-0057-F — it is entirely new, and it is also the category most directly produced by a working CRD/DTR/PAS implementation rather than extracted from an existing system of record, since the PA determination itself is what generates this data in the first place.</w:t>
      </w:r>
    </w:p>
    <w:p>
      <w:r>
        <w:br w:type="page"/>
      </w:r>
    </w:p>
    <w:p>
      <w:pPr>
        <w:pStyle w:val="Heading1"/>
        <w:spacing w:after="160" w:before="360"/>
      </w:pPr>
      <w:r>
        <w:t xml:space="preserve">3. Where Each Data Category Is Required</w:t>
      </w:r>
    </w:p>
    <w:p>
      <w:pPr>
        <w:spacing w:after="140"/>
        <w:jc w:val="both"/>
      </w:pPr>
      <w:r>
        <w:t xml:space="preserve">The table below maps the three data categories against the three sharing APIs, along with the retrieval mechanism and retention/look-back window CMS-0057-F sets for each. All three APIs are built on FHIR R4.0.1.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0"/>
        <w:gridCol w:w="2780"/>
        <w:gridCol w:w="2780"/>
        <w:gridCol w:w="2260"/>
      </w:tblGrid>
      <w:tr>
        <w:tc>
          <w:tcPr>
            <w:tcW w:type="dxa" w:w="0"/>
            <w:shd w:fill="E8EEF7" w:val="clear"/>
          </w:tcPr>
          <w:p>
            <w:r>
              <w:rPr>
                <w:b/>
                <w:bCs/>
                <w:sz w:val="18"/>
                <w:szCs w:val="18"/>
              </w:rPr>
              <w:t xml:space="preserve">API</w:t>
            </w:r>
          </w:p>
        </w:tc>
        <w:tc>
          <w:tcPr>
            <w:tcW w:type="dxa" w:w="0"/>
            <w:shd w:fill="E8EEF7" w:val="clear"/>
          </w:tcPr>
          <w:p>
            <w:r>
              <w:rPr>
                <w:b/>
                <w:bCs/>
                <w:sz w:val="18"/>
                <w:szCs w:val="18"/>
              </w:rPr>
              <w:t xml:space="preserve">Data Categories Required</w:t>
            </w:r>
          </w:p>
        </w:tc>
        <w:tc>
          <w:tcPr>
            <w:tcW w:type="dxa" w:w="0"/>
            <w:shd w:fill="E8EEF7" w:val="clear"/>
          </w:tcPr>
          <w:p>
            <w:r>
              <w:rPr>
                <w:b/>
                <w:bCs/>
                <w:sz w:val="18"/>
                <w:szCs w:val="18"/>
              </w:rPr>
              <w:t xml:space="preserve">Retrieval Mechanism</w:t>
            </w:r>
          </w:p>
        </w:tc>
        <w:tc>
          <w:tcPr>
            <w:tcW w:type="dxa" w:w="0"/>
            <w:shd w:fill="E8EEF7" w:val="clear"/>
          </w:tcPr>
          <w:p>
            <w:r>
              <w:rPr>
                <w:b/>
                <w:bCs/>
                <w:sz w:val="18"/>
                <w:szCs w:val="18"/>
              </w:rPr>
              <w:t xml:space="preserve">Look-Back / Retention</w:t>
            </w:r>
          </w:p>
        </w:tc>
      </w:tr>
      <w:tr>
        <w:tc>
          <w:tcPr>
            <w:tcW w:type="dxa" w:w="0"/>
          </w:tcPr>
          <w:p>
            <w:r>
              <w:rPr>
                <w:b w:val="false"/>
                <w:bCs w:val="false"/>
                <w:sz w:val="18"/>
                <w:szCs w:val="18"/>
              </w:rPr>
              <w:t xml:space="preserve">Patient Access API
(member-initiated, via app of choice)</w:t>
            </w:r>
          </w:p>
        </w:tc>
        <w:tc>
          <w:tcPr>
            <w:tcW w:type="dxa" w:w="0"/>
          </w:tcPr>
          <w:p>
            <w:r>
              <w:rPr>
                <w:b w:val="false"/>
                <w:bCs w:val="false"/>
                <w:sz w:val="18"/>
                <w:szCs w:val="18"/>
              </w:rPr>
              <w:t xml:space="preserve">Claims &amp; encounter · USCDI v3 · PA status/decision (incl. denial reason)</w:t>
            </w:r>
          </w:p>
        </w:tc>
        <w:tc>
          <w:tcPr>
            <w:tcW w:type="dxa" w:w="0"/>
          </w:tcPr>
          <w:p>
            <w:r>
              <w:rPr>
                <w:b w:val="false"/>
                <w:bCs w:val="false"/>
                <w:sz w:val="18"/>
                <w:szCs w:val="18"/>
              </w:rPr>
              <w:t xml:space="preserve">Individual FHIR reads via a member-authorized third-party app</w:t>
            </w:r>
          </w:p>
        </w:tc>
        <w:tc>
          <w:tcPr>
            <w:tcW w:type="dxa" w:w="0"/>
          </w:tcPr>
          <w:p>
            <w:r>
              <w:rPr>
                <w:b w:val="false"/>
                <w:bCs w:val="false"/>
                <w:sz w:val="18"/>
                <w:szCs w:val="18"/>
              </w:rPr>
              <w:t xml:space="preserve">PA status data retained ≥ 1 year after last status change</w:t>
            </w:r>
          </w:p>
        </w:tc>
      </w:tr>
      <w:tr>
        <w:tc>
          <w:tcPr>
            <w:tcW w:type="dxa" w:w="0"/>
          </w:tcPr>
          <w:p>
            <w:r>
              <w:rPr>
                <w:b w:val="false"/>
                <w:bCs w:val="false"/>
                <w:sz w:val="18"/>
                <w:szCs w:val="18"/>
              </w:rPr>
              <w:t xml:space="preserve">Provider Access API
(treatment-relationship basis)</w:t>
            </w:r>
          </w:p>
        </w:tc>
        <w:tc>
          <w:tcPr>
            <w:tcW w:type="dxa" w:w="0"/>
          </w:tcPr>
          <w:p>
            <w:r>
              <w:rPr>
                <w:b w:val="false"/>
                <w:bCs w:val="false"/>
                <w:sz w:val="18"/>
                <w:szCs w:val="18"/>
              </w:rPr>
              <w:t xml:space="preserve">Claims &amp; encounter · USCDI v3 · PA status/decision</w:t>
            </w:r>
          </w:p>
        </w:tc>
        <w:tc>
          <w:tcPr>
            <w:tcW w:type="dxa" w:w="0"/>
          </w:tcPr>
          <w:p>
            <w:r>
              <w:rPr>
                <w:b w:val="false"/>
                <w:bCs w:val="false"/>
                <w:sz w:val="18"/>
                <w:szCs w:val="18"/>
              </w:rPr>
              <w:t xml:space="preserve">Bulk FHIR $export, authenticated via SMART Backend Services, scoped to the provider's attributed member population</w:t>
            </w:r>
          </w:p>
        </w:tc>
        <w:tc>
          <w:tcPr>
            <w:tcW w:type="dxa" w:w="0"/>
          </w:tcPr>
          <w:p>
            <w:r>
              <w:rPr>
                <w:b w:val="false"/>
                <w:bCs w:val="false"/>
                <w:sz w:val="18"/>
                <w:szCs w:val="18"/>
              </w:rPr>
              <w:t xml:space="preserve">5 years of data from the date of the request</w:t>
            </w:r>
          </w:p>
        </w:tc>
      </w:tr>
      <w:tr>
        <w:tc>
          <w:tcPr>
            <w:tcW w:type="dxa" w:w="0"/>
          </w:tcPr>
          <w:p>
            <w:r>
              <w:rPr>
                <w:b w:val="false"/>
                <w:bCs w:val="false"/>
                <w:sz w:val="18"/>
                <w:szCs w:val="18"/>
              </w:rPr>
              <w:t xml:space="preserve">Payer-to-Payer API
(opt-in member consent, plan-to-plan)</w:t>
            </w:r>
          </w:p>
        </w:tc>
        <w:tc>
          <w:tcPr>
            <w:tcW w:type="dxa" w:w="0"/>
          </w:tcPr>
          <w:p>
            <w:r>
              <w:rPr>
                <w:b w:val="false"/>
                <w:bCs w:val="false"/>
                <w:sz w:val="18"/>
                <w:szCs w:val="18"/>
              </w:rPr>
              <w:t xml:space="preserve">Claims &amp; encounter · USCDI v3 · PA status/decision</w:t>
            </w:r>
          </w:p>
        </w:tc>
        <w:tc>
          <w:tcPr>
            <w:tcW w:type="dxa" w:w="0"/>
          </w:tcPr>
          <w:p>
            <w:r>
              <w:rPr>
                <w:b w:val="false"/>
                <w:bCs w:val="false"/>
                <w:sz w:val="18"/>
                <w:szCs w:val="18"/>
              </w:rPr>
              <w:t xml:space="preserve">Bulk data exchange (Da Vinci $davinci-data-export / NDJSON) between the prior and new payer</w:t>
            </w:r>
          </w:p>
        </w:tc>
        <w:tc>
          <w:tcPr>
            <w:tcW w:type="dxa" w:w="0"/>
          </w:tcPr>
          <w:p>
            <w:r>
              <w:rPr>
                <w:b w:val="false"/>
                <w:bCs w:val="false"/>
                <w:sz w:val="18"/>
                <w:szCs w:val="18"/>
              </w:rPr>
              <w:t xml:space="preserve">Back to January 1, 2016, or the member's enrollment date if later</w:t>
            </w:r>
          </w:p>
        </w:tc>
      </w:tr>
    </w:tbl>
    <w:p>
      <w:pPr>
        <w:spacing w:after="140"/>
        <w:jc w:val="both"/>
      </w:pPr>
      <w:r>
        <w:t xml:space="preserve">A fourth, separate obligation sits alongside the three data-sharing APIs rather than inside them: automated tracking and reporting of Patient Access API usage metrics (required annually, starting January 1, 2026) and of prior-authorization turnaround-time and decision metrics (publicly reported on the timelines CMS specifies). This is a reporting pipeline requirement, not a data-mapping one, but it depends on the same underlying data being structured and captured correctly in the first place.</w:t>
      </w:r>
    </w:p>
    <w:p>
      <w:r>
        <w:br w:type="page"/>
      </w:r>
    </w:p>
    <w:p>
      <w:pPr>
        <w:pStyle w:val="Heading1"/>
        <w:spacing w:after="160" w:before="360"/>
      </w:pPr>
      <w:r>
        <w:t xml:space="preserve">4. Current-State Gap</w:t>
      </w:r>
    </w:p>
    <w:p>
      <w:pPr>
        <w:spacing w:after="140"/>
        <w:jc w:val="both"/>
      </w:pPr>
      <w:r>
        <w:t xml:space="preserve">IBM's CMS-0057 Assessment Questionnaire engagement with a Medicaid managed care health plan is the clearest available evidence of what a typical current-state Patient Access implementation looks like going into this rule. That plan confirmed its Patient Access API (implemented under the original CMS-9115 requirement) exposes Claims data, but recorded Clinical data as not implemented, Provider Directory data as unsure/not confirmed, and Formulary data as not implemented. Its own CMS-0057-F maturity self-assessment placed Patient Access API at "4 — Managed" (fully implemented and monitored) but Provider Access, Payer-to-Payer, and Prior Authorization APIs at "2 — Initial" (planned but not yet implemented) across the board.</w:t>
      </w:r>
    </w:p>
    <w:p>
      <w:pPr>
        <w:spacing w:after="140"/>
        <w:jc w:val="both"/>
      </w:pPr>
      <w:r>
        <w:t xml:space="preserve">Read against Section 3's requirement table, that self-assessment is optimistic on the Patient Access side specifically. A "Managed" rating reflects strong operational maturity on the CMS-9115 baseline (Claims data, reliably exposed), but CMS-0057-F adds two full data categories on top of that baseline — USCDI v3 clinical data and prior-authorization status data — that this plan's current implementation does not yet cover. In practice, the Patient Access API itself needs materially new data mapping work before it can be called CMS-0057-F-managed, even though the existing Claims pipeline it's built on is genuinely mature.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60"/>
        <w:gridCol w:w="2955"/>
        <w:gridCol w:w="2865"/>
      </w:tblGrid>
      <w:tr>
        <w:tc>
          <w:tcPr>
            <w:tcW w:type="dxa" w:w="0"/>
            <w:shd w:fill="E8EEF7" w:val="clear"/>
          </w:tcPr>
          <w:p>
            <w:r>
              <w:rPr>
                <w:b/>
                <w:bCs/>
                <w:sz w:val="18"/>
                <w:szCs w:val="18"/>
              </w:rPr>
              <w:t xml:space="preserve">Data Category</w:t>
            </w:r>
          </w:p>
        </w:tc>
        <w:tc>
          <w:tcPr>
            <w:tcW w:type="dxa" w:w="0"/>
            <w:shd w:fill="E8EEF7" w:val="clear"/>
          </w:tcPr>
          <w:p>
            <w:r>
              <w:rPr>
                <w:b/>
                <w:bCs/>
                <w:sz w:val="18"/>
                <w:szCs w:val="18"/>
              </w:rPr>
              <w:t xml:space="preserve">Current State (assessed plan)</w:t>
            </w:r>
          </w:p>
        </w:tc>
        <w:tc>
          <w:tcPr>
            <w:tcW w:type="dxa" w:w="0"/>
            <w:shd w:fill="E8EEF7" w:val="clear"/>
          </w:tcPr>
          <w:p>
            <w:r>
              <w:rPr>
                <w:b/>
                <w:bCs/>
                <w:sz w:val="18"/>
                <w:szCs w:val="18"/>
              </w:rPr>
              <w:t xml:space="preserve">CMS-0057-F Requirement</w:t>
            </w:r>
          </w:p>
        </w:tc>
        <w:tc>
          <w:tcPr>
            <w:tcW w:type="dxa" w:w="0"/>
            <w:shd w:fill="E8EEF7" w:val="clear"/>
          </w:tcPr>
          <w:p>
            <w:r>
              <w:rPr>
                <w:b/>
                <w:bCs/>
                <w:sz w:val="18"/>
                <w:szCs w:val="18"/>
              </w:rPr>
              <w:t xml:space="preserve">Gap</w:t>
            </w:r>
          </w:p>
        </w:tc>
      </w:tr>
      <w:tr>
        <w:tc>
          <w:tcPr>
            <w:tcW w:type="dxa" w:w="0"/>
          </w:tcPr>
          <w:p>
            <w:r>
              <w:rPr>
                <w:b w:val="false"/>
                <w:bCs w:val="false"/>
                <w:sz w:val="18"/>
                <w:szCs w:val="18"/>
              </w:rPr>
              <w:t xml:space="preserve">Claims &amp; encounter data</w:t>
            </w:r>
          </w:p>
        </w:tc>
        <w:tc>
          <w:tcPr>
            <w:tcW w:type="dxa" w:w="0"/>
          </w:tcPr>
          <w:p>
            <w:r>
              <w:rPr>
                <w:b w:val="false"/>
                <w:bCs w:val="false"/>
                <w:sz w:val="18"/>
                <w:szCs w:val="18"/>
              </w:rPr>
              <w:t xml:space="preserve">Implemented — exposed via Patient Access API today</w:t>
            </w:r>
          </w:p>
        </w:tc>
        <w:tc>
          <w:tcPr>
            <w:tcW w:type="dxa" w:w="0"/>
          </w:tcPr>
          <w:p>
            <w:r>
              <w:rPr>
                <w:b w:val="false"/>
                <w:bCs w:val="false"/>
                <w:sz w:val="18"/>
                <w:szCs w:val="18"/>
              </w:rPr>
              <w:t xml:space="preserve">Required, all three APIs</w:t>
            </w:r>
          </w:p>
        </w:tc>
        <w:tc>
          <w:tcPr>
            <w:tcW w:type="dxa" w:w="0"/>
          </w:tcPr>
          <w:p>
            <w:r>
              <w:rPr>
                <w:b w:val="false"/>
                <w:bCs w:val="false"/>
                <w:sz w:val="18"/>
                <w:szCs w:val="18"/>
              </w:rPr>
              <w:t xml:space="preserve">None — reusable as-is</w:t>
            </w:r>
          </w:p>
        </w:tc>
      </w:tr>
      <w:tr>
        <w:tc>
          <w:tcPr>
            <w:tcW w:type="dxa" w:w="0"/>
          </w:tcPr>
          <w:p>
            <w:r>
              <w:rPr>
                <w:b w:val="false"/>
                <w:bCs w:val="false"/>
                <w:sz w:val="18"/>
                <w:szCs w:val="18"/>
              </w:rPr>
              <w:t xml:space="preserve">USCDI v3 clinical data</w:t>
            </w:r>
          </w:p>
        </w:tc>
        <w:tc>
          <w:tcPr>
            <w:tcW w:type="dxa" w:w="0"/>
          </w:tcPr>
          <w:p>
            <w:r>
              <w:rPr>
                <w:b w:val="false"/>
                <w:bCs w:val="false"/>
                <w:sz w:val="18"/>
                <w:szCs w:val="18"/>
              </w:rPr>
              <w:t xml:space="preserve">Not implemented ("No" on Clinical)</w:t>
            </w:r>
          </w:p>
        </w:tc>
        <w:tc>
          <w:tcPr>
            <w:tcW w:type="dxa" w:w="0"/>
          </w:tcPr>
          <w:p>
            <w:r>
              <w:rPr>
                <w:b w:val="false"/>
                <w:bCs w:val="false"/>
                <w:sz w:val="18"/>
                <w:szCs w:val="18"/>
              </w:rPr>
              <w:t xml:space="preserve">Required, all three APIs</w:t>
            </w:r>
          </w:p>
        </w:tc>
        <w:tc>
          <w:tcPr>
            <w:tcW w:type="dxa" w:w="0"/>
          </w:tcPr>
          <w:p>
            <w:r>
              <w:rPr>
                <w:b w:val="false"/>
                <w:bCs w:val="false"/>
                <w:sz w:val="18"/>
                <w:szCs w:val="18"/>
              </w:rPr>
              <w:t xml:space="preserve">Full mapping effort required — no existing clinical extract to build from</w:t>
            </w:r>
          </w:p>
        </w:tc>
      </w:tr>
      <w:tr>
        <w:tc>
          <w:tcPr>
            <w:tcW w:type="dxa" w:w="0"/>
          </w:tcPr>
          <w:p>
            <w:r>
              <w:rPr>
                <w:b w:val="false"/>
                <w:bCs w:val="false"/>
                <w:sz w:val="18"/>
                <w:szCs w:val="18"/>
              </w:rPr>
              <w:t xml:space="preserve">Prior authorization status/decision + denial reason</w:t>
            </w:r>
          </w:p>
        </w:tc>
        <w:tc>
          <w:tcPr>
            <w:tcW w:type="dxa" w:w="0"/>
          </w:tcPr>
          <w:p>
            <w:r>
              <w:rPr>
                <w:b w:val="false"/>
                <w:bCs w:val="false"/>
                <w:sz w:val="18"/>
                <w:szCs w:val="18"/>
              </w:rPr>
              <w:t xml:space="preserve">Does not exist (pre-dates CMS-0057-F)</w:t>
            </w:r>
          </w:p>
        </w:tc>
        <w:tc>
          <w:tcPr>
            <w:tcW w:type="dxa" w:w="0"/>
          </w:tcPr>
          <w:p>
            <w:r>
              <w:rPr>
                <w:b w:val="false"/>
                <w:bCs w:val="false"/>
                <w:sz w:val="18"/>
                <w:szCs w:val="18"/>
              </w:rPr>
              <w:t xml:space="preserve">Required, all three APIs</w:t>
            </w:r>
          </w:p>
        </w:tc>
        <w:tc>
          <w:tcPr>
            <w:tcW w:type="dxa" w:w="0"/>
          </w:tcPr>
          <w:p>
            <w:r>
              <w:rPr>
                <w:b w:val="false"/>
                <w:bCs w:val="false"/>
                <w:sz w:val="18"/>
                <w:szCs w:val="18"/>
              </w:rPr>
              <w:t xml:space="preserve">Net-new — must be generated by a working CRD/DTR/PAS flow, not just extracted from an existing system</w:t>
            </w:r>
          </w:p>
        </w:tc>
      </w:tr>
      <w:tr>
        <w:tc>
          <w:tcPr>
            <w:tcW w:type="dxa" w:w="0"/>
          </w:tcPr>
          <w:p>
            <w:r>
              <w:rPr>
                <w:b w:val="false"/>
                <w:bCs w:val="false"/>
                <w:sz w:val="18"/>
                <w:szCs w:val="18"/>
              </w:rPr>
              <w:t xml:space="preserve">Provider Directory data</w:t>
            </w:r>
          </w:p>
        </w:tc>
        <w:tc>
          <w:tcPr>
            <w:tcW w:type="dxa" w:w="0"/>
          </w:tcPr>
          <w:p>
            <w:r>
              <w:rPr>
                <w:b w:val="false"/>
                <w:bCs w:val="false"/>
                <w:sz w:val="18"/>
                <w:szCs w:val="18"/>
              </w:rPr>
              <w:t xml:space="preserve">Unsure / not confirmed</w:t>
            </w:r>
          </w:p>
        </w:tc>
        <w:tc>
          <w:tcPr>
            <w:tcW w:type="dxa" w:w="0"/>
          </w:tcPr>
          <w:p>
            <w:r>
              <w:rPr>
                <w:b w:val="false"/>
                <w:bCs w:val="false"/>
                <w:sz w:val="18"/>
                <w:szCs w:val="18"/>
              </w:rPr>
              <w:t xml:space="preserve">Not confirmed as part of CMS-0057-F's core data-sharing requirement (state-specific asks, e.g., HCA's RFI, may still require it)</w:t>
            </w:r>
          </w:p>
        </w:tc>
        <w:tc>
          <w:tcPr>
            <w:tcW w:type="dxa" w:w="0"/>
          </w:tcPr>
          <w:p>
            <w:r>
              <w:rPr>
                <w:b w:val="false"/>
                <w:bCs w:val="false"/>
                <w:sz w:val="18"/>
                <w:szCs w:val="18"/>
              </w:rPr>
              <w:t xml:space="preserve">Needs confirmation of scope with the state agency or payer</w:t>
            </w:r>
          </w:p>
        </w:tc>
      </w:tr>
      <w:tr>
        <w:tc>
          <w:tcPr>
            <w:tcW w:type="dxa" w:w="0"/>
          </w:tcPr>
          <w:p>
            <w:r>
              <w:rPr>
                <w:b w:val="false"/>
                <w:bCs w:val="false"/>
                <w:sz w:val="18"/>
                <w:szCs w:val="18"/>
              </w:rPr>
              <w:t xml:space="preserve">Formulary data</w:t>
            </w:r>
          </w:p>
        </w:tc>
        <w:tc>
          <w:tcPr>
            <w:tcW w:type="dxa" w:w="0"/>
          </w:tcPr>
          <w:p>
            <w:r>
              <w:rPr>
                <w:b w:val="false"/>
                <w:bCs w:val="false"/>
                <w:sz w:val="18"/>
                <w:szCs w:val="18"/>
              </w:rPr>
              <w:t xml:space="preserve">Not implemented</w:t>
            </w:r>
          </w:p>
        </w:tc>
        <w:tc>
          <w:tcPr>
            <w:tcW w:type="dxa" w:w="0"/>
          </w:tcPr>
          <w:p>
            <w:r>
              <w:rPr>
                <w:b w:val="false"/>
                <w:bCs w:val="false"/>
                <w:sz w:val="18"/>
                <w:szCs w:val="18"/>
              </w:rPr>
              <w:t xml:space="preserve">Not part of CMS-0057-F's three core data categories</w:t>
            </w:r>
          </w:p>
        </w:tc>
        <w:tc>
          <w:tcPr>
            <w:tcW w:type="dxa" w:w="0"/>
          </w:tcPr>
          <w:p>
            <w:r>
              <w:rPr>
                <w:b w:val="false"/>
                <w:bCs w:val="false"/>
                <w:sz w:val="18"/>
                <w:szCs w:val="18"/>
              </w:rPr>
              <w:t xml:space="preserve">Out of scope for this rule specifically</w:t>
            </w:r>
          </w:p>
        </w:tc>
      </w:tr>
    </w:tbl>
    <w:p>
      <w:r>
        <w:br w:type="page"/>
      </w:r>
    </w:p>
    <w:p>
      <w:pPr>
        <w:pStyle w:val="Heading1"/>
        <w:spacing w:after="160" w:before="360"/>
      </w:pPr>
      <w:r>
        <w:t xml:space="preserve">5. What IBM's RHTP Platform Already Adds to the Patient Access Repository</w:t>
      </w:r>
    </w:p>
    <w:p>
      <w:pPr>
        <w:spacing w:after="140"/>
        <w:jc w:val="both"/>
      </w:pPr>
      <w:r>
        <w:t xml:space="preserve">The two data categories missing in Section 4 — USCDI v3 clinical data and prior-authorization status/denial-reason data — are not a green-field build for IBM. They are the specific gap RHTP's Patient Access surface and underlying data architecture were built to close, and both are already demonstrated, not just designed.</w:t>
      </w:r>
    </w:p>
    <w:p>
      <w:pPr>
        <w:pStyle w:val="Heading2"/>
        <w:spacing w:after="120" w:before="260"/>
      </w:pPr>
      <w:r>
        <w:t xml:space="preserve">5.1 Clinical data</w:t>
      </w:r>
    </w:p>
    <w:p>
      <w:pPr>
        <w:spacing w:after="140"/>
        <w:jc w:val="both"/>
      </w:pPr>
      <w:r>
        <w:t xml:space="preserve">RHTP's Patient Access screen already reads Condition resources for a member (three conditions in IBM's live demonstration: type 2 diabetes, hypertension, and chronic kidney disease), pulled through the same server-mediated BFF used for Coverage and ClaimResponse data. This is exactly the kind of USCDI v3 clinical data class a Claims-only Patient Access implementation lacks, and it is served from the platform's PA Aggregation FHIR Server rather than a separate clinical-data bolt-on, so extending it to additional USCDI v3 classes (medications, allergies, lab results, and so on) is a data-onboarding exercise against an already-built pipeline, not new architecture.</w:t>
      </w:r>
    </w:p>
    <w:p>
      <w:pPr>
        <w:pStyle w:val="Heading2"/>
        <w:spacing w:after="120" w:before="260"/>
      </w:pPr>
      <w:r>
        <w:t xml:space="preserve">5.2 Prior authorization status and denial reason</w:t>
      </w:r>
    </w:p>
    <w:p>
      <w:pPr>
        <w:spacing w:after="140"/>
        <w:jc w:val="both"/>
      </w:pPr>
      <w:r>
        <w:t xml:space="preserve">RHTP's Patient Access screen already surfaces two ClaimResponse resources per member — an approved prior authorization and a denied one, complete with the medical-necessity denial reason — and IBM's own platform documentation calls this out specifically as the new CMS-0057-F requirement that a bare CMS-9115 implementation does not meet. Because this data is generated by RHTP's own CRD/DTR/PAS flow and Evidence Record (Section 2.3's point that this category has to be produced, not just extracted), a payer or state agency adopting RHTP gets this data category as a byproduct of running prior authorizations through the platform, rather than as a separate integration project.</w:t>
      </w:r>
    </w:p>
    <w:p>
      <w:pPr>
        <w:pStyle w:val="Heading2"/>
        <w:spacing w:after="120" w:before="260"/>
      </w:pPr>
      <w:r>
        <w:t xml:space="preserve">5.3 Extract mechanics</w:t>
      </w:r>
    </w:p>
    <w:p>
      <w:pPr>
        <w:spacing w:after="140"/>
        <w:jc w:val="both"/>
      </w:pPr>
      <w:r>
        <w:t xml:space="preserve">The Bulk FHIR $export pattern Provider Access and Payer-to-Payer both require is the same NDJSON bulk-export mechanism — Da Vinci $davinci-data-export, SMART Backend Services / OAuth 2.0 Client Credentials authentication, and NDJSON file transfer — described in IBM's RFI 2026HCA13 response. RHTP's architecture implements this bulk-export mechanism natively, and is also designed to interoperate with a specialist third-party accelerator where a payer trading partner already has one under contract, so the extract mechanics — as distinct from the data-mapping work in Sections 4 and 5.1–5.2 — are largely a configuration and connection exercise rather than new development.</w:t>
      </w:r>
    </w:p>
    <w:p>
      <w:r>
        <w:br w:type="page"/>
      </w:r>
    </w:p>
    <w:p>
      <w:pPr>
        <w:pStyle w:val="Heading1"/>
        <w:spacing w:after="160" w:before="360"/>
      </w:pPr>
      <w:r>
        <w:t xml:space="preserve">6. Recommendations &amp; Next Steps</w:t>
      </w:r>
    </w:p>
    <w:p>
      <w:pPr>
        <w:pStyle w:val="ListParagraph"/>
        <w:numPr>
          <w:ilvl w:val="0"/>
          <w:numId w:val="1"/>
        </w:numPr>
        <w:spacing w:after="80"/>
      </w:pPr>
      <w:r>
        <w:t xml:space="preserve">Re-baseline the Patient Access API maturity self-assessment specifically against CMS-0057-F's three-category requirement (Section 3), rather than against the original CMS-9115 baseline it was scored against — a "Managed" rating on Claims alone should not be read as "Managed" on the full CMS-0057-F requirement.</w:t>
      </w:r>
    </w:p>
    <w:p>
      <w:pPr>
        <w:pStyle w:val="ListParagraph"/>
        <w:numPr>
          <w:ilvl w:val="0"/>
          <w:numId w:val="1"/>
        </w:numPr>
        <w:spacing w:after="80"/>
      </w:pPr>
      <w:r>
        <w:t xml:space="preserve">Scope the USCDI v3 clinical-data mapping as its own workstream, since it is the largest genuinely new data-engineering effort identified here — it requires source-system discovery (which clinical or care-management systems hold each USCDI v3 class) that the existing Claims pipeline's discovery work does not cover.</w:t>
      </w:r>
    </w:p>
    <w:p>
      <w:pPr>
        <w:pStyle w:val="ListParagraph"/>
        <w:numPr>
          <w:ilvl w:val="0"/>
          <w:numId w:val="1"/>
        </w:numPr>
        <w:spacing w:after="80"/>
      </w:pPr>
      <w:r>
        <w:t xml:space="preserve">Treat prior-authorization status/denial-reason data as an output of implementing CRD/DTR/PAS, not a separate extract project — attempting to backfill this data from a legacy PA process without first standardizing the determination workflow will produce inconsistent, hard-to-map denial-reason data.</w:t>
      </w:r>
    </w:p>
    <w:p>
      <w:pPr>
        <w:pStyle w:val="ListParagraph"/>
        <w:numPr>
          <w:ilvl w:val="0"/>
          <w:numId w:val="1"/>
        </w:numPr>
        <w:spacing w:after="80"/>
      </w:pPr>
      <w:r>
        <w:t xml:space="preserve">Confirm with the specific state agency or payer whether Provider Directory data is an explicit deliverable — it is not confirmed as part of CMS-0057-F's core three-category requirement in this analysis, but may be a state-specific ask (as it is in HCA's RFI 2026HCA13).</w:t>
      </w:r>
    </w:p>
    <w:p>
      <w:pPr>
        <w:pStyle w:val="ListParagraph"/>
        <w:numPr>
          <w:ilvl w:val="0"/>
          <w:numId w:val="1"/>
        </w:numPr>
        <w:spacing w:after="80"/>
      </w:pPr>
      <w:r>
        <w:t xml:space="preserve">Scope the Bulk FHIR $export / SMART Backend Services extract mechanism as a shared build across Provider Access and Payer-to-Payer, since both APIs use the same underlying pattern — building it once against RHTP's architecture, rather than twice, is the efficient sequencing.</w:t>
      </w:r>
    </w:p>
    <w:p>
      <w:pPr>
        <w:pStyle w:val="ListParagraph"/>
        <w:numPr>
          <w:ilvl w:val="0"/>
          <w:numId w:val="1"/>
        </w:numPr>
        <w:spacing w:after="80"/>
      </w:pPr>
      <w:r>
        <w:t xml:space="preserve">Stand up the annual Patient Access usage-metrics and PA turnaround-metrics reporting pipeline (Section 3) early, since it depends on the same structured PA status data described in Section 2.3 being captured correctly from day one, and retrofitting a reporting pipeline after go-live is materially harder than building it alongside the CRD/DTR/PAS flow.</w:t>
      </w:r>
    </w:p>
    <w:p>
      <w:pPr>
        <w:shd w:fill="FFF8E1" w:val="clear"/>
        <w:spacing w:after="140"/>
      </w:pPr>
      <w:r>
        <w:rPr>
          <w:i/>
          <w:iCs/>
          <w:color w:val="8A6D00"/>
        </w:rPr>
        <w:t xml:space="preserve">[CONFIRM BEFORE USE: verify current USCDI v3 data class list, exact retention/look-back figures, and reporting deadlines directly against the CMS-0057-F final rule text and any subsequent CMS guidance before using this analysis in a client-facing or regulatory context — this reflects IBM's research as of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2026-08-06T20:15:24.725Z</dcterms:created>
  <dcterms:modified xsi:type="dcterms:W3CDTF">2026-08-06T20:15:24.725Z</dcterms:modified>
</cp:coreProperties>
</file>

<file path=docProps/custom.xml><?xml version="1.0" encoding="utf-8"?>
<Properties xmlns="http://schemas.openxmlformats.org/officeDocument/2006/custom-properties" xmlns:vt="http://schemas.openxmlformats.org/officeDocument/2006/docPropsVTypes"/>
</file>