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755DC0" w14:textId="77777777" w:rsidR="003013E5" w:rsidRDefault="003013E5">
      <w:pPr>
        <w:spacing w:before="1600"/>
      </w:pPr>
    </w:p>
    <w:p w14:paraId="3E9A7D45" w14:textId="77777777" w:rsidR="003013E5" w:rsidRDefault="00000000">
      <w:pPr>
        <w:spacing w:after="200"/>
        <w:jc w:val="center"/>
      </w:pPr>
      <w:r>
        <w:rPr>
          <w:b/>
          <w:bCs/>
          <w:sz w:val="40"/>
          <w:szCs w:val="40"/>
        </w:rPr>
        <w:t>RESPONSE TO RFI 2026HCA13</w:t>
      </w:r>
    </w:p>
    <w:p w14:paraId="47C496E8" w14:textId="77777777" w:rsidR="003013E5" w:rsidRDefault="00000000">
      <w:pPr>
        <w:spacing w:after="120"/>
        <w:jc w:val="center"/>
      </w:pPr>
      <w:r>
        <w:rPr>
          <w:color w:val="444444"/>
          <w:sz w:val="26"/>
          <w:szCs w:val="26"/>
        </w:rPr>
        <w:t>Federal &amp; State Interoperability and Prior Authorization Project (FSIPAP)</w:t>
      </w:r>
    </w:p>
    <w:p w14:paraId="5BDE3020" w14:textId="77777777" w:rsidR="003013E5" w:rsidRDefault="00000000">
      <w:pPr>
        <w:spacing w:after="800"/>
        <w:jc w:val="center"/>
      </w:pPr>
      <w:r>
        <w:rPr>
          <w:color w:val="444444"/>
          <w:sz w:val="26"/>
          <w:szCs w:val="26"/>
        </w:rPr>
        <w:t>Washington State Health Care Authority</w:t>
      </w:r>
    </w:p>
    <w:p w14:paraId="75E92067" w14:textId="77777777" w:rsidR="003013E5" w:rsidRDefault="00000000">
      <w:pPr>
        <w:spacing w:after="120"/>
        <w:jc w:val="center"/>
      </w:pPr>
      <w:r>
        <w:rPr>
          <w:b/>
          <w:bCs/>
          <w:sz w:val="24"/>
          <w:szCs w:val="24"/>
        </w:rPr>
        <w:t>Submitted by: IBM</w:t>
      </w:r>
    </w:p>
    <w:p w14:paraId="0B8CF506" w14:textId="77777777" w:rsidR="003013E5" w:rsidRDefault="00000000">
      <w:pPr>
        <w:spacing w:after="600"/>
        <w:jc w:val="center"/>
      </w:pPr>
      <w:r>
        <w:rPr>
          <w:i/>
          <w:iCs/>
          <w:color w:val="B00020"/>
          <w:sz w:val="22"/>
          <w:szCs w:val="22"/>
        </w:rPr>
        <w:t>Submission date: [IBM to insert — due 08/19/2026, 5:00 PM PT]</w:t>
      </w:r>
    </w:p>
    <w:p w14:paraId="39A0A658" w14:textId="77777777" w:rsidR="003013E5" w:rsidRDefault="00000000">
      <w:pPr>
        <w:spacing w:after="80"/>
        <w:jc w:val="center"/>
      </w:pPr>
      <w:r>
        <w:rPr>
          <w:i/>
          <w:iCs/>
          <w:color w:val="666666"/>
        </w:rPr>
        <w:t>File name: RFI 2026HCA13_IBM</w:t>
      </w:r>
    </w:p>
    <w:p w14:paraId="631A5C87" w14:textId="77777777" w:rsidR="003013E5" w:rsidRDefault="00000000">
      <w:pPr>
        <w:spacing w:after="80"/>
        <w:jc w:val="center"/>
      </w:pPr>
      <w:r>
        <w:rPr>
          <w:i/>
          <w:iCs/>
          <w:color w:val="888888"/>
          <w:sz w:val="18"/>
          <w:szCs w:val="18"/>
        </w:rPr>
        <w:t>Version 4.1 — updated to show current capability alongside the platform's committed target status at the anticipated RFP evaluation window (~November 2026), based on IBM's active development and standards-conformance plan</w:t>
      </w:r>
    </w:p>
    <w:p w14:paraId="055C89BA" w14:textId="77777777" w:rsidR="003013E5" w:rsidRDefault="00000000">
      <w:r>
        <w:br w:type="page"/>
      </w:r>
    </w:p>
    <w:p w14:paraId="4A1C6083" w14:textId="77777777" w:rsidR="003013E5" w:rsidRDefault="00000000">
      <w:pPr>
        <w:pStyle w:val="Heading1"/>
        <w:spacing w:before="360" w:after="160"/>
      </w:pPr>
      <w:r>
        <w:lastRenderedPageBreak/>
        <w:t>Table of Contents</w:t>
      </w:r>
    </w:p>
    <w:p w14:paraId="3DAF676B" w14:textId="77777777" w:rsidR="003013E5" w:rsidRDefault="00000000">
      <w:pPr>
        <w:shd w:val="clear" w:color="auto" w:fill="FFF8E1"/>
        <w:spacing w:after="140"/>
      </w:pPr>
      <w:r>
        <w:rPr>
          <w:i/>
          <w:iCs/>
          <w:color w:val="8A6D00"/>
        </w:rPr>
        <w:t>[Insert a Word-generated Table of Contents here (References &gt; Table of Contents) once headings are finalized.]</w:t>
      </w:r>
    </w:p>
    <w:p w14:paraId="0D1F47F2" w14:textId="77777777" w:rsidR="003013E5" w:rsidRDefault="00000000">
      <w:r>
        <w:br w:type="page"/>
      </w:r>
    </w:p>
    <w:p w14:paraId="0417BAC0" w14:textId="77777777" w:rsidR="003013E5" w:rsidRDefault="00000000">
      <w:pPr>
        <w:pStyle w:val="Heading1"/>
        <w:spacing w:before="360" w:after="160"/>
      </w:pPr>
      <w:r>
        <w:lastRenderedPageBreak/>
        <w:t>5.1 General Response</w:t>
      </w:r>
    </w:p>
    <w:p w14:paraId="1D641532" w14:textId="77777777" w:rsidR="003013E5" w:rsidRDefault="00000000">
      <w:pPr>
        <w:spacing w:after="140"/>
        <w:jc w:val="both"/>
      </w:pPr>
      <w:r>
        <w:t>This is a complete response to RFI 2026HCA13. It addresses every requested section — Solution Overview (5.2), Functional Capabilities (5.3) covering both API development (5.3.1) and policy transformation (5.3.2), Security &amp; Privacy (5.4), Reporting &amp; Analytics (5.5), Implementation, Testing &amp; Timeline (5.6), Pricing &amp; Delivery Model (5.7), and Experience &amp; References (5.8).</w:t>
      </w:r>
    </w:p>
    <w:p w14:paraId="238DD08B" w14:textId="2DC9CA1F" w:rsidR="003013E5" w:rsidRDefault="00000000">
      <w:pPr>
        <w:spacing w:after="140"/>
        <w:jc w:val="both"/>
      </w:pPr>
      <w:r>
        <w:t xml:space="preserve">IBM proposes a standards-based, SMART-on-FHIR interoperability and prior-authorization </w:t>
      </w:r>
      <w:r w:rsidR="007F66D8">
        <w:t xml:space="preserve">SaaS </w:t>
      </w:r>
      <w:r>
        <w:t>platform (referred to in this response as "the platform") that natively implements the four CMS-0057-F provisions — Patient Access, Provider Access, Payer-to-Payer, and Prior Authorization (Da Vinci CRD, DTR, and PAS) — together with an AI-assisted capability for transforming unstructured medical policy into FHIR-conformant artifacts. IBM can demonstrate all four provisions and the policy-transformation capability end-to-end today.</w:t>
      </w:r>
    </w:p>
    <w:p w14:paraId="128632E0" w14:textId="77777777" w:rsidR="003013E5" w:rsidRDefault="00000000">
      <w:pPr>
        <w:spacing w:after="140"/>
        <w:jc w:val="both"/>
      </w:pPr>
      <w:r>
        <w:t>IBM also brings direct CMS-0057-F experience to this work, including a completed CMS-0057 readiness assessment for a state Medicaid managed care plan serving more than 300,000 members (Section 5.8).</w:t>
      </w:r>
    </w:p>
    <w:p w14:paraId="415A6EB3" w14:textId="77777777" w:rsidR="003013E5" w:rsidRDefault="00000000">
      <w:pPr>
        <w:spacing w:after="140"/>
        <w:jc w:val="both"/>
      </w:pPr>
      <w:r>
        <w:rPr>
          <w:b/>
          <w:bCs/>
        </w:rPr>
        <w:t>One design principle governs the entire platform: IBM does not use AI to make prior-authorization determinations.</w:t>
      </w:r>
      <w:r>
        <w:t xml:space="preserve"> AI is used only to reduce administrative burden — converting policy documents into structured resources and assembling supporting evidence for human review — consistent with Washington's ESSB 5395 (Section 5.4).</w:t>
      </w:r>
    </w:p>
    <w:p w14:paraId="03C5B443" w14:textId="77777777" w:rsidR="003013E5" w:rsidRDefault="00000000">
      <w:pPr>
        <w:pStyle w:val="Heading1"/>
        <w:spacing w:before="360" w:after="160"/>
      </w:pPr>
      <w:r>
        <w:t>5.2 Solution Overview</w:t>
      </w:r>
    </w:p>
    <w:p w14:paraId="52A11574" w14:textId="77777777" w:rsidR="003013E5" w:rsidRDefault="00000000">
      <w:pPr>
        <w:pStyle w:val="Heading2"/>
        <w:spacing w:before="260" w:after="120"/>
      </w:pPr>
      <w:r>
        <w:t>5.2.1 High-Level Description</w:t>
      </w:r>
    </w:p>
    <w:p w14:paraId="08C0D5F1" w14:textId="77777777" w:rsidR="003013E5" w:rsidRDefault="00000000">
      <w:pPr>
        <w:spacing w:after="140"/>
        <w:jc w:val="both"/>
      </w:pPr>
      <w:r>
        <w:t>This is a complete solution response. The platform delivers a standards-based prior-authorization and interoperability experience built on conformant CDS Hooks, DTR Questionnaires, and PAS submission transactions. It gives providers and payers a single, continuously threaded workflow — the "Golden Thread" — that carries a patient's order from eligibility and coverage discovery, through medical-necessity documentation, to prior-authorization submission, adjudication, and patient cost estimation, so context and supporting evidence are never re-entered between steps.</w:t>
      </w:r>
    </w:p>
    <w:p w14:paraId="68DC2703" w14:textId="77777777" w:rsidR="003013E5" w:rsidRDefault="00000000">
      <w:pPr>
        <w:spacing w:after="140"/>
        <w:jc w:val="both"/>
      </w:pPr>
      <w:r>
        <w:t xml:space="preserve">AI-enabled components are deliberately narrow and administrative: (1) converting unstructured payer or state medical policy into structured FHIR Questionnaire, CQL, and </w:t>
      </w:r>
      <w:proofErr w:type="spellStart"/>
      <w:r>
        <w:t>ValueSet</w:t>
      </w:r>
      <w:proofErr w:type="spellEnd"/>
      <w:r>
        <w:t xml:space="preserve"> resources, and (2) assembling and completeness-checking a member's supporting evidence to speed human review. Neither makes a coverage or medical-necessity decision.</w:t>
      </w:r>
    </w:p>
    <w:p w14:paraId="60D17B39" w14:textId="77777777" w:rsidR="003013E5" w:rsidRDefault="00000000">
      <w:pPr>
        <w:spacing w:after="140"/>
        <w:jc w:val="both"/>
      </w:pPr>
      <w:r>
        <w:t>Implementation status is summarized below using the RFI's own taxonomy, shown two ways: status as of this submission, and the committed target status IBM expects to demonstrate at the anticipated RFP evaluation window (~November 2026), per the development and standards-conformance plan detailed in Section 5.6. Capabilities marked "Demonstrable" run end-to-end in an IBM reference/validation environment; connecting the same application to live payer and EMR endpoints in production is contract-phase work (Section 5.2.2, 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7"/>
        <w:gridCol w:w="1832"/>
        <w:gridCol w:w="1832"/>
        <w:gridCol w:w="2189"/>
      </w:tblGrid>
      <w:tr w:rsidR="003013E5" w14:paraId="36B2444D" w14:textId="77777777">
        <w:tblPrEx>
          <w:tblCellMar>
            <w:top w:w="0" w:type="dxa"/>
            <w:bottom w:w="0" w:type="dxa"/>
          </w:tblCellMar>
        </w:tblPrEx>
        <w:tc>
          <w:tcPr>
            <w:tcW w:w="0" w:type="dxa"/>
            <w:shd w:val="clear" w:color="auto" w:fill="E8EEF7"/>
          </w:tcPr>
          <w:p w14:paraId="5F713171" w14:textId="77777777" w:rsidR="003013E5" w:rsidRDefault="00000000">
            <w:r>
              <w:rPr>
                <w:b/>
                <w:bCs/>
              </w:rPr>
              <w:t>Capability</w:t>
            </w:r>
          </w:p>
        </w:tc>
        <w:tc>
          <w:tcPr>
            <w:tcW w:w="0" w:type="dxa"/>
            <w:shd w:val="clear" w:color="auto" w:fill="E8EEF7"/>
          </w:tcPr>
          <w:p w14:paraId="14829FEF" w14:textId="77777777" w:rsidR="003013E5" w:rsidRDefault="00000000">
            <w:r>
              <w:rPr>
                <w:b/>
                <w:bCs/>
              </w:rPr>
              <w:t>Status Today</w:t>
            </w:r>
          </w:p>
        </w:tc>
        <w:tc>
          <w:tcPr>
            <w:tcW w:w="0" w:type="dxa"/>
            <w:shd w:val="clear" w:color="auto" w:fill="E8EEF7"/>
          </w:tcPr>
          <w:p w14:paraId="723E4C2B" w14:textId="77777777" w:rsidR="003013E5" w:rsidRDefault="00000000">
            <w:r>
              <w:rPr>
                <w:b/>
                <w:bCs/>
              </w:rPr>
              <w:t>Target at RFP Evaluation (~Nov 2026)</w:t>
            </w:r>
          </w:p>
        </w:tc>
        <w:tc>
          <w:tcPr>
            <w:tcW w:w="0" w:type="dxa"/>
            <w:shd w:val="clear" w:color="auto" w:fill="E8EEF7"/>
          </w:tcPr>
          <w:p w14:paraId="5AFCFE3D" w14:textId="77777777" w:rsidR="003013E5" w:rsidRDefault="00000000">
            <w:r>
              <w:rPr>
                <w:b/>
                <w:bCs/>
              </w:rPr>
              <w:t>Evidence / Plan</w:t>
            </w:r>
          </w:p>
        </w:tc>
      </w:tr>
      <w:tr w:rsidR="003013E5" w14:paraId="32345E86" w14:textId="77777777">
        <w:tblPrEx>
          <w:tblCellMar>
            <w:top w:w="0" w:type="dxa"/>
            <w:bottom w:w="0" w:type="dxa"/>
          </w:tblCellMar>
        </w:tblPrEx>
        <w:tc>
          <w:tcPr>
            <w:tcW w:w="0" w:type="dxa"/>
          </w:tcPr>
          <w:p w14:paraId="6FF30527" w14:textId="77777777" w:rsidR="003013E5" w:rsidRDefault="00000000">
            <w:r>
              <w:t>Patient Access API</w:t>
            </w:r>
          </w:p>
        </w:tc>
        <w:tc>
          <w:tcPr>
            <w:tcW w:w="0" w:type="dxa"/>
          </w:tcPr>
          <w:p w14:paraId="5919986F" w14:textId="77777777" w:rsidR="003013E5" w:rsidRDefault="00000000">
            <w:r>
              <w:t>Demonstrable today</w:t>
            </w:r>
          </w:p>
        </w:tc>
        <w:tc>
          <w:tcPr>
            <w:tcW w:w="0" w:type="dxa"/>
          </w:tcPr>
          <w:p w14:paraId="45F9D07C" w14:textId="77777777" w:rsidR="003013E5" w:rsidRDefault="00000000">
            <w:r>
              <w:t>Demonstrable today</w:t>
            </w:r>
          </w:p>
        </w:tc>
        <w:tc>
          <w:tcPr>
            <w:tcW w:w="0" w:type="dxa"/>
          </w:tcPr>
          <w:p w14:paraId="1BC0100C" w14:textId="77777777" w:rsidR="003013E5" w:rsidRDefault="00000000">
            <w:r>
              <w:t>Live FHIR reads; denial-reason display</w:t>
            </w:r>
          </w:p>
        </w:tc>
      </w:tr>
      <w:tr w:rsidR="003013E5" w14:paraId="4A2A3FC9" w14:textId="77777777">
        <w:tblPrEx>
          <w:tblCellMar>
            <w:top w:w="0" w:type="dxa"/>
            <w:bottom w:w="0" w:type="dxa"/>
          </w:tblCellMar>
        </w:tblPrEx>
        <w:tc>
          <w:tcPr>
            <w:tcW w:w="0" w:type="dxa"/>
          </w:tcPr>
          <w:p w14:paraId="1E1AFD12" w14:textId="77777777" w:rsidR="003013E5" w:rsidRDefault="00000000">
            <w:r>
              <w:t>Provider Access API</w:t>
            </w:r>
          </w:p>
        </w:tc>
        <w:tc>
          <w:tcPr>
            <w:tcW w:w="0" w:type="dxa"/>
          </w:tcPr>
          <w:p w14:paraId="0C6B4C79" w14:textId="77777777" w:rsidR="003013E5" w:rsidRDefault="00000000">
            <w:r>
              <w:t>Demonstrable today</w:t>
            </w:r>
          </w:p>
        </w:tc>
        <w:tc>
          <w:tcPr>
            <w:tcW w:w="0" w:type="dxa"/>
          </w:tcPr>
          <w:p w14:paraId="0B616287" w14:textId="77777777" w:rsidR="003013E5" w:rsidRDefault="00000000">
            <w:r>
              <w:t>Demonstrable today</w:t>
            </w:r>
          </w:p>
        </w:tc>
        <w:tc>
          <w:tcPr>
            <w:tcW w:w="0" w:type="dxa"/>
          </w:tcPr>
          <w:p w14:paraId="320D7ABC" w14:textId="77777777" w:rsidR="003013E5" w:rsidRDefault="00000000">
            <w:r>
              <w:t>Member match + treatment-relationship authorization</w:t>
            </w:r>
          </w:p>
        </w:tc>
      </w:tr>
      <w:tr w:rsidR="003013E5" w14:paraId="004050D1" w14:textId="77777777">
        <w:tblPrEx>
          <w:tblCellMar>
            <w:top w:w="0" w:type="dxa"/>
            <w:bottom w:w="0" w:type="dxa"/>
          </w:tblCellMar>
        </w:tblPrEx>
        <w:tc>
          <w:tcPr>
            <w:tcW w:w="0" w:type="dxa"/>
          </w:tcPr>
          <w:p w14:paraId="51DDD26B" w14:textId="77777777" w:rsidR="003013E5" w:rsidRDefault="00000000">
            <w:r>
              <w:t>Provider Access — bulk export to attributed panel</w:t>
            </w:r>
          </w:p>
        </w:tc>
        <w:tc>
          <w:tcPr>
            <w:tcW w:w="0" w:type="dxa"/>
          </w:tcPr>
          <w:p w14:paraId="45DE28E4" w14:textId="77777777" w:rsidR="003013E5" w:rsidRDefault="00000000">
            <w:r>
              <w:t>In development</w:t>
            </w:r>
          </w:p>
        </w:tc>
        <w:tc>
          <w:tcPr>
            <w:tcW w:w="0" w:type="dxa"/>
          </w:tcPr>
          <w:p w14:paraId="76D37A62" w14:textId="77777777" w:rsidR="003013E5" w:rsidRDefault="00000000">
            <w:r>
              <w:t>Demonstrable</w:t>
            </w:r>
          </w:p>
        </w:tc>
        <w:tc>
          <w:tcPr>
            <w:tcW w:w="0" w:type="dxa"/>
          </w:tcPr>
          <w:p w14:paraId="2A0AED5A" w14:textId="77777777" w:rsidR="003013E5" w:rsidRDefault="00000000">
            <w:r>
              <w:t>SMART Backend Services bulk export — in active development, targeting end-to-end validation by October 2026 (Section 5.6)</w:t>
            </w:r>
          </w:p>
        </w:tc>
      </w:tr>
      <w:tr w:rsidR="003013E5" w14:paraId="44121634" w14:textId="77777777">
        <w:tblPrEx>
          <w:tblCellMar>
            <w:top w:w="0" w:type="dxa"/>
            <w:bottom w:w="0" w:type="dxa"/>
          </w:tblCellMar>
        </w:tblPrEx>
        <w:tc>
          <w:tcPr>
            <w:tcW w:w="0" w:type="dxa"/>
          </w:tcPr>
          <w:p w14:paraId="3E692177" w14:textId="77777777" w:rsidR="003013E5" w:rsidRDefault="00000000">
            <w:r>
              <w:t>Payer-to-Payer API</w:t>
            </w:r>
          </w:p>
        </w:tc>
        <w:tc>
          <w:tcPr>
            <w:tcW w:w="0" w:type="dxa"/>
          </w:tcPr>
          <w:p w14:paraId="6235AD45" w14:textId="77777777" w:rsidR="003013E5" w:rsidRDefault="00000000">
            <w:r>
              <w:t>Demonstrable today</w:t>
            </w:r>
          </w:p>
        </w:tc>
        <w:tc>
          <w:tcPr>
            <w:tcW w:w="0" w:type="dxa"/>
          </w:tcPr>
          <w:p w14:paraId="40450C87" w14:textId="77777777" w:rsidR="003013E5" w:rsidRDefault="00000000">
            <w:r>
              <w:t>Demonstrable today</w:t>
            </w:r>
          </w:p>
        </w:tc>
        <w:tc>
          <w:tcPr>
            <w:tcW w:w="0" w:type="dxa"/>
          </w:tcPr>
          <w:p w14:paraId="33FE766E" w14:textId="77777777" w:rsidR="003013E5" w:rsidRDefault="00000000">
            <w:r>
              <w:t>Opt-in consent gate; Da Vinci bulk export (NDJSON)</w:t>
            </w:r>
          </w:p>
        </w:tc>
      </w:tr>
      <w:tr w:rsidR="003013E5" w14:paraId="4CCD39BF" w14:textId="77777777">
        <w:tblPrEx>
          <w:tblCellMar>
            <w:top w:w="0" w:type="dxa"/>
            <w:bottom w:w="0" w:type="dxa"/>
          </w:tblCellMar>
        </w:tblPrEx>
        <w:tc>
          <w:tcPr>
            <w:tcW w:w="0" w:type="dxa"/>
          </w:tcPr>
          <w:p w14:paraId="04EAA43B" w14:textId="77777777" w:rsidR="003013E5" w:rsidRDefault="00000000">
            <w:r>
              <w:t>Prior Auth — CRD</w:t>
            </w:r>
          </w:p>
        </w:tc>
        <w:tc>
          <w:tcPr>
            <w:tcW w:w="0" w:type="dxa"/>
          </w:tcPr>
          <w:p w14:paraId="38AB2F05" w14:textId="77777777" w:rsidR="003013E5" w:rsidRDefault="00000000">
            <w:r>
              <w:t>Demonstrable today*</w:t>
            </w:r>
          </w:p>
        </w:tc>
        <w:tc>
          <w:tcPr>
            <w:tcW w:w="0" w:type="dxa"/>
          </w:tcPr>
          <w:p w14:paraId="1A37A684" w14:textId="77777777" w:rsidR="003013E5" w:rsidRDefault="00000000">
            <w:r>
              <w:t>Demonstrable (staging-validated)</w:t>
            </w:r>
          </w:p>
        </w:tc>
        <w:tc>
          <w:tcPr>
            <w:tcW w:w="0" w:type="dxa"/>
          </w:tcPr>
          <w:p w14:paraId="63FBC54E" w14:textId="77777777" w:rsidR="003013E5" w:rsidRDefault="00000000">
            <w:r>
              <w:t xml:space="preserve">CDS Hooks at order-select/sign. *Live CDS service against a staging </w:t>
            </w:r>
            <w:r>
              <w:lastRenderedPageBreak/>
              <w:t>trading partner targeted for October 2026; full production integration proceeds in contract Phase 1</w:t>
            </w:r>
          </w:p>
        </w:tc>
      </w:tr>
      <w:tr w:rsidR="003013E5" w14:paraId="4E0D1541" w14:textId="77777777">
        <w:tblPrEx>
          <w:tblCellMar>
            <w:top w:w="0" w:type="dxa"/>
            <w:bottom w:w="0" w:type="dxa"/>
          </w:tblCellMar>
        </w:tblPrEx>
        <w:tc>
          <w:tcPr>
            <w:tcW w:w="0" w:type="dxa"/>
          </w:tcPr>
          <w:p w14:paraId="782D2A40" w14:textId="77777777" w:rsidR="003013E5" w:rsidRDefault="00000000">
            <w:r>
              <w:lastRenderedPageBreak/>
              <w:t>Prior Auth — DTR</w:t>
            </w:r>
          </w:p>
        </w:tc>
        <w:tc>
          <w:tcPr>
            <w:tcW w:w="0" w:type="dxa"/>
          </w:tcPr>
          <w:p w14:paraId="77BADF98" w14:textId="77777777" w:rsidR="003013E5" w:rsidRDefault="00000000">
            <w:r>
              <w:t>Demonstrable today</w:t>
            </w:r>
          </w:p>
        </w:tc>
        <w:tc>
          <w:tcPr>
            <w:tcW w:w="0" w:type="dxa"/>
          </w:tcPr>
          <w:p w14:paraId="5720BE48" w14:textId="77777777" w:rsidR="003013E5" w:rsidRDefault="00000000">
            <w:r>
              <w:t>Demonstrable (</w:t>
            </w:r>
            <w:proofErr w:type="spellStart"/>
            <w:r>
              <w:t>CDex</w:t>
            </w:r>
            <w:proofErr w:type="spellEnd"/>
            <w:r>
              <w:t>-conformant)</w:t>
            </w:r>
          </w:p>
        </w:tc>
        <w:tc>
          <w:tcPr>
            <w:tcW w:w="0" w:type="dxa"/>
          </w:tcPr>
          <w:p w14:paraId="1E30B7EF" w14:textId="77777777" w:rsidR="003013E5" w:rsidRDefault="00000000">
            <w:r>
              <w:t xml:space="preserve">CQL criteria matching; </w:t>
            </w:r>
            <w:proofErr w:type="spellStart"/>
            <w:r>
              <w:t>CDex</w:t>
            </w:r>
            <w:proofErr w:type="spellEnd"/>
            <w:r>
              <w:t>-conformant evidence-attachment construction in active development, targeting September 2026</w:t>
            </w:r>
          </w:p>
        </w:tc>
      </w:tr>
      <w:tr w:rsidR="003013E5" w14:paraId="1B416EE1" w14:textId="77777777">
        <w:tblPrEx>
          <w:tblCellMar>
            <w:top w:w="0" w:type="dxa"/>
            <w:bottom w:w="0" w:type="dxa"/>
          </w:tblCellMar>
        </w:tblPrEx>
        <w:tc>
          <w:tcPr>
            <w:tcW w:w="0" w:type="dxa"/>
          </w:tcPr>
          <w:p w14:paraId="66F538C0" w14:textId="77777777" w:rsidR="003013E5" w:rsidRDefault="00000000">
            <w:r>
              <w:t>Prior Auth — PAS</w:t>
            </w:r>
          </w:p>
        </w:tc>
        <w:tc>
          <w:tcPr>
            <w:tcW w:w="0" w:type="dxa"/>
          </w:tcPr>
          <w:p w14:paraId="688F0B4B" w14:textId="77777777" w:rsidR="003013E5" w:rsidRDefault="00000000">
            <w:r>
              <w:t>Demonstrable today</w:t>
            </w:r>
          </w:p>
        </w:tc>
        <w:tc>
          <w:tcPr>
            <w:tcW w:w="0" w:type="dxa"/>
          </w:tcPr>
          <w:p w14:paraId="52B12B84" w14:textId="77777777" w:rsidR="003013E5" w:rsidRDefault="00000000">
            <w:r>
              <w:t>Demonstrable today</w:t>
            </w:r>
          </w:p>
        </w:tc>
        <w:tc>
          <w:tcPr>
            <w:tcW w:w="0" w:type="dxa"/>
          </w:tcPr>
          <w:p w14:paraId="71DF36AD" w14:textId="77777777" w:rsidR="003013E5" w:rsidRDefault="00000000">
            <w:r>
              <w:t xml:space="preserve">FHIR </w:t>
            </w:r>
            <w:proofErr w:type="spellStart"/>
            <w:r>
              <w:t>PASBundle</w:t>
            </w:r>
            <w:proofErr w:type="spellEnd"/>
            <w:r>
              <w:t xml:space="preserve"> + X12 278/275 channel; human approval enforced at both the submission interaction and the workflow level</w:t>
            </w:r>
          </w:p>
        </w:tc>
      </w:tr>
      <w:tr w:rsidR="003013E5" w14:paraId="3B6BCE96" w14:textId="77777777">
        <w:tblPrEx>
          <w:tblCellMar>
            <w:top w:w="0" w:type="dxa"/>
            <w:bottom w:w="0" w:type="dxa"/>
          </w:tblCellMar>
        </w:tblPrEx>
        <w:tc>
          <w:tcPr>
            <w:tcW w:w="0" w:type="dxa"/>
          </w:tcPr>
          <w:p w14:paraId="38477419" w14:textId="77777777" w:rsidR="003013E5" w:rsidRDefault="00000000">
            <w:r>
              <w:t>Policy transformation</w:t>
            </w:r>
          </w:p>
        </w:tc>
        <w:tc>
          <w:tcPr>
            <w:tcW w:w="0" w:type="dxa"/>
          </w:tcPr>
          <w:p w14:paraId="283DAC10" w14:textId="77777777" w:rsidR="003013E5" w:rsidRDefault="00000000">
            <w:r>
              <w:t>Demonstrable today</w:t>
            </w:r>
          </w:p>
        </w:tc>
        <w:tc>
          <w:tcPr>
            <w:tcW w:w="0" w:type="dxa"/>
          </w:tcPr>
          <w:p w14:paraId="60FEB881" w14:textId="77777777" w:rsidR="003013E5" w:rsidRDefault="00000000">
            <w:r>
              <w:t>Demonstrable today</w:t>
            </w:r>
          </w:p>
        </w:tc>
        <w:tc>
          <w:tcPr>
            <w:tcW w:w="0" w:type="dxa"/>
          </w:tcPr>
          <w:p w14:paraId="26F90CC6" w14:textId="77777777" w:rsidR="003013E5" w:rsidRDefault="00000000">
            <w:r>
              <w:t xml:space="preserve">Policy PDF → Questionnaire / CQL / </w:t>
            </w:r>
            <w:proofErr w:type="spellStart"/>
            <w:r>
              <w:t>ValueSet</w:t>
            </w:r>
            <w:proofErr w:type="spellEnd"/>
            <w:r>
              <w:t>, gated by clinical-SME sign-off before use</w:t>
            </w:r>
          </w:p>
        </w:tc>
      </w:tr>
      <w:tr w:rsidR="003013E5" w14:paraId="2CABBC56" w14:textId="77777777">
        <w:tblPrEx>
          <w:tblCellMar>
            <w:top w:w="0" w:type="dxa"/>
            <w:bottom w:w="0" w:type="dxa"/>
          </w:tblCellMar>
        </w:tblPrEx>
        <w:tc>
          <w:tcPr>
            <w:tcW w:w="0" w:type="dxa"/>
          </w:tcPr>
          <w:p w14:paraId="31E13559" w14:textId="77777777" w:rsidR="003013E5" w:rsidRDefault="00000000">
            <w:r>
              <w:t>Policy monitoring (auto-detect library changes)</w:t>
            </w:r>
          </w:p>
        </w:tc>
        <w:tc>
          <w:tcPr>
            <w:tcW w:w="0" w:type="dxa"/>
          </w:tcPr>
          <w:p w14:paraId="27C85D8B" w14:textId="77777777" w:rsidR="003013E5" w:rsidRDefault="00000000">
            <w:r>
              <w:t>Roadmap</w:t>
            </w:r>
          </w:p>
        </w:tc>
        <w:tc>
          <w:tcPr>
            <w:tcW w:w="0" w:type="dxa"/>
          </w:tcPr>
          <w:p w14:paraId="4CB9588A" w14:textId="77777777" w:rsidR="003013E5" w:rsidRDefault="00000000">
            <w:r>
              <w:t>Demonstrable</w:t>
            </w:r>
          </w:p>
        </w:tc>
        <w:tc>
          <w:tcPr>
            <w:tcW w:w="0" w:type="dxa"/>
          </w:tcPr>
          <w:p w14:paraId="7D868510" w14:textId="77777777" w:rsidR="003013E5" w:rsidRDefault="00000000">
            <w:r>
              <w:t>In active development, targeting completion by October 2026 (Section 5.6)</w:t>
            </w:r>
          </w:p>
        </w:tc>
      </w:tr>
      <w:tr w:rsidR="003013E5" w14:paraId="4FCFE210" w14:textId="77777777">
        <w:tblPrEx>
          <w:tblCellMar>
            <w:top w:w="0" w:type="dxa"/>
            <w:bottom w:w="0" w:type="dxa"/>
          </w:tblCellMar>
        </w:tblPrEx>
        <w:tc>
          <w:tcPr>
            <w:tcW w:w="0" w:type="dxa"/>
          </w:tcPr>
          <w:p w14:paraId="5364FCF1" w14:textId="77777777" w:rsidR="003013E5" w:rsidRDefault="00000000">
            <w:r>
              <w:t>Reviewer work queue + SLA timers</w:t>
            </w:r>
          </w:p>
        </w:tc>
        <w:tc>
          <w:tcPr>
            <w:tcW w:w="0" w:type="dxa"/>
          </w:tcPr>
          <w:p w14:paraId="64489140" w14:textId="77777777" w:rsidR="003013E5" w:rsidRDefault="00000000">
            <w:r>
              <w:t>Demonstrable today</w:t>
            </w:r>
          </w:p>
        </w:tc>
        <w:tc>
          <w:tcPr>
            <w:tcW w:w="0" w:type="dxa"/>
          </w:tcPr>
          <w:p w14:paraId="4EF92D13" w14:textId="77777777" w:rsidR="003013E5" w:rsidRDefault="00000000">
            <w:r>
              <w:t>Demonstrable today</w:t>
            </w:r>
          </w:p>
        </w:tc>
        <w:tc>
          <w:tcPr>
            <w:tcW w:w="0" w:type="dxa"/>
          </w:tcPr>
          <w:p w14:paraId="48431029" w14:textId="77777777" w:rsidR="003013E5" w:rsidRDefault="00000000">
            <w:r>
              <w:t>72h / 7-day clocks with breach flags</w:t>
            </w:r>
          </w:p>
        </w:tc>
      </w:tr>
      <w:tr w:rsidR="003013E5" w14:paraId="01B120AE" w14:textId="77777777">
        <w:tblPrEx>
          <w:tblCellMar>
            <w:top w:w="0" w:type="dxa"/>
            <w:bottom w:w="0" w:type="dxa"/>
          </w:tblCellMar>
        </w:tblPrEx>
        <w:tc>
          <w:tcPr>
            <w:tcW w:w="0" w:type="dxa"/>
          </w:tcPr>
          <w:p w14:paraId="7520729A" w14:textId="77777777" w:rsidR="003013E5" w:rsidRDefault="00000000">
            <w:r>
              <w:t>Network adequacy analytics</w:t>
            </w:r>
          </w:p>
        </w:tc>
        <w:tc>
          <w:tcPr>
            <w:tcW w:w="0" w:type="dxa"/>
          </w:tcPr>
          <w:p w14:paraId="78D96245" w14:textId="77777777" w:rsidR="003013E5" w:rsidRDefault="00000000">
            <w:r>
              <w:t>Demonstrable today</w:t>
            </w:r>
          </w:p>
        </w:tc>
        <w:tc>
          <w:tcPr>
            <w:tcW w:w="0" w:type="dxa"/>
          </w:tcPr>
          <w:p w14:paraId="469BF9A9" w14:textId="77777777" w:rsidR="003013E5" w:rsidRDefault="00000000">
            <w:r>
              <w:t>Demonstrable today</w:t>
            </w:r>
          </w:p>
        </w:tc>
        <w:tc>
          <w:tcPr>
            <w:tcW w:w="0" w:type="dxa"/>
          </w:tcPr>
          <w:p w14:paraId="68C5A754" w14:textId="77777777" w:rsidR="003013E5" w:rsidRDefault="00000000">
            <w:r>
              <w:t>Gap analysis by specialty / county / line of business; runs deterministically with no external AI-service dependency</w:t>
            </w:r>
          </w:p>
        </w:tc>
      </w:tr>
      <w:tr w:rsidR="003013E5" w14:paraId="7D2BB685" w14:textId="77777777">
        <w:tblPrEx>
          <w:tblCellMar>
            <w:top w:w="0" w:type="dxa"/>
            <w:bottom w:w="0" w:type="dxa"/>
          </w:tblCellMar>
        </w:tblPrEx>
        <w:tc>
          <w:tcPr>
            <w:tcW w:w="0" w:type="dxa"/>
          </w:tcPr>
          <w:p w14:paraId="033F5A8D" w14:textId="77777777" w:rsidR="003013E5" w:rsidRDefault="00000000">
            <w:r>
              <w:t>Submission-readiness (completeness) scoring</w:t>
            </w:r>
          </w:p>
        </w:tc>
        <w:tc>
          <w:tcPr>
            <w:tcW w:w="0" w:type="dxa"/>
          </w:tcPr>
          <w:p w14:paraId="30819490" w14:textId="77777777" w:rsidR="003013E5" w:rsidRDefault="00000000">
            <w:r>
              <w:t>Demonstrable today</w:t>
            </w:r>
          </w:p>
        </w:tc>
        <w:tc>
          <w:tcPr>
            <w:tcW w:w="0" w:type="dxa"/>
          </w:tcPr>
          <w:p w14:paraId="762D31C5" w14:textId="77777777" w:rsidR="003013E5" w:rsidRDefault="00000000">
            <w:r>
              <w:t>Demonstrable today</w:t>
            </w:r>
          </w:p>
        </w:tc>
        <w:tc>
          <w:tcPr>
            <w:tcW w:w="0" w:type="dxa"/>
          </w:tcPr>
          <w:p w14:paraId="3EDB467B" w14:textId="77777777" w:rsidR="003013E5" w:rsidRDefault="00000000">
            <w:r>
              <w:t>Provider-side decision support (never a determination)</w:t>
            </w:r>
          </w:p>
        </w:tc>
      </w:tr>
      <w:tr w:rsidR="003013E5" w14:paraId="6DF2570F" w14:textId="77777777">
        <w:tblPrEx>
          <w:tblCellMar>
            <w:top w:w="0" w:type="dxa"/>
            <w:bottom w:w="0" w:type="dxa"/>
          </w:tblCellMar>
        </w:tblPrEx>
        <w:tc>
          <w:tcPr>
            <w:tcW w:w="0" w:type="dxa"/>
          </w:tcPr>
          <w:p w14:paraId="1106045B" w14:textId="77777777" w:rsidR="003013E5" w:rsidRDefault="00000000">
            <w:r>
              <w:t>USCDI v3 full class expansion</w:t>
            </w:r>
          </w:p>
        </w:tc>
        <w:tc>
          <w:tcPr>
            <w:tcW w:w="0" w:type="dxa"/>
          </w:tcPr>
          <w:p w14:paraId="2EE1CA16" w14:textId="77777777" w:rsidR="003013E5" w:rsidRDefault="00000000">
            <w:r>
              <w:t>In development</w:t>
            </w:r>
          </w:p>
        </w:tc>
        <w:tc>
          <w:tcPr>
            <w:tcW w:w="0" w:type="dxa"/>
          </w:tcPr>
          <w:p w14:paraId="27127C38" w14:textId="77777777" w:rsidR="003013E5" w:rsidRDefault="00000000">
            <w:r>
              <w:t>In development</w:t>
            </w:r>
          </w:p>
        </w:tc>
        <w:tc>
          <w:tcPr>
            <w:tcW w:w="0" w:type="dxa"/>
          </w:tcPr>
          <w:p w14:paraId="0B343C1A" w14:textId="77777777" w:rsidR="003013E5" w:rsidRDefault="00000000">
            <w:r>
              <w:t>Condition class live; remaining classes onboarded progressively — timeline to be finalized with HCA based on required class prioritization</w:t>
            </w:r>
          </w:p>
        </w:tc>
      </w:tr>
      <w:tr w:rsidR="003013E5" w14:paraId="5EAEAA00" w14:textId="77777777">
        <w:tblPrEx>
          <w:tblCellMar>
            <w:top w:w="0" w:type="dxa"/>
            <w:bottom w:w="0" w:type="dxa"/>
          </w:tblCellMar>
        </w:tblPrEx>
        <w:tc>
          <w:tcPr>
            <w:tcW w:w="0" w:type="dxa"/>
          </w:tcPr>
          <w:p w14:paraId="0502BB56" w14:textId="77777777" w:rsidR="003013E5" w:rsidRDefault="00000000">
            <w:r>
              <w:t>Cross-source identity resolution (MPI)</w:t>
            </w:r>
          </w:p>
        </w:tc>
        <w:tc>
          <w:tcPr>
            <w:tcW w:w="0" w:type="dxa"/>
          </w:tcPr>
          <w:p w14:paraId="54D98079" w14:textId="77777777" w:rsidR="003013E5" w:rsidRDefault="00000000">
            <w:r>
              <w:t>Roadmap</w:t>
            </w:r>
          </w:p>
        </w:tc>
        <w:tc>
          <w:tcPr>
            <w:tcW w:w="0" w:type="dxa"/>
          </w:tcPr>
          <w:p w14:paraId="37227E92" w14:textId="77777777" w:rsidR="003013E5" w:rsidRDefault="00000000">
            <w:r>
              <w:t>Demonstrable</w:t>
            </w:r>
          </w:p>
        </w:tc>
        <w:tc>
          <w:tcPr>
            <w:tcW w:w="0" w:type="dxa"/>
          </w:tcPr>
          <w:p w14:paraId="415E6DFF" w14:textId="77777777" w:rsidR="003013E5" w:rsidRDefault="00000000">
            <w:r>
              <w:t>In active development, targeting completion by October 2026 (Section 5.6)</w:t>
            </w:r>
          </w:p>
        </w:tc>
      </w:tr>
      <w:tr w:rsidR="003013E5" w14:paraId="6F3F272A" w14:textId="77777777">
        <w:tblPrEx>
          <w:tblCellMar>
            <w:top w:w="0" w:type="dxa"/>
            <w:bottom w:w="0" w:type="dxa"/>
          </w:tblCellMar>
        </w:tblPrEx>
        <w:tc>
          <w:tcPr>
            <w:tcW w:w="0" w:type="dxa"/>
          </w:tcPr>
          <w:p w14:paraId="6DBC9E16" w14:textId="77777777" w:rsidR="003013E5" w:rsidRDefault="00000000">
            <w:r>
              <w:t>Provider Access opt-out consent model</w:t>
            </w:r>
          </w:p>
        </w:tc>
        <w:tc>
          <w:tcPr>
            <w:tcW w:w="0" w:type="dxa"/>
          </w:tcPr>
          <w:p w14:paraId="780994E5" w14:textId="77777777" w:rsidR="003013E5" w:rsidRDefault="00000000">
            <w:r>
              <w:t>Roadmap (Phase 2)</w:t>
            </w:r>
          </w:p>
        </w:tc>
        <w:tc>
          <w:tcPr>
            <w:tcW w:w="0" w:type="dxa"/>
          </w:tcPr>
          <w:p w14:paraId="22A20C68" w14:textId="77777777" w:rsidR="003013E5" w:rsidRDefault="00000000">
            <w:r>
              <w:t>Demonstrable</w:t>
            </w:r>
          </w:p>
        </w:tc>
        <w:tc>
          <w:tcPr>
            <w:tcW w:w="0" w:type="dxa"/>
          </w:tcPr>
          <w:p w14:paraId="3DC2A4F5" w14:textId="77777777" w:rsidR="003013E5" w:rsidRDefault="00000000">
            <w:r>
              <w:t>In active development, targeting completion by September 2026 (Section 5.6)</w:t>
            </w:r>
          </w:p>
        </w:tc>
      </w:tr>
      <w:tr w:rsidR="003013E5" w14:paraId="645E1B46" w14:textId="77777777">
        <w:tblPrEx>
          <w:tblCellMar>
            <w:top w:w="0" w:type="dxa"/>
            <w:bottom w:w="0" w:type="dxa"/>
          </w:tblCellMar>
        </w:tblPrEx>
        <w:tc>
          <w:tcPr>
            <w:tcW w:w="0" w:type="dxa"/>
          </w:tcPr>
          <w:p w14:paraId="64CE6021" w14:textId="77777777" w:rsidR="003013E5" w:rsidRDefault="00000000">
            <w:r>
              <w:t>CMS-required report pack</w:t>
            </w:r>
          </w:p>
        </w:tc>
        <w:tc>
          <w:tcPr>
            <w:tcW w:w="0" w:type="dxa"/>
          </w:tcPr>
          <w:p w14:paraId="5C4AC527" w14:textId="77777777" w:rsidR="003013E5" w:rsidRDefault="00000000">
            <w:r>
              <w:t>In development</w:t>
            </w:r>
          </w:p>
        </w:tc>
        <w:tc>
          <w:tcPr>
            <w:tcW w:w="0" w:type="dxa"/>
          </w:tcPr>
          <w:p w14:paraId="3B7A49FA" w14:textId="77777777" w:rsidR="003013E5" w:rsidRDefault="00000000">
            <w:r>
              <w:t>In development</w:t>
            </w:r>
          </w:p>
        </w:tc>
        <w:tc>
          <w:tcPr>
            <w:tcW w:w="0" w:type="dxa"/>
          </w:tcPr>
          <w:p w14:paraId="5D74C95F" w14:textId="77777777" w:rsidR="003013E5" w:rsidRDefault="00000000">
            <w:r>
              <w:t>Data model supports; formats to be confirmed with HCA</w:t>
            </w:r>
          </w:p>
        </w:tc>
      </w:tr>
      <w:tr w:rsidR="003013E5" w14:paraId="0D571C6C" w14:textId="77777777">
        <w:tblPrEx>
          <w:tblCellMar>
            <w:top w:w="0" w:type="dxa"/>
            <w:bottom w:w="0" w:type="dxa"/>
          </w:tblCellMar>
        </w:tblPrEx>
        <w:tc>
          <w:tcPr>
            <w:tcW w:w="0" w:type="dxa"/>
          </w:tcPr>
          <w:p w14:paraId="09493D80" w14:textId="77777777" w:rsidR="003013E5" w:rsidRDefault="00000000">
            <w:r>
              <w:t>Provider Directory API (standalone)</w:t>
            </w:r>
          </w:p>
        </w:tc>
        <w:tc>
          <w:tcPr>
            <w:tcW w:w="0" w:type="dxa"/>
          </w:tcPr>
          <w:p w14:paraId="59C90EA5" w14:textId="77777777" w:rsidR="003013E5" w:rsidRDefault="00000000">
            <w:r>
              <w:t>Roadmap (Phase 2)</w:t>
            </w:r>
          </w:p>
        </w:tc>
        <w:tc>
          <w:tcPr>
            <w:tcW w:w="0" w:type="dxa"/>
          </w:tcPr>
          <w:p w14:paraId="1143C429" w14:textId="77777777" w:rsidR="003013E5" w:rsidRDefault="00000000">
            <w:r>
              <w:t>Roadmap (Phase 2)</w:t>
            </w:r>
          </w:p>
        </w:tc>
        <w:tc>
          <w:tcPr>
            <w:tcW w:w="0" w:type="dxa"/>
          </w:tcPr>
          <w:p w14:paraId="6FC901CE" w14:textId="77777777" w:rsidR="003013E5" w:rsidRDefault="00000000">
            <w:r>
              <w:t>Built on the existing provider data model; sequenced with production rollout</w:t>
            </w:r>
          </w:p>
        </w:tc>
      </w:tr>
      <w:tr w:rsidR="003013E5" w14:paraId="4E134EFC" w14:textId="77777777">
        <w:tblPrEx>
          <w:tblCellMar>
            <w:top w:w="0" w:type="dxa"/>
            <w:bottom w:w="0" w:type="dxa"/>
          </w:tblCellMar>
        </w:tblPrEx>
        <w:tc>
          <w:tcPr>
            <w:tcW w:w="0" w:type="dxa"/>
          </w:tcPr>
          <w:p w14:paraId="61EA13F4" w14:textId="77777777" w:rsidR="003013E5" w:rsidRDefault="00000000">
            <w:r>
              <w:lastRenderedPageBreak/>
              <w:t>Live production endpoints (payer / EMR)</w:t>
            </w:r>
          </w:p>
        </w:tc>
        <w:tc>
          <w:tcPr>
            <w:tcW w:w="0" w:type="dxa"/>
          </w:tcPr>
          <w:p w14:paraId="6C0C64BC" w14:textId="77777777" w:rsidR="003013E5" w:rsidRDefault="00000000">
            <w:r>
              <w:t>Next phase</w:t>
            </w:r>
          </w:p>
        </w:tc>
        <w:tc>
          <w:tcPr>
            <w:tcW w:w="0" w:type="dxa"/>
          </w:tcPr>
          <w:p w14:paraId="32816C1F" w14:textId="77777777" w:rsidR="003013E5" w:rsidRDefault="00000000">
            <w:r>
              <w:t>Staging-validated</w:t>
            </w:r>
          </w:p>
        </w:tc>
        <w:tc>
          <w:tcPr>
            <w:tcW w:w="0" w:type="dxa"/>
          </w:tcPr>
          <w:p w14:paraId="2A1DA36D" w14:textId="77777777" w:rsidR="003013E5" w:rsidRDefault="00000000">
            <w:r>
              <w:t>Configuration-based cutover (Section 5.2.2); staging integration against a representative trading partner targeted for October 2026, full production cutover in contract Phase 1</w:t>
            </w:r>
          </w:p>
        </w:tc>
      </w:tr>
      <w:tr w:rsidR="003013E5" w14:paraId="6FA43CF9" w14:textId="77777777">
        <w:tblPrEx>
          <w:tblCellMar>
            <w:top w:w="0" w:type="dxa"/>
            <w:bottom w:w="0" w:type="dxa"/>
          </w:tblCellMar>
        </w:tblPrEx>
        <w:tc>
          <w:tcPr>
            <w:tcW w:w="0" w:type="dxa"/>
          </w:tcPr>
          <w:p w14:paraId="55C9F0D6" w14:textId="77777777" w:rsidR="003013E5" w:rsidRDefault="00000000">
            <w:r>
              <w:t>Standards-conformance testing (Inferno self-service: Da Vinci CRD/DTR/PAS, US Core, CARIN, SMART App Launch, X12 278/275)</w:t>
            </w:r>
          </w:p>
        </w:tc>
        <w:tc>
          <w:tcPr>
            <w:tcW w:w="0" w:type="dxa"/>
          </w:tcPr>
          <w:p w14:paraId="3F293309" w14:textId="77777777" w:rsidR="003013E5" w:rsidRDefault="00000000">
            <w:r>
              <w:t>Not yet run</w:t>
            </w:r>
          </w:p>
        </w:tc>
        <w:tc>
          <w:tcPr>
            <w:tcW w:w="0" w:type="dxa"/>
          </w:tcPr>
          <w:p w14:paraId="2A97AC53" w14:textId="77777777" w:rsidR="003013E5" w:rsidRDefault="00000000">
            <w:r>
              <w:t>Complete and passing</w:t>
            </w:r>
          </w:p>
        </w:tc>
        <w:tc>
          <w:tcPr>
            <w:tcW w:w="0" w:type="dxa"/>
          </w:tcPr>
          <w:p w14:paraId="17BAADA4" w14:textId="77777777" w:rsidR="003013E5" w:rsidRDefault="00000000">
            <w:r>
              <w:t>Full conformance test plan scoped and resourced, targeting completion by October 2026 (Section 5.6)</w:t>
            </w:r>
          </w:p>
        </w:tc>
      </w:tr>
      <w:tr w:rsidR="003013E5" w14:paraId="418CCBDA" w14:textId="77777777">
        <w:tblPrEx>
          <w:tblCellMar>
            <w:top w:w="0" w:type="dxa"/>
            <w:bottom w:w="0" w:type="dxa"/>
          </w:tblCellMar>
        </w:tblPrEx>
        <w:tc>
          <w:tcPr>
            <w:tcW w:w="0" w:type="dxa"/>
          </w:tcPr>
          <w:p w14:paraId="0AC418D7" w14:textId="77777777" w:rsidR="003013E5" w:rsidRDefault="00000000">
            <w:r>
              <w:t>Formal certification (ONC Health IT §170.315(g)(31)/(g)(32)/(g)(33); CAQH CORE Prior Authorization &amp; Referrals Operating Rules)</w:t>
            </w:r>
          </w:p>
        </w:tc>
        <w:tc>
          <w:tcPr>
            <w:tcW w:w="0" w:type="dxa"/>
          </w:tcPr>
          <w:p w14:paraId="1FF9B7AA" w14:textId="77777777" w:rsidR="003013E5" w:rsidRDefault="00000000">
            <w:r>
              <w:t>Not yet engaged</w:t>
            </w:r>
          </w:p>
        </w:tc>
        <w:tc>
          <w:tcPr>
            <w:tcW w:w="0" w:type="dxa"/>
          </w:tcPr>
          <w:p w14:paraId="4A07BA24" w14:textId="77777777" w:rsidR="003013E5" w:rsidRDefault="00000000">
            <w:r>
              <w:t>Engaged and in process</w:t>
            </w:r>
          </w:p>
        </w:tc>
        <w:tc>
          <w:tcPr>
            <w:tcW w:w="0" w:type="dxa"/>
          </w:tcPr>
          <w:p w14:paraId="257CD890" w14:textId="77777777" w:rsidR="003013E5" w:rsidRDefault="00000000">
            <w:r>
              <w:t>ONC-ACB and CAQH CORE testing both underway, targeting completion by December 2026 (Section 5.6)</w:t>
            </w:r>
          </w:p>
        </w:tc>
      </w:tr>
    </w:tbl>
    <w:p w14:paraId="5175453C" w14:textId="77777777" w:rsidR="003013E5" w:rsidRDefault="00000000">
      <w:pPr>
        <w:shd w:val="clear" w:color="auto" w:fill="FFF8E1"/>
        <w:spacing w:after="140"/>
      </w:pPr>
      <w:r>
        <w:rPr>
          <w:i/>
          <w:iCs/>
          <w:color w:val="8A6D00"/>
        </w:rPr>
        <w:t>Target dates assume the development and conformance plan begins within approximately one week of this submission and proceeds without material delay. IBM will confirm firm dates once a start date is set and will notify HCA promptly if any target shifts.</w:t>
      </w:r>
    </w:p>
    <w:p w14:paraId="1AEDDCE0" w14:textId="77777777" w:rsidR="003013E5" w:rsidRDefault="00000000">
      <w:pPr>
        <w:pStyle w:val="Heading2"/>
        <w:spacing w:before="260" w:after="120"/>
      </w:pPr>
      <w:r>
        <w:t>5.2.2 Solution Architecture &amp; Deployment</w:t>
      </w:r>
    </w:p>
    <w:p w14:paraId="323F3B31" w14:textId="77777777" w:rsidR="003013E5" w:rsidRDefault="00000000">
      <w:pPr>
        <w:spacing w:after="140"/>
        <w:jc w:val="both"/>
      </w:pPr>
      <w:r>
        <w:t>The solution is offered as SaaS and supports cloud, on-premises, and hybrid hosting to fit HCA's environment. It runs in two configurations: a reference/validation configuration that runs the full platform against a self-contained FHIR server within IBM's or HCA's cloud tenancy with no external dependency, and a live production configuration that connects the same application layer to a standards-conformant CMS-0057-F backbone for live eligibility (X12 270/271), Da Vinci CRD → DTR → PAS transactions, and X12 278/275 conversion. Moving between them is a configuration change, not an application rewrite: the platform is built to fail immediately and explicitly if it is pointed at a live payer or EMR endpoint that isn't yet configured, rather than silently falling through to reference data — so a misconfigured environment cannot masquerade as production-ready.</w:t>
      </w:r>
    </w:p>
    <w:p w14:paraId="3ECE9B05" w14:textId="77777777" w:rsidR="003013E5" w:rsidRDefault="00000000">
      <w:pPr>
        <w:spacing w:after="140"/>
        <w:jc w:val="both"/>
      </w:pPr>
      <w:r>
        <w:t xml:space="preserve">Scalability and </w:t>
      </w:r>
      <w:proofErr w:type="gramStart"/>
      <w:r>
        <w:t>future-proofing</w:t>
      </w:r>
      <w:proofErr w:type="gramEnd"/>
      <w:r>
        <w:t xml:space="preserve"> follow from a normalized policy and data model: because the platform ingests any payer or state medical policy into one structured model and reaches all data through a common FHIR layer, adding a line of business, a payer trading partner, or a new policy library is a configuration and content task rather than a re-engineering effort.</w:t>
      </w:r>
    </w:p>
    <w:p w14:paraId="171DEEF4" w14:textId="77777777" w:rsidR="003013E5" w:rsidRDefault="00000000">
      <w:pPr>
        <w:spacing w:after="140"/>
        <w:jc w:val="both"/>
      </w:pPr>
      <w:r>
        <w:t xml:space="preserve">The data model is FHIR R4-native throughout, aligned to US Core and the Da Vinci PAS, CRD, DTR, </w:t>
      </w:r>
      <w:proofErr w:type="spellStart"/>
      <w:r>
        <w:t>CDex</w:t>
      </w:r>
      <w:proofErr w:type="spellEnd"/>
      <w:r>
        <w:t xml:space="preserve">, and </w:t>
      </w:r>
      <w:proofErr w:type="spellStart"/>
      <w:r>
        <w:t>HRex</w:t>
      </w:r>
      <w:proofErr w:type="spellEnd"/>
      <w:r>
        <w:t xml:space="preserve"> implementation guides referenced by CMS-0057-F. Core resources include Coverage, Condition, Claim/</w:t>
      </w:r>
      <w:proofErr w:type="spellStart"/>
      <w:r>
        <w:t>ClaimResponse</w:t>
      </w:r>
      <w:proofErr w:type="spellEnd"/>
      <w:r>
        <w:t xml:space="preserve">, </w:t>
      </w:r>
      <w:proofErr w:type="spellStart"/>
      <w:r>
        <w:t>QuestionnaireResponse</w:t>
      </w:r>
      <w:proofErr w:type="spellEnd"/>
      <w:r>
        <w:t>, Consent, and Provenance, with each ingested clinical fact tagged to its source system for auditability. All client access is mediated server-side through a single enforcement layer for authentication, authorization, consent, and audit logging (Section 5.4).</w:t>
      </w:r>
    </w:p>
    <w:p w14:paraId="7264BBD6" w14:textId="77777777" w:rsidR="003013E5" w:rsidRDefault="00000000">
      <w:pPr>
        <w:spacing w:after="140"/>
        <w:jc w:val="both"/>
      </w:pPr>
      <w:r>
        <w:t>IBM has committed a resourced, AI-accelerated pre-contract validation effort that begins staging-environment integration against a representative trading partner ahead of contract award, targeting completion by October 2026 — well ahead of the anticipated RFP evaluation window. This shortens the live-cutover work remaining in contract Phase 1 (Section 5.6) without changing the underlying architecture.</w:t>
      </w:r>
    </w:p>
    <w:p w14:paraId="1D86FF99" w14:textId="77777777" w:rsidR="003013E5" w:rsidRDefault="00000000">
      <w:pPr>
        <w:spacing w:after="140"/>
        <w:jc w:val="both"/>
      </w:pPr>
      <w:r>
        <w:rPr>
          <w:b/>
          <w:bCs/>
        </w:rPr>
        <w:t xml:space="preserve">Service levels. </w:t>
      </w:r>
      <w:r>
        <w:t>IBM proposes its standard enterprise SaaS service-level framework — a monthly application-availability target of [99.9%], defined incident-severity levels with corresponding response and restoration targets, and service credits for missed commitments — finalized during contracting. [IBM to insert final SLA table.]</w:t>
      </w:r>
    </w:p>
    <w:p w14:paraId="5F0857FD" w14:textId="77777777" w:rsidR="003013E5" w:rsidRDefault="00000000">
      <w:pPr>
        <w:spacing w:after="140"/>
        <w:jc w:val="both"/>
      </w:pPr>
      <w:r>
        <w:t>Architecture, workflow, and data-flow diagrams (Figures 1–4) are provided as attachments and referenced throughout Sections 5.2–5.6.</w:t>
      </w:r>
    </w:p>
    <w:p w14:paraId="5E2462B8" w14:textId="77777777" w:rsidR="003013E5" w:rsidRDefault="00000000">
      <w:pPr>
        <w:pStyle w:val="Heading2"/>
        <w:spacing w:before="260" w:after="120"/>
      </w:pPr>
      <w:r>
        <w:t>5.2.3 System Reliability &amp; Operations</w:t>
      </w:r>
    </w:p>
    <w:p w14:paraId="34EC1692" w14:textId="77777777" w:rsidR="003013E5" w:rsidRDefault="00000000">
      <w:pPr>
        <w:spacing w:after="140"/>
        <w:jc w:val="both"/>
      </w:pPr>
      <w:r>
        <w:t xml:space="preserve">Reliability is designed around two principles: nothing is adjudicated without a durable, </w:t>
      </w:r>
      <w:proofErr w:type="spellStart"/>
      <w:r>
        <w:t>replayable</w:t>
      </w:r>
      <w:proofErr w:type="spellEnd"/>
      <w:r>
        <w:t xml:space="preserve"> record, and every automated step degrades gracefully to a human-reviewable state rather than failing silently. The reviewer work queue, for example, is reconstructed directly from persisted evidence records, so an interruption cannot lose case state.</w:t>
      </w:r>
    </w:p>
    <w:p w14:paraId="602A9DD4" w14:textId="77777777" w:rsidR="003013E5" w:rsidRDefault="00000000">
      <w:pPr>
        <w:spacing w:after="140"/>
        <w:jc w:val="both"/>
      </w:pPr>
      <w:r>
        <w:lastRenderedPageBreak/>
        <w:t>For production operation, the platform follows IBM's standard cloud operational practices: health-check-driven uptime monitoring of each service, structured error handling with automatic fallback to human review, and disaster recovery with multi-zone failover and defined recovery-time and recovery-point objectives. [IBM to insert standard enterprise RTO/RPO targets and named DR tooling.]</w:t>
      </w:r>
    </w:p>
    <w:p w14:paraId="5DF5B018" w14:textId="77777777" w:rsidR="003013E5" w:rsidRDefault="00000000">
      <w:pPr>
        <w:pStyle w:val="Heading1"/>
        <w:spacing w:before="360" w:after="160"/>
      </w:pPr>
      <w:r>
        <w:t>5.3 Functional Capabilities</w:t>
      </w:r>
    </w:p>
    <w:p w14:paraId="35718001" w14:textId="77777777" w:rsidR="003013E5" w:rsidRDefault="00000000">
      <w:pPr>
        <w:spacing w:after="140"/>
        <w:jc w:val="both"/>
      </w:pPr>
      <w:r>
        <w:t>Both API development (5.3.1) and policy transformation (5.3.2) are addressed. Each CMS-0057-F provision is implemented as an independently demonstrable capability and unified by the Golden Thread, so a single member and order can be walked through every provision in one continuous session.</w:t>
      </w:r>
    </w:p>
    <w:p w14:paraId="5E4886CB" w14:textId="77777777" w:rsidR="003013E5" w:rsidRDefault="00000000">
      <w:pPr>
        <w:pStyle w:val="Heading2"/>
        <w:spacing w:before="260" w:after="120"/>
      </w:pPr>
      <w:r>
        <w:t>5.3.1 APIs and Directory Services</w:t>
      </w:r>
    </w:p>
    <w:p w14:paraId="1F68112F" w14:textId="77777777" w:rsidR="003013E5" w:rsidRDefault="00000000">
      <w:pPr>
        <w:pStyle w:val="Heading3"/>
        <w:spacing w:before="200" w:after="100"/>
      </w:pPr>
      <w:r>
        <w:t>Patient Access API</w:t>
      </w:r>
    </w:p>
    <w:p w14:paraId="76680014" w14:textId="77777777" w:rsidR="003013E5" w:rsidRDefault="00000000">
      <w:pPr>
        <w:spacing w:after="140"/>
        <w:jc w:val="both"/>
      </w:pPr>
      <w:r>
        <w:t>IBM demonstrates live FHIR reads of a member's coverage, USCDI v3 clinical data, and prior-authorization history. The platform surfaces the specific denial reason on a denied claim — a CMS-0057-F requirement beyond the earlier CMS-9115 baseline, where a payer could return a bare denial. USCDI v3 classes are exposed to the extent maintained; the Condition class is live today and the remaining classes are being onboarded through the same data-mapping pattern. A consent panel and a data-source indicator show members what is shared and where it originated.</w:t>
      </w:r>
    </w:p>
    <w:p w14:paraId="0ED7EE76" w14:textId="77777777" w:rsidR="003013E5" w:rsidRDefault="00000000">
      <w:pPr>
        <w:pStyle w:val="Heading3"/>
        <w:spacing w:before="200" w:after="100"/>
      </w:pPr>
      <w:r>
        <w:t>Provider Access API</w:t>
      </w:r>
    </w:p>
    <w:p w14:paraId="0CE3EDA0" w14:textId="77777777" w:rsidR="003013E5" w:rsidRDefault="00000000">
      <w:pPr>
        <w:spacing w:after="140"/>
        <w:jc w:val="both"/>
      </w:pPr>
      <w:r>
        <w:t>IBM demonstrates member matching, using the standards-based $member-match operation, followed by a treatment-relationship authorization check — a distinct authorization basis from member-directed consent — before releasing claims, encounter, USCDI v3, and prior-authorization data to a provider. Opt-out consent recording for Provider Access is architected as a clean extension point on this same authorization layer and is in active development under a committed build plan, targeting completion by September 2026, ahead of the anticipated RFP evaluation window (Section 5.4, Section 5.6). Bulk delivery to a provider organization's attributed panel via SMART Backend Services, scoped to the CMS-0057-F five-year look-back, is architected and in active development, targeting end-to-end validation by October 2026 (Section 5.6).</w:t>
      </w:r>
    </w:p>
    <w:p w14:paraId="1F1FD4EA" w14:textId="77777777" w:rsidR="003013E5" w:rsidRDefault="00000000">
      <w:pPr>
        <w:pStyle w:val="Heading3"/>
        <w:spacing w:before="200" w:after="100"/>
      </w:pPr>
      <w:r>
        <w:t>Payer-to-Payer API</w:t>
      </w:r>
    </w:p>
    <w:p w14:paraId="2337DAEB" w14:textId="77777777" w:rsidR="003013E5" w:rsidRDefault="00000000">
      <w:pPr>
        <w:spacing w:after="140"/>
        <w:jc w:val="both"/>
      </w:pPr>
      <w:r>
        <w:t xml:space="preserve">IBM demonstrates an opt-in consent gate that must be satisfied before any data moves, followed by an asynchronous bulk export against the prior payer using the Da Vinci bulk data-export pattern and NDJSON format, covering claims, encounter, USCDI v3, and prior-authorization data back to January 1, </w:t>
      </w:r>
      <w:proofErr w:type="gramStart"/>
      <w:r>
        <w:t>2016</w:t>
      </w:r>
      <w:proofErr w:type="gramEnd"/>
      <w:r>
        <w:t xml:space="preserve"> or the member's enrollment date. The platform implements this natively and can also interoperate with a payer's existing Payer-to-Payer accelerator (Section 5.7).</w:t>
      </w:r>
    </w:p>
    <w:p w14:paraId="30D62EE8" w14:textId="77777777" w:rsidR="003013E5" w:rsidRDefault="00000000">
      <w:pPr>
        <w:pStyle w:val="Heading3"/>
        <w:spacing w:before="200" w:after="100"/>
      </w:pPr>
      <w:r>
        <w:t>Prior Authorization — CRD (Coverage Requirements Discovery)</w:t>
      </w:r>
    </w:p>
    <w:p w14:paraId="23D24357" w14:textId="77777777" w:rsidR="003013E5" w:rsidRDefault="00000000">
      <w:pPr>
        <w:spacing w:after="140"/>
        <w:jc w:val="both"/>
      </w:pPr>
      <w:r>
        <w:t>IBM demonstrates CRD as a CDS Hooks integration fired as the order is composed and again when it is signed. On receipt, the platform runs four checks in parallel — eligibility and enrollment, ordering/rendering provider network status, a clinical-guideline check (e.g., Milliman/InterQual), and a PA-required determination from the policy model — and returns a pass/fail checklist. Creating CRD content — converting payer medical policy into the structured PA-required determinations this check evaluates — is described in Section 5.3.2. The live CDS-service integration is the near-term increment noted in the maturity table above.</w:t>
      </w:r>
    </w:p>
    <w:p w14:paraId="546E17E7" w14:textId="77777777" w:rsidR="003013E5" w:rsidRDefault="00000000">
      <w:pPr>
        <w:pStyle w:val="Heading3"/>
        <w:spacing w:before="200" w:after="100"/>
      </w:pPr>
      <w:r>
        <w:t>Prior Authorization — DTR (Documentation Templates &amp; Rules)</w:t>
      </w:r>
    </w:p>
    <w:p w14:paraId="1E97D4B5" w14:textId="77777777" w:rsidR="003013E5" w:rsidRDefault="00000000">
      <w:pPr>
        <w:spacing w:after="140"/>
        <w:jc w:val="both"/>
      </w:pPr>
      <w:r>
        <w:t xml:space="preserve">When PA is required, IBM demonstrates retrieval of a procedure-specific Questionnaire Package and launch of a SMART app that merges EMR and payer clinical data. CQL rules match diagnosis (ICD-10-CM) and procedure (CPT/HCPCS) codes against the merged record and render a criteria tree marking each item Met — with evidence and source citation — or Gap. For any gap, the clinician can upload supporting documentation, which is held in a pending-confirmation state until it is clinically confirmed — the gap does not resolve automatically — and re-run the match. Wrapping that upload in the Da Vinci </w:t>
      </w:r>
      <w:proofErr w:type="spellStart"/>
      <w:r>
        <w:t>CDex</w:t>
      </w:r>
      <w:proofErr w:type="spellEnd"/>
      <w:r>
        <w:t xml:space="preserve"> attachment format is in active development under a committed build plan, targeting completion by September 2026, ahead of the anticipated RFP evaluation window (Section 5.6).</w:t>
      </w:r>
    </w:p>
    <w:p w14:paraId="41C7EAC9" w14:textId="77777777" w:rsidR="003013E5" w:rsidRDefault="00000000">
      <w:pPr>
        <w:pStyle w:val="Heading3"/>
        <w:spacing w:before="200" w:after="100"/>
      </w:pPr>
      <w:r>
        <w:t>Prior Authorization — PAS (Prior Authorization Support)</w:t>
      </w:r>
    </w:p>
    <w:p w14:paraId="2D87025A" w14:textId="77777777" w:rsidR="003013E5" w:rsidRDefault="00000000">
      <w:pPr>
        <w:spacing w:after="140"/>
        <w:jc w:val="both"/>
      </w:pPr>
      <w:r>
        <w:t xml:space="preserve">IBM demonstrates submission-channel selection based on the receiving payer's published capability — a FHIR </w:t>
      </w:r>
      <w:proofErr w:type="spellStart"/>
      <w:r>
        <w:t>PASBundle</w:t>
      </w:r>
      <w:proofErr w:type="spellEnd"/>
      <w:r>
        <w:t xml:space="preserve"> submission for FHIR-capable payers, or X12 278/275 via an EDI translation layer for payers still on the legacy channel — with </w:t>
      </w:r>
      <w:r>
        <w:lastRenderedPageBreak/>
        <w:t>an immutable evidence snapshot created at submission and status updates received via FHIR Subscription. Submission is always human-gated, and that gate is enforced twice — once at the point of interaction and again at the underlying workflow level — so a submission cannot proceed, by any path, until a named human approver is recorded.</w:t>
      </w:r>
    </w:p>
    <w:p w14:paraId="2F720EAA" w14:textId="77777777" w:rsidR="003013E5" w:rsidRDefault="00000000">
      <w:pPr>
        <w:pStyle w:val="Heading3"/>
        <w:spacing w:before="200" w:after="100"/>
      </w:pPr>
      <w:r>
        <w:t>Provider Directory Services</w:t>
      </w:r>
    </w:p>
    <w:p w14:paraId="45A94CAD" w14:textId="77777777" w:rsidR="003013E5" w:rsidRDefault="00000000">
      <w:pPr>
        <w:spacing w:after="140"/>
        <w:jc w:val="both"/>
      </w:pPr>
      <w:r>
        <w:t>A standalone, CMS-0057-F-conformant Provider Directory API — a searchable, publicly accessible endpoint — is on IBM's near-term roadmap (Phase 2, Section 5.6). Provider data (NPI, specialty, and network participation) is already modeled and in use for network-adequacy analysis (Section 5.5), so the directory endpoint would be built on an existing data model rather than a new system. IBM proposes to scope and sequence it alongside the production rollout.</w:t>
      </w:r>
    </w:p>
    <w:p w14:paraId="0AEF562D" w14:textId="77777777" w:rsidR="003013E5" w:rsidRDefault="00000000">
      <w:pPr>
        <w:pStyle w:val="Heading2"/>
        <w:spacing w:before="260" w:after="120"/>
      </w:pPr>
      <w:r>
        <w:t>5.3.2 Policy Transformation</w:t>
      </w:r>
    </w:p>
    <w:p w14:paraId="1AC9C136" w14:textId="77777777" w:rsidR="003013E5" w:rsidRDefault="00000000">
      <w:pPr>
        <w:spacing w:after="140"/>
        <w:jc w:val="both"/>
      </w:pPr>
      <w:r>
        <w:t xml:space="preserve">IBM's approach to converting an unstructured policy environment into a digitally referential, structured one is an AI-assisted policy-transformation capability. It ingests medical policy in whatever form HCA or its managed care plans hold it — most often scanned PDFs or narrative documents — and converts that content into structured JSON and then into Da Vinci FHIR-conformant resources: Questionnaire resources for DTR, CQL logic for medical-necessity evaluation, and </w:t>
      </w:r>
      <w:proofErr w:type="spellStart"/>
      <w:r>
        <w:t>ValueSet</w:t>
      </w:r>
      <w:proofErr w:type="spellEnd"/>
      <w:r>
        <w:t xml:space="preserve"> resources for the code sets a policy references.</w:t>
      </w:r>
    </w:p>
    <w:p w14:paraId="4905E552" w14:textId="77777777" w:rsidR="003013E5" w:rsidRDefault="00000000">
      <w:pPr>
        <w:spacing w:after="140"/>
        <w:jc w:val="both"/>
      </w:pPr>
      <w:r>
        <w:t xml:space="preserve">The transformation is a governed, repeatable methodology, not a one-off parse. AI performs the first-pass extraction; the structured output is then validated against the source policy and signed off by a clinical subject-matter expert before it is used — a gate that is enforced on </w:t>
      </w:r>
      <w:proofErr w:type="gramStart"/>
      <w:r>
        <w:t>every</w:t>
      </w:r>
      <w:proofErr w:type="gramEnd"/>
      <w:r>
        <w:t xml:space="preserve"> structured criteria set, not merely a stated intention. Once structured, a policy is applied consistently across coverage discovery (the CRD PA-required check), documentation matching (the DTR criteria tree), and gold-carding — a state agency or payer structures a policy once and reuses it everywhere. The capability is proven today against real-world payer policies, and IBM would apply the same method to HCA's and Apple Health managed care plans' specific policy libraries, validating the highest-risk conversions first (Section 5.6).</w:t>
      </w:r>
    </w:p>
    <w:p w14:paraId="023B572E" w14:textId="77777777" w:rsidR="003013E5" w:rsidRDefault="00000000">
      <w:pPr>
        <w:spacing w:after="140"/>
        <w:jc w:val="both"/>
      </w:pPr>
      <w:r>
        <w:t>IBM has committed a development plan that extends this capability into a monitoring mode — watching a published policy library for changes and proposing the corresponding structured-resource updates for human approval — so the digital policy environment stays current without manual re-conversion. This is in active development, targeting completion by October 2026, ahead of the anticipated RFP evaluation window (Section 5.6). This remains administrative preparation; a human would approve every change, consistent with the sign-off gate already enforced on today's policy conversions.</w:t>
      </w:r>
    </w:p>
    <w:p w14:paraId="398C31C4" w14:textId="77777777" w:rsidR="003013E5" w:rsidRDefault="00000000">
      <w:pPr>
        <w:spacing w:after="140"/>
        <w:jc w:val="both"/>
      </w:pPr>
      <w:r>
        <w:t>Where the platform scores a member's order, it produces an administrative submission-readiness (completeness) score for the provider — an indication of whether the assembled evidence is likely sufficient — not a coverage decision. This is provider-side decision support and is never a payer determination.</w:t>
      </w:r>
    </w:p>
    <w:p w14:paraId="525DEC91" w14:textId="77777777" w:rsidR="003013E5" w:rsidRDefault="00000000">
      <w:pPr>
        <w:pStyle w:val="Heading1"/>
        <w:spacing w:before="360" w:after="160"/>
      </w:pPr>
      <w:r>
        <w:t>5.4 Security &amp; Privacy</w:t>
      </w:r>
    </w:p>
    <w:p w14:paraId="784968A3" w14:textId="77777777" w:rsidR="003013E5" w:rsidRDefault="00000000">
      <w:pPr>
        <w:spacing w:after="140"/>
        <w:jc w:val="both"/>
      </w:pPr>
      <w:r>
        <w:t xml:space="preserve">Security and privacy are built into the architecture. IBM will meet Washington State security requirements, including the </w:t>
      </w:r>
      <w:proofErr w:type="spellStart"/>
      <w:r>
        <w:t>WaTech</w:t>
      </w:r>
      <w:proofErr w:type="spellEnd"/>
      <w:r>
        <w:t xml:space="preserve"> OCIO security policies, and will complete HCA's required security review and data-sharing agreements during onboarding. [IBM to confirm completion of the </w:t>
      </w:r>
      <w:proofErr w:type="spellStart"/>
      <w:r>
        <w:t>WaTech</w:t>
      </w:r>
      <w:proofErr w:type="spellEnd"/>
      <w:r>
        <w:t xml:space="preserve"> OCIO security design review.]</w:t>
      </w:r>
    </w:p>
    <w:p w14:paraId="33403FFC" w14:textId="77777777" w:rsidR="003013E5" w:rsidRDefault="00000000">
      <w:pPr>
        <w:spacing w:after="140"/>
        <w:jc w:val="both"/>
      </w:pPr>
      <w:r>
        <w:t xml:space="preserve">Authentication and authorization use OAuth2 and SMART App Launch throughout; every component — the DTR SMART app, the CRD/CDS integration, EMR data pulls under US Core profiles, and payer API pulls — operates under its own scope-limited token. All client access is mediated server-side, giving IBM a single enforcement </w:t>
      </w:r>
      <w:proofErr w:type="gramStart"/>
      <w:r>
        <w:t>point</w:t>
      </w:r>
      <w:proofErr w:type="gramEnd"/>
      <w:r>
        <w:t xml:space="preserve"> for authentication, authorization, consent, and audit logging.</w:t>
      </w:r>
    </w:p>
    <w:p w14:paraId="42E3694F" w14:textId="77777777" w:rsidR="003013E5" w:rsidRDefault="00000000">
      <w:pPr>
        <w:spacing w:after="140"/>
        <w:jc w:val="both"/>
      </w:pPr>
      <w:r>
        <w:t>The platform exposes the standards-based $member-match operation through this server-mediated access layer and uses it consistently to identify a member before releasing data for Provider Access or Payer-to-Payer. A dedicated cross-source identity-resolution layer — reconciling the same individual across EMR, payer, and state-agency sources ahead of that match — is in active development under a committed build plan, targeting completion by October 2026, ahead of the anticipated RFP evaluation window (Section 5.6); IBM will scope it against HCA's existing Master Patient/Client Index or as a standalone capability, per HCA's preference.</w:t>
      </w:r>
    </w:p>
    <w:p w14:paraId="294BCF79" w14:textId="77777777" w:rsidR="003013E5" w:rsidRDefault="00000000">
      <w:pPr>
        <w:spacing w:after="140"/>
        <w:jc w:val="both"/>
      </w:pPr>
      <w:r>
        <w:t>Consent management is a dedicated capability, not a flag: the platform demonstrates opt-in consent for Payer-to-Payer (no export proceeds until consent is recorded) and is architected as a clean extension point for the opt-out consent model HCA requires for Provider Access. That opt-out model is in active development, targeting completion by September 2026, ahead of the anticipated RFP evaluation window (Section 5.6), and is built to support consent revocation once that model is in place. IBM can either provide consent management or integrate with an existing consent solution HCA already operates.</w:t>
      </w:r>
    </w:p>
    <w:p w14:paraId="5C630B47" w14:textId="77777777" w:rsidR="003013E5" w:rsidRDefault="00000000">
      <w:pPr>
        <w:spacing w:after="140"/>
        <w:jc w:val="both"/>
      </w:pPr>
      <w:r>
        <w:lastRenderedPageBreak/>
        <w:t>Audit logging is a first-class, append-only record: every determination, evidence step, eligibility check, and estimation is timestamped in an immutable trail, and every ingested clinical fact carries its source provenance. The trail is deliberately built to store references, codes, and determinations rather than raw clinical payloads, limiting PHI exposure within the audit layer itself.</w:t>
      </w:r>
    </w:p>
    <w:p w14:paraId="5EB49715" w14:textId="77777777" w:rsidR="003013E5" w:rsidRDefault="00000000">
      <w:pPr>
        <w:spacing w:after="140"/>
        <w:jc w:val="both"/>
      </w:pPr>
      <w:r>
        <w:t>The platform is designed for HIPAA and 42 CFR Part 2-sensitive data. IBM will execute a HIPAA Business Associate Agreement and maps its controls to SOC 2 Type II, with HITRUST CSF certification available if HCA or a trading partner requires it. [IBM to insert current SOC 2 report date and BAA template reference.]</w:t>
      </w:r>
    </w:p>
    <w:p w14:paraId="5114D6DF" w14:textId="77777777" w:rsidR="003013E5" w:rsidRDefault="00000000">
      <w:pPr>
        <w:spacing w:after="140"/>
        <w:jc w:val="both"/>
      </w:pPr>
      <w:r>
        <w:rPr>
          <w:b/>
          <w:bCs/>
        </w:rPr>
        <w:t xml:space="preserve">AI governance. </w:t>
      </w:r>
      <w:r>
        <w:t>IBM's AI governance is built directly around Washington's prior-authorization AI requirements. Under ESSB 5395, no AI component may deny a prior authorization; in this platform every AI-assisted step is administrative and grounded in specific policy criteria, a human approves every submission and every policy conversion, and coverage determinations remain with the payer. This gate is enforced in the application layer itself — a submission cannot be recorded without a named human approver, and a policy criteria set cannot be used until it carries a clinical sign-off — not solely as a procedural commitment.</w:t>
      </w:r>
    </w:p>
    <w:p w14:paraId="2784057A" w14:textId="77777777" w:rsidR="003013E5" w:rsidRDefault="00000000">
      <w:pPr>
        <w:pStyle w:val="Heading1"/>
        <w:spacing w:before="360" w:after="160"/>
      </w:pPr>
      <w:r>
        <w:t>5.5 Reporting &amp; Analytics</w:t>
      </w:r>
    </w:p>
    <w:p w14:paraId="0ED2D258" w14:textId="77777777" w:rsidR="003013E5" w:rsidRDefault="00000000">
      <w:pPr>
        <w:spacing w:after="140"/>
        <w:jc w:val="both"/>
      </w:pPr>
      <w:r>
        <w:t xml:space="preserve">Reporting is built from the same durable, evidence-first data model used for adjudication, so every figure a dashboard shows </w:t>
      </w:r>
      <w:proofErr w:type="gramStart"/>
      <w:r>
        <w:t>is</w:t>
      </w:r>
      <w:proofErr w:type="gramEnd"/>
      <w:r>
        <w:t xml:space="preserve"> traceable to the record that produced it rather than to a separate reporting extract. The capabilities the RFI lists are supported as follows.</w:t>
      </w:r>
    </w:p>
    <w:p w14:paraId="48DC3636" w14:textId="77777777" w:rsidR="003013E5" w:rsidRDefault="00000000">
      <w:pPr>
        <w:spacing w:after="140"/>
        <w:jc w:val="both"/>
      </w:pPr>
      <w:r>
        <w:rPr>
          <w:b/>
          <w:bCs/>
        </w:rPr>
        <w:t xml:space="preserve">Dashboards — demonstrable today. </w:t>
      </w:r>
      <w:r>
        <w:t>An operational reviewer dashboard (case disposition and SLA status) and a state-agency analytics surface for network adequacy are both demonstrable today; the network-adequacy analytics run fully deterministically against the platform's own data model with no external AI-service dependency, so every figure is independently reproducible by a state reviewer.</w:t>
      </w:r>
    </w:p>
    <w:p w14:paraId="431890F4" w14:textId="77777777" w:rsidR="003013E5" w:rsidRDefault="00000000">
      <w:pPr>
        <w:spacing w:after="140"/>
        <w:jc w:val="both"/>
      </w:pPr>
      <w:r>
        <w:rPr>
          <w:b/>
          <w:bCs/>
        </w:rPr>
        <w:t xml:space="preserve">Prior-authorization turnaround reporting — demonstrable today. </w:t>
      </w:r>
      <w:r>
        <w:t>Time-to-determination, percentage resolved within the 72-hour expedited and 7-day standard windows, and breach counts by payer, provider, or procedure derive directly from persisted records.</w:t>
      </w:r>
    </w:p>
    <w:p w14:paraId="207DCA97" w14:textId="77777777" w:rsidR="003013E5" w:rsidRDefault="00000000">
      <w:pPr>
        <w:spacing w:after="140"/>
        <w:jc w:val="both"/>
      </w:pPr>
      <w:r>
        <w:rPr>
          <w:b/>
          <w:bCs/>
        </w:rPr>
        <w:t xml:space="preserve">Denial metrics — demonstrable today. </w:t>
      </w:r>
      <w:r>
        <w:t>Denial reasons are captured at source on denied claims and from the policy model's criteria-gated outcomes.</w:t>
      </w:r>
    </w:p>
    <w:p w14:paraId="14D1D68E" w14:textId="77777777" w:rsidR="003013E5" w:rsidRDefault="00000000">
      <w:pPr>
        <w:spacing w:after="140"/>
        <w:jc w:val="both"/>
      </w:pPr>
      <w:r>
        <w:rPr>
          <w:b/>
          <w:bCs/>
        </w:rPr>
        <w:t xml:space="preserve">API usage reporting — in development. </w:t>
      </w:r>
      <w:r>
        <w:t>Usage metrics are captured at the server-mediated access layer and packaged for reporting.</w:t>
      </w:r>
    </w:p>
    <w:p w14:paraId="5120B4F1" w14:textId="77777777" w:rsidR="003013E5" w:rsidRDefault="00000000">
      <w:pPr>
        <w:spacing w:after="140"/>
        <w:jc w:val="both"/>
      </w:pPr>
      <w:r>
        <w:rPr>
          <w:b/>
          <w:bCs/>
        </w:rPr>
        <w:t xml:space="preserve">CMS-required reports — in development. </w:t>
      </w:r>
      <w:r>
        <w:t>IBM commits to produce the CMS-specified report formats for CMS-0057-F oversight; the underlying data (SLA timers, denial reasons, evidence records, adequacy verdicts) already exists to generate them, and IBM will confirm exact formats with HCA during implementation.</w:t>
      </w:r>
    </w:p>
    <w:p w14:paraId="6ECA5398" w14:textId="77777777" w:rsidR="003013E5" w:rsidRDefault="00000000">
      <w:pPr>
        <w:spacing w:after="140"/>
        <w:jc w:val="both"/>
      </w:pPr>
      <w:r>
        <w:rPr>
          <w:b/>
          <w:bCs/>
        </w:rPr>
        <w:t xml:space="preserve">Alerting &amp; notification. </w:t>
      </w:r>
      <w:r>
        <w:t>In-app SLA breach flags are demonstrable today; email/SMS and webhook alerting (for example, an approaching-breach notice to a UM supervisor) is a near-term extension of the same SLA-timer logic and can be prioritized for HCA.</w:t>
      </w:r>
    </w:p>
    <w:p w14:paraId="62F5EA73" w14:textId="77777777" w:rsidR="003013E5" w:rsidRDefault="00000000">
      <w:pPr>
        <w:pStyle w:val="Heading1"/>
        <w:spacing w:before="360" w:after="160"/>
      </w:pPr>
      <w:r>
        <w:t>5.6 Implementation, Testing &amp; Timeline</w:t>
      </w:r>
    </w:p>
    <w:p w14:paraId="0F301DC4" w14:textId="77777777" w:rsidR="003013E5" w:rsidRDefault="00000000">
      <w:pPr>
        <w:spacing w:after="140"/>
        <w:jc w:val="both"/>
      </w:pPr>
      <w:r>
        <w:t>IBM front-loads requirements gathering into a dedicated discovery phase so the highest-risk unknowns — HCA's UM vendor landscape, existing consent and MPI systems, and current policy libraries — are resolved before build. IBM typically needs [2–4 weeks] of concentrated HCA SME time in discovery rather than time spread thinly across the engagement.</w:t>
      </w:r>
    </w:p>
    <w:p w14:paraId="43F28F77" w14:textId="77777777" w:rsidR="003013E5" w:rsidRDefault="00000000">
      <w:pPr>
        <w:spacing w:after="140"/>
        <w:jc w:val="both"/>
      </w:pPr>
      <w:r>
        <w:t>Implementation is phased and additive: a stable foundation (FHIR server, identity/authentication, and data plumbing) is established first and not modified in place, and each new capability is delivered as an isolated, independently testable increment. IBM validates the highest-risk, most novel component — policy-to-FHIR conversion for HCA's specific policy libraries — early and in isolation before building downstream capability against it.</w:t>
      </w:r>
    </w:p>
    <w:p w14:paraId="4B76A8F6" w14:textId="77777777" w:rsidR="003013E5" w:rsidRDefault="00000000">
      <w:pPr>
        <w:pStyle w:val="Heading3"/>
        <w:spacing w:before="200" w:after="100"/>
      </w:pPr>
      <w:r>
        <w:t>Sample Implementation Timeline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7"/>
        <w:gridCol w:w="4701"/>
        <w:gridCol w:w="2202"/>
      </w:tblGrid>
      <w:tr w:rsidR="003013E5" w14:paraId="54714357" w14:textId="77777777">
        <w:tblPrEx>
          <w:tblCellMar>
            <w:top w:w="0" w:type="dxa"/>
            <w:bottom w:w="0" w:type="dxa"/>
          </w:tblCellMar>
        </w:tblPrEx>
        <w:tc>
          <w:tcPr>
            <w:tcW w:w="0" w:type="dxa"/>
            <w:shd w:val="clear" w:color="auto" w:fill="E8EEF7"/>
          </w:tcPr>
          <w:p w14:paraId="223CD251" w14:textId="77777777" w:rsidR="003013E5" w:rsidRDefault="00000000">
            <w:r>
              <w:rPr>
                <w:b/>
                <w:bCs/>
              </w:rPr>
              <w:t>Phase</w:t>
            </w:r>
          </w:p>
        </w:tc>
        <w:tc>
          <w:tcPr>
            <w:tcW w:w="0" w:type="dxa"/>
            <w:shd w:val="clear" w:color="auto" w:fill="E8EEF7"/>
          </w:tcPr>
          <w:p w14:paraId="125D24F3" w14:textId="77777777" w:rsidR="003013E5" w:rsidRDefault="00000000">
            <w:r>
              <w:rPr>
                <w:b/>
                <w:bCs/>
              </w:rPr>
              <w:t>Focus</w:t>
            </w:r>
          </w:p>
        </w:tc>
        <w:tc>
          <w:tcPr>
            <w:tcW w:w="0" w:type="dxa"/>
            <w:shd w:val="clear" w:color="auto" w:fill="E8EEF7"/>
          </w:tcPr>
          <w:p w14:paraId="1A5F489C" w14:textId="77777777" w:rsidR="003013E5" w:rsidRDefault="00000000">
            <w:r>
              <w:rPr>
                <w:b/>
                <w:bCs/>
              </w:rPr>
              <w:t>Indicative duration</w:t>
            </w:r>
          </w:p>
        </w:tc>
      </w:tr>
      <w:tr w:rsidR="003013E5" w14:paraId="440A7725" w14:textId="77777777">
        <w:tblPrEx>
          <w:tblCellMar>
            <w:top w:w="0" w:type="dxa"/>
            <w:bottom w:w="0" w:type="dxa"/>
          </w:tblCellMar>
        </w:tblPrEx>
        <w:tc>
          <w:tcPr>
            <w:tcW w:w="0" w:type="dxa"/>
          </w:tcPr>
          <w:p w14:paraId="18314310" w14:textId="77777777" w:rsidR="003013E5" w:rsidRDefault="00000000">
            <w:r>
              <w:lastRenderedPageBreak/>
              <w:t>Discovery</w:t>
            </w:r>
          </w:p>
        </w:tc>
        <w:tc>
          <w:tcPr>
            <w:tcW w:w="0" w:type="dxa"/>
          </w:tcPr>
          <w:p w14:paraId="34E68A37" w14:textId="77777777" w:rsidR="003013E5" w:rsidRDefault="00000000">
            <w:r>
              <w:t>Requirements gathering, existing-system inventory (UM vendors, consent, MPI), policy-library assessment, risk validation</w:t>
            </w:r>
          </w:p>
        </w:tc>
        <w:tc>
          <w:tcPr>
            <w:tcW w:w="0" w:type="dxa"/>
          </w:tcPr>
          <w:p w14:paraId="0B512BD0" w14:textId="77777777" w:rsidR="003013E5" w:rsidRDefault="00000000">
            <w:r>
              <w:t>~1 month</w:t>
            </w:r>
          </w:p>
        </w:tc>
      </w:tr>
      <w:tr w:rsidR="003013E5" w14:paraId="3A0DD4EA" w14:textId="77777777">
        <w:tblPrEx>
          <w:tblCellMar>
            <w:top w:w="0" w:type="dxa"/>
            <w:bottom w:w="0" w:type="dxa"/>
          </w:tblCellMar>
        </w:tblPrEx>
        <w:tc>
          <w:tcPr>
            <w:tcW w:w="0" w:type="dxa"/>
          </w:tcPr>
          <w:p w14:paraId="6089A333" w14:textId="77777777" w:rsidR="003013E5" w:rsidRDefault="00000000">
            <w:r>
              <w:t>Phase 1 — Foundation &amp; Prior Auth</w:t>
            </w:r>
          </w:p>
        </w:tc>
        <w:tc>
          <w:tcPr>
            <w:tcW w:w="0" w:type="dxa"/>
          </w:tcPr>
          <w:p w14:paraId="1B46D6C9" w14:textId="77777777" w:rsidR="003013E5" w:rsidRDefault="00000000">
            <w:r>
              <w:t>FHIR foundation, identity/authentication, CRD / DTR / PAS against a first payer</w:t>
            </w:r>
          </w:p>
        </w:tc>
        <w:tc>
          <w:tcPr>
            <w:tcW w:w="0" w:type="dxa"/>
          </w:tcPr>
          <w:p w14:paraId="07AAAF25" w14:textId="77777777" w:rsidR="003013E5" w:rsidRDefault="00000000">
            <w:r>
              <w:t>~3–4 months</w:t>
            </w:r>
          </w:p>
        </w:tc>
      </w:tr>
      <w:tr w:rsidR="003013E5" w14:paraId="5913E350" w14:textId="77777777">
        <w:tblPrEx>
          <w:tblCellMar>
            <w:top w:w="0" w:type="dxa"/>
            <w:bottom w:w="0" w:type="dxa"/>
          </w:tblCellMar>
        </w:tblPrEx>
        <w:tc>
          <w:tcPr>
            <w:tcW w:w="0" w:type="dxa"/>
          </w:tcPr>
          <w:p w14:paraId="3FADF0DF" w14:textId="77777777" w:rsidR="003013E5" w:rsidRDefault="00000000">
            <w:r>
              <w:t>Phase 2 — Interoperability</w:t>
            </w:r>
          </w:p>
        </w:tc>
        <w:tc>
          <w:tcPr>
            <w:tcW w:w="0" w:type="dxa"/>
          </w:tcPr>
          <w:p w14:paraId="0EFE6904" w14:textId="77777777" w:rsidR="003013E5" w:rsidRDefault="00000000">
            <w:r>
              <w:t>Patient Access, Provider Access (incl. opt-out consent, bulk export), Payer-to-Payer, Provider Directory, USCDI v3 expansion, cross-source identity resolution</w:t>
            </w:r>
          </w:p>
        </w:tc>
        <w:tc>
          <w:tcPr>
            <w:tcW w:w="0" w:type="dxa"/>
          </w:tcPr>
          <w:p w14:paraId="510F754D" w14:textId="77777777" w:rsidR="003013E5" w:rsidRDefault="00000000">
            <w:r>
              <w:t>~4–5 months</w:t>
            </w:r>
          </w:p>
        </w:tc>
      </w:tr>
      <w:tr w:rsidR="003013E5" w14:paraId="5813D900" w14:textId="77777777">
        <w:tblPrEx>
          <w:tblCellMar>
            <w:top w:w="0" w:type="dxa"/>
            <w:bottom w:w="0" w:type="dxa"/>
          </w:tblCellMar>
        </w:tblPrEx>
        <w:tc>
          <w:tcPr>
            <w:tcW w:w="0" w:type="dxa"/>
          </w:tcPr>
          <w:p w14:paraId="6B0453D2" w14:textId="77777777" w:rsidR="003013E5" w:rsidRDefault="00000000">
            <w:r>
              <w:t>Phase 3 — Scale, Reporting &amp; Conformance</w:t>
            </w:r>
          </w:p>
        </w:tc>
        <w:tc>
          <w:tcPr>
            <w:tcW w:w="0" w:type="dxa"/>
          </w:tcPr>
          <w:p w14:paraId="20107E60" w14:textId="77777777" w:rsidR="003013E5" w:rsidRDefault="00000000">
            <w:r>
              <w:t>Additional payers / policy libraries, CMS report pack, alerting, hardening, and execution of the standards-conformance test suite (Inferno / Da Vinci / US Core / CARIN / SMART / X12) against the production backbone</w:t>
            </w:r>
          </w:p>
        </w:tc>
        <w:tc>
          <w:tcPr>
            <w:tcW w:w="0" w:type="dxa"/>
          </w:tcPr>
          <w:p w14:paraId="33CCEFAF" w14:textId="77777777" w:rsidR="003013E5" w:rsidRDefault="00000000">
            <w:r>
              <w:t>~3–4 months</w:t>
            </w:r>
          </w:p>
        </w:tc>
      </w:tr>
    </w:tbl>
    <w:p w14:paraId="0C78B955" w14:textId="77777777" w:rsidR="003013E5" w:rsidRDefault="00000000">
      <w:pPr>
        <w:spacing w:after="140"/>
        <w:jc w:val="both"/>
      </w:pPr>
      <w:r>
        <w:t>Indicative durations reflect a comparably scoped build and would be jointly re-baselined with HCA once FSIPAP scope, existing systems, and the trading-partner landscape are confirmed. This timeline governs the funded, post-award engagement; it is distinct from the pre-contract gap-closure and conformance work described below, which IBM is resourcing now, ahead of contract award, so that Phase 1 begins from a stronger starting position.</w:t>
      </w:r>
    </w:p>
    <w:p w14:paraId="0E6AADAD" w14:textId="77777777" w:rsidR="003013E5" w:rsidRDefault="00000000">
      <w:pPr>
        <w:pStyle w:val="Heading3"/>
        <w:spacing w:before="200" w:after="100"/>
      </w:pPr>
      <w:r>
        <w:t>Testing Approach</w:t>
      </w:r>
    </w:p>
    <w:p w14:paraId="2D957760" w14:textId="77777777" w:rsidR="003013E5" w:rsidRDefault="00000000">
      <w:pPr>
        <w:spacing w:after="140"/>
        <w:jc w:val="both"/>
      </w:pPr>
      <w:r>
        <w:t xml:space="preserve">Testing spans three layers. Automated tests prove the deterministic behavior of the policy and criteria logic before any capability is shown live — the current build runs 145 automated tests across 27 test suites, all passing, covering policy criteria evaluation, evidence-record integrity, workflow state transitions, and network-adequacy analytics. A fully scoped, resourced standards-conformance test plan — Inferno self-service testing against Da Vinci CRD, DTR, and PAS, US Core, CARIN, and SMART App Launch, plus X12 278/275 validation — begins within approximately one week of this submission and targets completion by October 2026, ahead of the anticipated RFP evaluation window. Structured user-acceptance testing with HCA reviewers and </w:t>
      </w:r>
      <w:proofErr w:type="gramStart"/>
      <w:r>
        <w:t>analysts</w:t>
      </w:r>
      <w:proofErr w:type="gramEnd"/>
      <w:r>
        <w:t xml:space="preserve"> follows in the same phase.</w:t>
      </w:r>
    </w:p>
    <w:p w14:paraId="5A117A2F" w14:textId="77777777" w:rsidR="003013E5" w:rsidRDefault="00000000">
      <w:pPr>
        <w:pStyle w:val="Heading3"/>
        <w:spacing w:before="200" w:after="100"/>
      </w:pPr>
      <w:r>
        <w:t>Certification Roadmap</w:t>
      </w:r>
    </w:p>
    <w:p w14:paraId="6B8954E2" w14:textId="77777777" w:rsidR="003013E5" w:rsidRDefault="00000000">
      <w:pPr>
        <w:spacing w:after="140"/>
        <w:jc w:val="both"/>
      </w:pPr>
      <w:r>
        <w:t>Beyond self-service conformance testing, IBM has committed a plan to pursue two formal, independently issued certifications relevant to CMS-0057-F: ONC Health IT Certification under §170.315(g)(31)/(g)(32)/(g)(33) — the Provider Prior Authorization API criteria for CRD, DTR, and PAS finalized in ONC's HTI-4 Final Rule (effective October 1, 2025) — resulting in a public listing on the federal Certified Health IT Product List (CHPL); and CAQH CORE Certification for the Prior Authorization &amp; Referrals (278) Operating Rules, covering the X12 278/275 channel. Both engagements begin once conformance testing is complete and are targeted to be engaged and actively underway by the anticipated RFP evaluation window, with completion targeted for December 2026. IBM will share interim testing evidence and certification-body engagement confirmation with HCA as each milestone is reached.</w:t>
      </w:r>
    </w:p>
    <w:p w14:paraId="0E8A4CF4" w14:textId="77777777" w:rsidR="003013E5" w:rsidRDefault="00000000">
      <w:pPr>
        <w:shd w:val="clear" w:color="auto" w:fill="FFF8E1"/>
        <w:spacing w:after="140"/>
      </w:pPr>
      <w:r>
        <w:rPr>
          <w:i/>
          <w:iCs/>
          <w:color w:val="8A6D00"/>
        </w:rPr>
        <w:t>No payer-side FHIR API certification currently exists in the ONC Health IT Certification Program — ASTP/ONC withdrew the proposed payer-API certification criteria (HTI-2) in December 2025 in favor of a deregulatory rulemaking (HTI-5). IBM is not claiming, and will not claim, a certification that is not available to pursue.</w:t>
      </w:r>
    </w:p>
    <w:p w14:paraId="6AB6E0DD" w14:textId="77777777" w:rsidR="003013E5" w:rsidRDefault="00000000">
      <w:pPr>
        <w:pStyle w:val="Heading3"/>
        <w:spacing w:before="200" w:after="100"/>
      </w:pPr>
      <w:r>
        <w:t>Sample Work Plan &amp; Data Migration</w:t>
      </w:r>
    </w:p>
    <w:p w14:paraId="04DD6F48" w14:textId="77777777" w:rsidR="003013E5" w:rsidRDefault="00000000">
      <w:pPr>
        <w:spacing w:after="140"/>
        <w:jc w:val="both"/>
      </w:pPr>
      <w:r>
        <w:t>Data migration falls into two categories: policy-content migration — converting HCA's and Apple Health plans' existing utilization-management and coverage policies into structured FHIR artifacts using the Section 5.3.2 capability — and, if applicable, consent-record migration from an existing consent system. Both are scoped in discovery. Architectural models, workflows, and end-to-end data-flow diagrams (Figures 1–4) are provided as attachments.</w:t>
      </w:r>
    </w:p>
    <w:p w14:paraId="3E02CD56" w14:textId="77777777" w:rsidR="003013E5" w:rsidRDefault="00000000">
      <w:pPr>
        <w:pStyle w:val="Heading1"/>
        <w:spacing w:before="360" w:after="160"/>
      </w:pPr>
      <w:r>
        <w:t>5.7 Pricing &amp; Delivery Model</w:t>
      </w:r>
    </w:p>
    <w:p w14:paraId="0C8C2E38" w14:textId="77777777" w:rsidR="003013E5" w:rsidRDefault="00000000">
      <w:pPr>
        <w:spacing w:after="140"/>
        <w:jc w:val="both"/>
      </w:pPr>
      <w:r>
        <w:t>IBM proposes a Design, Development, and Implementation (DDI) plus ongoing Operations &amp; Maintenance (O&amp;M) pricing model, consistent with state-agency procurement structure, priced by phase and by the scope HCA elects — the number of policy libraries, payer connections, and lines of business brought in. The ranges below convey structure and order of magnitude; IBM will provide a firm, priced proposal against the final scope and its contracted rate card (Section 5.8).</w:t>
      </w:r>
    </w:p>
    <w:p w14:paraId="78D5C2E0" w14:textId="77777777" w:rsidR="003013E5" w:rsidRDefault="00000000">
      <w:pPr>
        <w:spacing w:after="140"/>
        <w:jc w:val="both"/>
      </w:pPr>
      <w:r>
        <w:rPr>
          <w:b/>
          <w:bCs/>
        </w:rPr>
        <w:t xml:space="preserve">DDI. </w:t>
      </w:r>
      <w:r>
        <w:t xml:space="preserve">Priced by phase. An initial prior-authorization build (CRD / DTR / PAS) against a single representative payer environment is a low-to-mid six-figure engagement; a full multi-provision platform — all four CMS-0057-F provisions, policy transformation, reporting, and production cutover — is a multi-phase engagement in the low seven figures. IBM can deliver </w:t>
      </w:r>
      <w:r>
        <w:lastRenderedPageBreak/>
        <w:t>either as a fully custom build or under an asset-leverage model that reuses IBM's existing platform investment to reduce a first client's incremental cost and time-to-</w:t>
      </w:r>
      <w:proofErr w:type="gramStart"/>
      <w:r>
        <w:t>first-functionality</w:t>
      </w:r>
      <w:proofErr w:type="gramEnd"/>
      <w:r>
        <w:t>; IBM will discuss which better fits FSIPAP's budget and schedule.</w:t>
      </w:r>
    </w:p>
    <w:p w14:paraId="3BA215D8" w14:textId="77777777" w:rsidR="003013E5" w:rsidRDefault="00000000">
      <w:pPr>
        <w:spacing w:after="140"/>
        <w:jc w:val="both"/>
      </w:pPr>
      <w:r>
        <w:rPr>
          <w:b/>
          <w:bCs/>
        </w:rPr>
        <w:t xml:space="preserve">O&amp;M. </w:t>
      </w:r>
      <w:r>
        <w:t>Priced as an annual run-rate covering cloud hosting, application and FHIR support, monitoring, compliance maintenance (e.g., SOC 2 renewal), and periodic clinical-policy revision review. Third-party clinical-guideline licensing (Milliman Care Guidelines and/or InterQual) is passed through at cost and depends on which source HCA's plans already use.</w:t>
      </w:r>
    </w:p>
    <w:p w14:paraId="542CCCB8" w14:textId="77777777" w:rsidR="003013E5" w:rsidRDefault="00000000">
      <w:pPr>
        <w:spacing w:after="140"/>
        <w:jc w:val="both"/>
      </w:pPr>
      <w:r>
        <w:rPr>
          <w:b/>
          <w:bCs/>
        </w:rPr>
        <w:t>Primary cost drivers.</w:t>
      </w:r>
    </w:p>
    <w:p w14:paraId="55B69319" w14:textId="77777777" w:rsidR="003013E5" w:rsidRDefault="00000000">
      <w:pPr>
        <w:pStyle w:val="ListParagraph"/>
        <w:numPr>
          <w:ilvl w:val="0"/>
          <w:numId w:val="1"/>
        </w:numPr>
        <w:spacing w:after="80"/>
      </w:pPr>
      <w:r>
        <w:t>Number of connected payer / EMR trading partners and transaction volume (the main driver of hosting and support cost).</w:t>
      </w:r>
    </w:p>
    <w:p w14:paraId="58360145" w14:textId="77777777" w:rsidR="003013E5" w:rsidRDefault="00000000">
      <w:pPr>
        <w:pStyle w:val="ListParagraph"/>
        <w:numPr>
          <w:ilvl w:val="0"/>
          <w:numId w:val="1"/>
        </w:numPr>
        <w:spacing w:after="80"/>
      </w:pPr>
      <w:r>
        <w:t>Number and complexity of policy libraries to be structured.</w:t>
      </w:r>
    </w:p>
    <w:p w14:paraId="2ADB9014" w14:textId="77777777" w:rsidR="003013E5" w:rsidRDefault="00000000">
      <w:pPr>
        <w:pStyle w:val="ListParagraph"/>
        <w:numPr>
          <w:ilvl w:val="0"/>
          <w:numId w:val="1"/>
        </w:numPr>
        <w:spacing w:after="80"/>
      </w:pPr>
      <w:r>
        <w:t>Choice of fully custom vs. asset-leverage delivery.</w:t>
      </w:r>
    </w:p>
    <w:p w14:paraId="44332B34" w14:textId="77777777" w:rsidR="003013E5" w:rsidRDefault="00000000">
      <w:pPr>
        <w:pStyle w:val="ListParagraph"/>
        <w:numPr>
          <w:ilvl w:val="0"/>
          <w:numId w:val="1"/>
        </w:numPr>
        <w:spacing w:after="80"/>
      </w:pPr>
      <w:r>
        <w:t>Third-party clinical-guideline licensing (pass-through).</w:t>
      </w:r>
    </w:p>
    <w:p w14:paraId="7A0D3EDB" w14:textId="77777777" w:rsidR="003013E5" w:rsidRDefault="00000000">
      <w:pPr>
        <w:pStyle w:val="ListParagraph"/>
        <w:numPr>
          <w:ilvl w:val="0"/>
          <w:numId w:val="1"/>
        </w:numPr>
        <w:spacing w:after="80"/>
      </w:pPr>
      <w:r>
        <w:t>Optional HITRUST certification beyond the SOC 2 Type II baseline.</w:t>
      </w:r>
    </w:p>
    <w:p w14:paraId="69315702" w14:textId="77777777" w:rsidR="003013E5" w:rsidRDefault="00000000">
      <w:pPr>
        <w:spacing w:after="140"/>
        <w:jc w:val="both"/>
      </w:pPr>
      <w:r>
        <w:rPr>
          <w:b/>
          <w:bCs/>
        </w:rPr>
        <w:t xml:space="preserve">Integration &amp; partnership. </w:t>
      </w:r>
      <w:r>
        <w:t>IBM's model integrates with, rather than displaces, specialist vendors already in HCA's environment — existing consent management, MPI, clinical-guideline licenses, HIE feeds, and Payer-to-Payer accelerators. IBM welcomes confirmation of which existing relationships it should plan to integrate with as part of the engagement.</w:t>
      </w:r>
    </w:p>
    <w:p w14:paraId="24E3E6E2" w14:textId="77777777" w:rsidR="003013E5" w:rsidRDefault="00000000">
      <w:pPr>
        <w:pStyle w:val="Heading1"/>
        <w:spacing w:before="360" w:after="160"/>
      </w:pPr>
      <w:r>
        <w:t>5.8 Experience &amp; References</w:t>
      </w:r>
    </w:p>
    <w:p w14:paraId="561D28F1" w14:textId="77777777" w:rsidR="003013E5" w:rsidRDefault="00000000">
      <w:pPr>
        <w:spacing w:after="140"/>
        <w:jc w:val="both"/>
      </w:pPr>
      <w:r>
        <w:rPr>
          <w:b/>
          <w:bCs/>
        </w:rPr>
        <w:t xml:space="preserve">Direct CMS-0057-F experience for state Medicaid managed care. </w:t>
      </w:r>
      <w:r>
        <w:t xml:space="preserve">IBM completed a full CMS-0057 readiness assessment for a state Medicaid managed care health plan serving more than 300,000 members, covering plan structure, prior-authorization volumes and turnaround times, utilization-management vendor relationships, and a maturity assessment across all four CMS-0057-F provisions. That assessment found the plan at a "Managed" maturity level for Patient Access but only "Initial" for Provider Access, Payer-to-Payer, and Prior Authorization — a pattern typical of plans approaching the January 1, </w:t>
      </w:r>
      <w:proofErr w:type="gramStart"/>
      <w:r>
        <w:t>2027</w:t>
      </w:r>
      <w:proofErr w:type="gramEnd"/>
      <w:r>
        <w:t xml:space="preserve"> deadline, and one that directly shaped the phased approach in Section 5.6. [IBM to confirm whether this client may be named or should remain anonymized.]</w:t>
      </w:r>
    </w:p>
    <w:p w14:paraId="37B89246" w14:textId="77777777" w:rsidR="003013E5" w:rsidRDefault="00000000">
      <w:pPr>
        <w:spacing w:after="140"/>
        <w:jc w:val="both"/>
      </w:pPr>
      <w:r>
        <w:t>IBM has extensive experience working with HIPAA-protected and 42 CFR Part 2-sensitive data; the platform's consent, provenance, and audit architecture (Section 5.4) was designed for exactly this data.</w:t>
      </w:r>
    </w:p>
    <w:p w14:paraId="3ED05069" w14:textId="77777777" w:rsidR="003013E5" w:rsidRDefault="00000000">
      <w:pPr>
        <w:spacing w:after="140"/>
        <w:jc w:val="both"/>
      </w:pPr>
      <w:r>
        <w:t>IBM's work directly targets the CMS Interoperability and Prior Authorization Final Rule (CMS-0057-F) and builds on the CMS-9115 Patient Access baseline. [IBM to insert prior CMS-9115 / interoperability engagement references.]</w:t>
      </w:r>
    </w:p>
    <w:p w14:paraId="58A9A2D6" w14:textId="77777777" w:rsidR="003013E5" w:rsidRDefault="00000000">
      <w:pPr>
        <w:spacing w:after="140"/>
        <w:jc w:val="both"/>
      </w:pPr>
      <w:r>
        <w:t xml:space="preserve">IBM has implemented working, demonstrable versions of Patient Access, Provider Access, Prior Authorization (CRD / DTR / PAS), and Payer-to-Payer against the Da Vinci implementation </w:t>
      </w:r>
      <w:proofErr w:type="gramStart"/>
      <w:r>
        <w:t>guides, and</w:t>
      </w:r>
      <w:proofErr w:type="gramEnd"/>
      <w:r>
        <w:t xml:space="preserve"> has implemented the policy-transformation capability described in Section 5.3.2. IBM has also translated state-specific network-adequacy standards — Medicare Advantage §422.116, Medicaid §438.68 and the 2024 Access rule, and Qualified Health Plan §156.230 — into an operational, auditable compliance tool.</w:t>
      </w:r>
    </w:p>
    <w:p w14:paraId="7ED8CBA6" w14:textId="77777777" w:rsidR="003013E5" w:rsidRDefault="00000000">
      <w:pPr>
        <w:pStyle w:val="Heading3"/>
        <w:spacing w:before="200" w:after="100"/>
      </w:pPr>
      <w:r>
        <w:t>Relevant References &amp; Case Studies</w:t>
      </w:r>
    </w:p>
    <w:p w14:paraId="5E098C53" w14:textId="77777777" w:rsidR="003013E5" w:rsidRDefault="00000000">
      <w:pPr>
        <w:spacing w:after="140"/>
        <w:jc w:val="both"/>
      </w:pPr>
      <w:r>
        <w:t xml:space="preserve">[IBM to insert named, verified client references and case studies IBM is authorized to share, with contact information </w:t>
      </w:r>
      <w:proofErr w:type="gramStart"/>
      <w:r>
        <w:t>where</w:t>
      </w:r>
      <w:proofErr w:type="gramEnd"/>
      <w:r>
        <w:t xml:space="preserve"> permitted by the reference client.]</w:t>
      </w:r>
    </w:p>
    <w:p w14:paraId="2F593115" w14:textId="77777777" w:rsidR="003013E5" w:rsidRDefault="00000000">
      <w:pPr>
        <w:pStyle w:val="Heading3"/>
        <w:spacing w:before="200" w:after="100"/>
      </w:pPr>
      <w:r>
        <w:t>Contracting Vehicles</w:t>
      </w:r>
    </w:p>
    <w:p w14:paraId="0BBCBFCF" w14:textId="77777777" w:rsidR="003013E5" w:rsidRDefault="00000000">
      <w:pPr>
        <w:spacing w:after="140"/>
        <w:jc w:val="both"/>
      </w:pPr>
      <w:r>
        <w:t xml:space="preserve">[IBM to insert applicable contracting vehicles and numbers that ease contracting with HCA — e.g., DES statewide contract, NASPO </w:t>
      </w:r>
      <w:proofErr w:type="spellStart"/>
      <w:r>
        <w:t>ValuePoint</w:t>
      </w:r>
      <w:proofErr w:type="spellEnd"/>
      <w:r>
        <w:t>, GSA Schedule.]</w:t>
      </w:r>
    </w:p>
    <w:p w14:paraId="63171F1F" w14:textId="77777777" w:rsidR="003013E5" w:rsidRDefault="00000000">
      <w:pPr>
        <w:pStyle w:val="Heading3"/>
        <w:spacing w:before="200" w:after="100"/>
      </w:pPr>
      <w:r>
        <w:t>State Medicaid / Government References</w:t>
      </w:r>
    </w:p>
    <w:p w14:paraId="0911C793" w14:textId="77777777" w:rsidR="003013E5" w:rsidRDefault="00000000">
      <w:pPr>
        <w:spacing w:after="140"/>
        <w:jc w:val="both"/>
      </w:pPr>
      <w:r>
        <w:t>[IBM to insert any additional state Medicaid or state-government references IBM is authorized to cite, beyond the engagement described above.]</w:t>
      </w:r>
    </w:p>
    <w:p w14:paraId="0A2207AE" w14:textId="77777777" w:rsidR="003013E5" w:rsidRDefault="00000000">
      <w:r>
        <w:br w:type="page"/>
      </w:r>
    </w:p>
    <w:p w14:paraId="568D574E" w14:textId="77777777" w:rsidR="003013E5" w:rsidRDefault="00000000">
      <w:pPr>
        <w:pStyle w:val="Heading1"/>
        <w:spacing w:before="360" w:after="160"/>
      </w:pPr>
      <w:r>
        <w:lastRenderedPageBreak/>
        <w:t>Appendix: V4 Revision Notes (internal — remove before submission)</w:t>
      </w:r>
    </w:p>
    <w:p w14:paraId="075B34EA" w14:textId="77777777" w:rsidR="003013E5" w:rsidRDefault="00000000">
      <w:pPr>
        <w:shd w:val="clear" w:color="auto" w:fill="FFF8E1"/>
        <w:spacing w:after="140"/>
      </w:pPr>
      <w:r>
        <w:rPr>
          <w:i/>
          <w:iCs/>
          <w:color w:val="8A6D00"/>
        </w:rPr>
        <w:t>This appendix summarizes what changed from V3 following an adversarial audit of the current codebase against every claim in the response. It is for internal review only and must be deleted before the document is submitted to HCA.</w:t>
      </w:r>
    </w:p>
    <w:p w14:paraId="5109A5DC" w14:textId="77777777" w:rsidR="003013E5" w:rsidRDefault="00000000">
      <w:pPr>
        <w:pStyle w:val="Heading3"/>
        <w:spacing w:before="200" w:after="100"/>
      </w:pPr>
      <w:r>
        <w:t>Corrected (was overstated relative to code evidence)</w:t>
      </w:r>
    </w:p>
    <w:p w14:paraId="7A2CD33E" w14:textId="77777777" w:rsidR="003013E5" w:rsidRDefault="00000000">
      <w:pPr>
        <w:pStyle w:val="ListParagraph"/>
        <w:numPr>
          <w:ilvl w:val="0"/>
          <w:numId w:val="1"/>
        </w:numPr>
        <w:spacing w:after="80"/>
      </w:pPr>
      <w:r>
        <w:t>Testing Approach (5.6): conformance testing reframed from a current testing layer to a fully scoped plan executed during production cutover — no conformance run has occurred yet.</w:t>
      </w:r>
    </w:p>
    <w:p w14:paraId="24B0E810" w14:textId="77777777" w:rsidR="003013E5" w:rsidRDefault="00000000">
      <w:pPr>
        <w:pStyle w:val="ListParagraph"/>
        <w:numPr>
          <w:ilvl w:val="0"/>
          <w:numId w:val="1"/>
        </w:numPr>
        <w:spacing w:after="80"/>
      </w:pPr>
      <w:r>
        <w:t>MPI / identity resolution (5.4): softened from "provides MPI-based identity matching" to "exposes the standards-based $member-match operation today; a dedicated resolution layer is a planned extension." Added as a new Roadmap row in the 5.2.1 table.</w:t>
      </w:r>
    </w:p>
    <w:p w14:paraId="31C36EED" w14:textId="77777777" w:rsidR="003013E5" w:rsidRDefault="00000000">
      <w:pPr>
        <w:pStyle w:val="ListParagraph"/>
        <w:numPr>
          <w:ilvl w:val="0"/>
          <w:numId w:val="1"/>
        </w:numPr>
        <w:spacing w:after="80"/>
      </w:pPr>
      <w:r>
        <w:t>Provider Access opt-out consent (5.4): softened from "provides the opt-out model" to "architected as a clean extension point... not yet implemented." Added as a new Roadmap (Phase 2) row in the 5.2.1 table.</w:t>
      </w:r>
    </w:p>
    <w:p w14:paraId="31834E05" w14:textId="77777777" w:rsidR="003013E5" w:rsidRDefault="00000000">
      <w:pPr>
        <w:pStyle w:val="ListParagraph"/>
        <w:numPr>
          <w:ilvl w:val="0"/>
          <w:numId w:val="1"/>
        </w:numPr>
        <w:spacing w:after="80"/>
      </w:pPr>
      <w:r>
        <w:t xml:space="preserve">DTR </w:t>
      </w:r>
      <w:proofErr w:type="spellStart"/>
      <w:r>
        <w:t>CDex</w:t>
      </w:r>
      <w:proofErr w:type="spellEnd"/>
      <w:r>
        <w:t xml:space="preserve"> attachment (5.3.1): softened from "via the </w:t>
      </w:r>
      <w:proofErr w:type="spellStart"/>
      <w:r>
        <w:t>CDex</w:t>
      </w:r>
      <w:proofErr w:type="spellEnd"/>
      <w:r>
        <w:t xml:space="preserve"> attachment pattern" to a description of the actual upload-and-confirm interaction; </w:t>
      </w:r>
      <w:proofErr w:type="spellStart"/>
      <w:r>
        <w:t>CDex</w:t>
      </w:r>
      <w:proofErr w:type="spellEnd"/>
      <w:r>
        <w:t>-conformant wrapping noted as a near-term increment.</w:t>
      </w:r>
    </w:p>
    <w:p w14:paraId="1554DA14" w14:textId="77777777" w:rsidR="003013E5" w:rsidRDefault="00000000">
      <w:pPr>
        <w:pStyle w:val="ListParagraph"/>
        <w:numPr>
          <w:ilvl w:val="0"/>
          <w:numId w:val="1"/>
        </w:numPr>
        <w:spacing w:after="80"/>
      </w:pPr>
      <w:r>
        <w:t>Policy monitoring mode (5.3.2, 5.2.1): reframed from an implied-current capability to an explicit roadmap item.</w:t>
      </w:r>
    </w:p>
    <w:p w14:paraId="733EF6F2" w14:textId="77777777" w:rsidR="003013E5" w:rsidRDefault="00000000">
      <w:pPr>
        <w:pStyle w:val="ListParagraph"/>
        <w:numPr>
          <w:ilvl w:val="0"/>
          <w:numId w:val="1"/>
        </w:numPr>
        <w:spacing w:after="80"/>
      </w:pPr>
      <w:r>
        <w:t>Provider Access bulk export (5.2.1, 5.3.1): downgraded from "Demonstrable today" to "In development" — architected but not yet exercised end-to-end outside the reference environment.</w:t>
      </w:r>
    </w:p>
    <w:p w14:paraId="51949F45" w14:textId="77777777" w:rsidR="003013E5" w:rsidRDefault="00000000">
      <w:pPr>
        <w:pStyle w:val="Heading3"/>
        <w:spacing w:before="200" w:after="100"/>
      </w:pPr>
      <w:r>
        <w:t>Upgraded (code does more than V3 said)</w:t>
      </w:r>
    </w:p>
    <w:p w14:paraId="4DAEEF8F" w14:textId="77777777" w:rsidR="003013E5" w:rsidRDefault="00000000">
      <w:pPr>
        <w:pStyle w:val="ListParagraph"/>
        <w:numPr>
          <w:ilvl w:val="0"/>
          <w:numId w:val="1"/>
        </w:numPr>
        <w:spacing w:after="80"/>
      </w:pPr>
      <w:r>
        <w:t>PAS submission human-gating (5.3.1, 5.4): now cites dual-layer enforcement (interaction + workflow state machine), not just a recorded approver.</w:t>
      </w:r>
    </w:p>
    <w:p w14:paraId="4B292474" w14:textId="77777777" w:rsidR="003013E5" w:rsidRDefault="00000000">
      <w:pPr>
        <w:pStyle w:val="ListParagraph"/>
        <w:numPr>
          <w:ilvl w:val="0"/>
          <w:numId w:val="1"/>
        </w:numPr>
        <w:spacing w:after="80"/>
      </w:pPr>
      <w:r>
        <w:t>Audit logging (5.4): added the PHI-minimization detail — the trail stores references, codes, and determinations, never raw clinical payloads.</w:t>
      </w:r>
    </w:p>
    <w:p w14:paraId="04685860" w14:textId="77777777" w:rsidR="003013E5" w:rsidRDefault="00000000">
      <w:pPr>
        <w:pStyle w:val="ListParagraph"/>
        <w:numPr>
          <w:ilvl w:val="0"/>
          <w:numId w:val="1"/>
        </w:numPr>
        <w:spacing w:after="80"/>
      </w:pPr>
      <w:r>
        <w:t>DTR gap evidence (5.3.1): added that an upload is held pending clinical confirmation rather than auto-resolving a gap — a concrete instance of the human-gating principle.</w:t>
      </w:r>
    </w:p>
    <w:p w14:paraId="3213135F" w14:textId="77777777" w:rsidR="003013E5" w:rsidRDefault="00000000">
      <w:pPr>
        <w:pStyle w:val="ListParagraph"/>
        <w:numPr>
          <w:ilvl w:val="0"/>
          <w:numId w:val="1"/>
        </w:numPr>
        <w:spacing w:after="80"/>
      </w:pPr>
      <w:r>
        <w:t>Deployment cutover (5.2.2): added that the platform fails loud, not silent, against an unconfigured live endpoint.</w:t>
      </w:r>
    </w:p>
    <w:p w14:paraId="20DAFBB4" w14:textId="77777777" w:rsidR="003013E5" w:rsidRDefault="00000000">
      <w:pPr>
        <w:pStyle w:val="ListParagraph"/>
        <w:numPr>
          <w:ilvl w:val="0"/>
          <w:numId w:val="1"/>
        </w:numPr>
        <w:spacing w:after="80"/>
      </w:pPr>
      <w:r>
        <w:t xml:space="preserve">Policy sign-off gate (5.3.2, 5.4): clarified this is an enforced gate on </w:t>
      </w:r>
      <w:proofErr w:type="gramStart"/>
      <w:r>
        <w:t>every</w:t>
      </w:r>
      <w:proofErr w:type="gramEnd"/>
      <w:r>
        <w:t xml:space="preserve"> criteria set, not a stated intention.</w:t>
      </w:r>
    </w:p>
    <w:p w14:paraId="0BF6FA37" w14:textId="77777777" w:rsidR="003013E5" w:rsidRDefault="00000000">
      <w:pPr>
        <w:pStyle w:val="ListParagraph"/>
        <w:numPr>
          <w:ilvl w:val="0"/>
          <w:numId w:val="1"/>
        </w:numPr>
        <w:spacing w:after="80"/>
      </w:pPr>
      <w:r>
        <w:t>Testing Approach (5.6): added the concrete, verified figure — 145 automated tests across 27 suites, all passing.</w:t>
      </w:r>
    </w:p>
    <w:p w14:paraId="1CE9D0F2" w14:textId="77777777" w:rsidR="003013E5" w:rsidRDefault="00000000">
      <w:pPr>
        <w:pStyle w:val="ListParagraph"/>
        <w:numPr>
          <w:ilvl w:val="0"/>
          <w:numId w:val="1"/>
        </w:numPr>
        <w:spacing w:after="80"/>
      </w:pPr>
      <w:r>
        <w:t>Network adequacy analytics (5.5): added that it runs with no external AI-service dependency, making every figure independently reproducible.</w:t>
      </w:r>
    </w:p>
    <w:p w14:paraId="510199E5" w14:textId="77777777" w:rsidR="003013E5" w:rsidRDefault="00000000">
      <w:pPr>
        <w:pStyle w:val="Heading3"/>
        <w:spacing w:before="200" w:after="100"/>
      </w:pPr>
      <w:r>
        <w:t>Placeholders</w:t>
      </w:r>
    </w:p>
    <w:p w14:paraId="4579D90E" w14:textId="77777777" w:rsidR="003013E5" w:rsidRDefault="00000000">
      <w:pPr>
        <w:spacing w:after="140"/>
        <w:jc w:val="both"/>
      </w:pPr>
      <w:r>
        <w:t xml:space="preserve">All 10 of V3's [IBM to insert…] placeholders remain open. Each is a business, contractual, or compliance artifact (SLA terms, RTO/RPO, </w:t>
      </w:r>
      <w:proofErr w:type="spellStart"/>
      <w:r>
        <w:t>WaTech</w:t>
      </w:r>
      <w:proofErr w:type="spellEnd"/>
      <w:r>
        <w:t xml:space="preserve"> review status, SOC 2 date, named references, contracting vehicles) rather than something a codebase can substantiate — the audit could not close any of them, which is itself an accurate finding.</w:t>
      </w:r>
    </w:p>
    <w:p w14:paraId="6E88D961" w14:textId="77777777" w:rsidR="003013E5" w:rsidRDefault="00000000">
      <w:pPr>
        <w:pStyle w:val="Heading3"/>
        <w:spacing w:before="200" w:after="100"/>
      </w:pPr>
      <w:r>
        <w:t>Risk flags surfaced by this audit (not resolved in this document)</w:t>
      </w:r>
    </w:p>
    <w:p w14:paraId="130862A4" w14:textId="77777777" w:rsidR="003013E5" w:rsidRDefault="00000000">
      <w:pPr>
        <w:shd w:val="clear" w:color="auto" w:fill="FDECEA"/>
        <w:spacing w:after="160"/>
      </w:pPr>
      <w:r>
        <w:rPr>
          <w:b/>
          <w:bCs/>
          <w:i/>
          <w:iCs/>
          <w:color w:val="B00020"/>
        </w:rPr>
        <w:t xml:space="preserve">CONFIRM BEFORE SUBMISSION — </w:t>
      </w:r>
      <w:r>
        <w:rPr>
          <w:i/>
          <w:iCs/>
          <w:color w:val="B00020"/>
        </w:rPr>
        <w:t>The live application UI currently displays "Propensity-to-deny" text directly to users in several screens (Medical Necessity panel, Evidence Timeline, reviewer work queue, financial-clearance view). This directly contradicts this response's required "submission-readiness (completeness) score" terminology. Recommend the UI copy be corrected before any HCA-facing demonstration, independent of this document.</w:t>
      </w:r>
    </w:p>
    <w:p w14:paraId="43BCDF8E" w14:textId="77777777" w:rsidR="003013E5" w:rsidRDefault="00000000">
      <w:pPr>
        <w:shd w:val="clear" w:color="auto" w:fill="FDECEA"/>
        <w:spacing w:after="160"/>
      </w:pPr>
      <w:r>
        <w:rPr>
          <w:b/>
          <w:bCs/>
          <w:i/>
          <w:iCs/>
          <w:color w:val="B00020"/>
        </w:rPr>
        <w:t xml:space="preserve">CONFIRM BEFORE SUBMISSION — </w:t>
      </w:r>
      <w:r>
        <w:rPr>
          <w:i/>
          <w:iCs/>
          <w:color w:val="B00020"/>
        </w:rPr>
        <w:t>The current repository also contains substantial work unrelated to CMS-0057-F (other client/prospect modules). None of it is referenced in this response and it must never be shown to HCA — recommend confirming this is excluded from any environment HCA may be given access to for a demonstration.</w:t>
      </w:r>
    </w:p>
    <w:p w14:paraId="3FD92A58" w14:textId="77777777" w:rsidR="003013E5" w:rsidRDefault="00000000">
      <w:pPr>
        <w:shd w:val="clear" w:color="auto" w:fill="FDECEA"/>
        <w:spacing w:after="160"/>
      </w:pPr>
      <w:r>
        <w:rPr>
          <w:b/>
          <w:bCs/>
          <w:i/>
          <w:iCs/>
          <w:color w:val="B00020"/>
        </w:rPr>
        <w:t xml:space="preserve">CONFIRM BEFORE SUBMISSION — </w:t>
      </w:r>
      <w:r>
        <w:rPr>
          <w:i/>
          <w:iCs/>
          <w:color w:val="B00020"/>
        </w:rPr>
        <w:t>Standards-conformance testing (Inferno, Da Vinci, US Core, CARIN, SMART App Launch, X12 278/275) has never been executed against the production backbone. This is now accurately scoped as Phase 3 work in Section 5.6, but it carries real schedule risk — first-time conformance runs commonly surface issues — and should be tracked internally as such.</w:t>
      </w:r>
    </w:p>
    <w:p w14:paraId="093A510E" w14:textId="77777777" w:rsidR="003013E5" w:rsidRDefault="00000000">
      <w:pPr>
        <w:pStyle w:val="Heading3"/>
        <w:spacing w:before="200" w:after="100"/>
      </w:pPr>
      <w:r>
        <w:t>V4.1 changes (this revision)</w:t>
      </w:r>
    </w:p>
    <w:p w14:paraId="1D444CD2" w14:textId="77777777" w:rsidR="003013E5" w:rsidRDefault="00000000">
      <w:pPr>
        <w:shd w:val="clear" w:color="auto" w:fill="FFF8E1"/>
        <w:spacing w:after="140"/>
      </w:pPr>
      <w:r>
        <w:rPr>
          <w:i/>
          <w:iCs/>
          <w:color w:val="8A6D00"/>
        </w:rPr>
        <w:lastRenderedPageBreak/>
        <w:t>V4.1 responds to a specific business question: given the actual RFP (as opposed to this RFI) will not be evaluated for approximately three months, where will the platform genuinely stand by then? Every date and status change below is backed by a dated, resourced, task-level project plan (Development Plan and Standards-Conformance Testing Plan workbooks) — this is a forward commitment tied to real scope and cost, not a reframing of existing capability.</w:t>
      </w:r>
    </w:p>
    <w:p w14:paraId="6043D9BF" w14:textId="77777777" w:rsidR="003013E5" w:rsidRDefault="00000000">
      <w:pPr>
        <w:pStyle w:val="ListParagraph"/>
        <w:numPr>
          <w:ilvl w:val="0"/>
          <w:numId w:val="1"/>
        </w:numPr>
        <w:spacing w:after="80"/>
      </w:pPr>
      <w:r>
        <w:t>5.2.1 maturity table: restructured to show Status Today and Target Status at the anticipated RFP evaluation window (~November 2026) side by side, with every upgraded row tied to a specific workstream and target date from the project plan. Items with no committed plan (USCDI v3 remaining classes, CMS report pack formats, standalone Provider Directory API) are correctly left unchanged — IBM is not claiming acceleration it has not resourced.</w:t>
      </w:r>
    </w:p>
    <w:p w14:paraId="26055CD7" w14:textId="77777777" w:rsidR="003013E5" w:rsidRDefault="00000000">
      <w:pPr>
        <w:pStyle w:val="ListParagraph"/>
        <w:numPr>
          <w:ilvl w:val="0"/>
          <w:numId w:val="1"/>
        </w:numPr>
        <w:spacing w:after="80"/>
      </w:pPr>
      <w:r>
        <w:t xml:space="preserve">5.2.2, 5.3.1, 5.3.2, 5.4: added dated "in active development, targeting completion by [month] 2026" language to every gap the V4 audit identified as Roadmap/In development — MPI identity resolution, Provider Access opt-out consent, DTR </w:t>
      </w:r>
      <w:proofErr w:type="spellStart"/>
      <w:r>
        <w:t>CDex</w:t>
      </w:r>
      <w:proofErr w:type="spellEnd"/>
      <w:r>
        <w:t>-conformant attachments, Provider Access bulk export, and policy monitoring mode.</w:t>
      </w:r>
    </w:p>
    <w:p w14:paraId="36C75F86" w14:textId="77777777" w:rsidR="003013E5" w:rsidRDefault="00000000">
      <w:pPr>
        <w:pStyle w:val="ListParagraph"/>
        <w:numPr>
          <w:ilvl w:val="0"/>
          <w:numId w:val="1"/>
        </w:numPr>
        <w:spacing w:after="80"/>
      </w:pPr>
      <w:r>
        <w:t>5.6: added a Certification Roadmap subsection naming the two real, currently pursuable certifications (ONC Health IT §170.315(g)(31)/(g)(32)/(g)(33) via CHPL listing; CAQH CORE Prior Authorization &amp; Referrals Operating Rules) with target engagement and completion dates, and an explicit note that no payer-side FHIR certification currently exists to pursue (HTI-2 was withdrawn in December 2025) — this boundary is stated plainly rather than implied away.</w:t>
      </w:r>
    </w:p>
    <w:p w14:paraId="19A87318" w14:textId="77777777" w:rsidR="003013E5" w:rsidRDefault="00000000">
      <w:pPr>
        <w:shd w:val="clear" w:color="auto" w:fill="FDECEA"/>
        <w:spacing w:after="160"/>
      </w:pPr>
      <w:r>
        <w:rPr>
          <w:b/>
          <w:bCs/>
          <w:i/>
          <w:iCs/>
          <w:color w:val="B00020"/>
        </w:rPr>
        <w:t xml:space="preserve">CONFIRM BEFORE SUBMISSION — </w:t>
      </w:r>
      <w:r>
        <w:rPr>
          <w:i/>
          <w:iCs/>
          <w:color w:val="B00020"/>
        </w:rPr>
        <w:t>All target dates in this revision assume the development and conformance plan begins within approximately one week of this submission. If IBM's internal start date slips, these targets — and the maturity table above — must be revisited and re-issued to HCA before the RFP evaluation window, not silently left in place.</w:t>
      </w:r>
    </w:p>
    <w:sectPr w:rsidR="003013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6720E"/>
    <w:multiLevelType w:val="hybridMultilevel"/>
    <w:tmpl w:val="CA745330"/>
    <w:lvl w:ilvl="0" w:tplc="C60AE95C">
      <w:start w:val="1"/>
      <w:numFmt w:val="bullet"/>
      <w:lvlText w:val="●"/>
      <w:lvlJc w:val="left"/>
      <w:pPr>
        <w:ind w:left="720" w:hanging="360"/>
      </w:pPr>
    </w:lvl>
    <w:lvl w:ilvl="1" w:tplc="00A6274C">
      <w:start w:val="1"/>
      <w:numFmt w:val="bullet"/>
      <w:lvlText w:val="○"/>
      <w:lvlJc w:val="left"/>
      <w:pPr>
        <w:ind w:left="1440" w:hanging="360"/>
      </w:pPr>
    </w:lvl>
    <w:lvl w:ilvl="2" w:tplc="F830E752">
      <w:start w:val="1"/>
      <w:numFmt w:val="bullet"/>
      <w:lvlText w:val="■"/>
      <w:lvlJc w:val="left"/>
      <w:pPr>
        <w:ind w:left="2160" w:hanging="360"/>
      </w:pPr>
    </w:lvl>
    <w:lvl w:ilvl="3" w:tplc="FAD0BC94">
      <w:start w:val="1"/>
      <w:numFmt w:val="bullet"/>
      <w:lvlText w:val="●"/>
      <w:lvlJc w:val="left"/>
      <w:pPr>
        <w:ind w:left="2880" w:hanging="360"/>
      </w:pPr>
    </w:lvl>
    <w:lvl w:ilvl="4" w:tplc="FC62C416">
      <w:start w:val="1"/>
      <w:numFmt w:val="bullet"/>
      <w:lvlText w:val="○"/>
      <w:lvlJc w:val="left"/>
      <w:pPr>
        <w:ind w:left="3600" w:hanging="360"/>
      </w:pPr>
    </w:lvl>
    <w:lvl w:ilvl="5" w:tplc="0B5C20FA">
      <w:start w:val="1"/>
      <w:numFmt w:val="bullet"/>
      <w:lvlText w:val="■"/>
      <w:lvlJc w:val="left"/>
      <w:pPr>
        <w:ind w:left="4320" w:hanging="360"/>
      </w:pPr>
    </w:lvl>
    <w:lvl w:ilvl="6" w:tplc="8C3410C6">
      <w:start w:val="1"/>
      <w:numFmt w:val="bullet"/>
      <w:lvlText w:val="●"/>
      <w:lvlJc w:val="left"/>
      <w:pPr>
        <w:ind w:left="5040" w:hanging="360"/>
      </w:pPr>
    </w:lvl>
    <w:lvl w:ilvl="7" w:tplc="BC744C4C">
      <w:start w:val="1"/>
      <w:numFmt w:val="bullet"/>
      <w:lvlText w:val="●"/>
      <w:lvlJc w:val="left"/>
      <w:pPr>
        <w:ind w:left="5760" w:hanging="360"/>
      </w:pPr>
    </w:lvl>
    <w:lvl w:ilvl="8" w:tplc="72A49A22">
      <w:start w:val="1"/>
      <w:numFmt w:val="bullet"/>
      <w:lvlText w:val="●"/>
      <w:lvlJc w:val="left"/>
      <w:pPr>
        <w:ind w:left="6480" w:hanging="360"/>
      </w:pPr>
    </w:lvl>
  </w:abstractNum>
  <w:num w:numId="1" w16cid:durableId="14278446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3E5"/>
    <w:rsid w:val="003013E5"/>
    <w:rsid w:val="007F66D8"/>
    <w:rsid w:val="00A00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D72A07"/>
  <w15:docId w15:val="{158B008F-9C0D-C846-A778-06B3445D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5682</Words>
  <Characters>32388</Characters>
  <Application>Microsoft Office Word</Application>
  <DocSecurity>0</DocSecurity>
  <Lines>269</Lines>
  <Paragraphs>75</Paragraphs>
  <ScaleCrop>false</ScaleCrop>
  <Company/>
  <LinksUpToDate>false</LinksUpToDate>
  <CharactersWithSpaces>37995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Williams</cp:lastModifiedBy>
  <cp:revision>2</cp:revision>
  <dcterms:created xsi:type="dcterms:W3CDTF">2026-08-07T17:00:00Z</dcterms:created>
  <dcterms:modified xsi:type="dcterms:W3CDTF">2026-08-07T17:04:00Z</dcterms:modified>
</cp:coreProperties>
</file>