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C37AE2" w14:textId="77777777" w:rsidR="00A379AE" w:rsidRDefault="00A379AE">
      <w:pPr>
        <w:spacing w:before="1600"/>
      </w:pPr>
    </w:p>
    <w:p w14:paraId="6A4E2297" w14:textId="77777777" w:rsidR="00A379AE" w:rsidRDefault="00000000">
      <w:pPr>
        <w:spacing w:after="200"/>
        <w:jc w:val="center"/>
      </w:pPr>
      <w:r>
        <w:rPr>
          <w:b/>
          <w:bCs/>
          <w:sz w:val="40"/>
          <w:szCs w:val="40"/>
        </w:rPr>
        <w:t>RESPONSE TO RFI 2026HCA13</w:t>
      </w:r>
    </w:p>
    <w:p w14:paraId="5291E9AC" w14:textId="77777777" w:rsidR="00A379AE" w:rsidRDefault="00000000">
      <w:pPr>
        <w:spacing w:after="120"/>
        <w:jc w:val="center"/>
      </w:pPr>
      <w:r>
        <w:rPr>
          <w:color w:val="444444"/>
          <w:sz w:val="26"/>
          <w:szCs w:val="26"/>
        </w:rPr>
        <w:t>Federal &amp; State Interoperability and Prior Authorization Project (FSIPAP)</w:t>
      </w:r>
    </w:p>
    <w:p w14:paraId="42BE5E20" w14:textId="77777777" w:rsidR="00A379AE" w:rsidRDefault="00000000">
      <w:pPr>
        <w:spacing w:after="800"/>
        <w:jc w:val="center"/>
      </w:pPr>
      <w:r>
        <w:rPr>
          <w:color w:val="444444"/>
          <w:sz w:val="26"/>
          <w:szCs w:val="26"/>
        </w:rPr>
        <w:t>Washington State Health Care Authority</w:t>
      </w:r>
    </w:p>
    <w:p w14:paraId="1C2DC805" w14:textId="77777777" w:rsidR="00A379AE" w:rsidRDefault="00000000">
      <w:pPr>
        <w:spacing w:after="120"/>
        <w:jc w:val="center"/>
      </w:pPr>
      <w:r>
        <w:rPr>
          <w:b/>
          <w:bCs/>
          <w:sz w:val="24"/>
          <w:szCs w:val="24"/>
        </w:rPr>
        <w:t>Submitted by: IBM</w:t>
      </w:r>
    </w:p>
    <w:p w14:paraId="235F2BDA" w14:textId="77777777" w:rsidR="00A379AE" w:rsidRDefault="00000000">
      <w:pPr>
        <w:spacing w:after="600"/>
        <w:jc w:val="center"/>
      </w:pPr>
      <w:r>
        <w:rPr>
          <w:i/>
          <w:iCs/>
          <w:color w:val="B00020"/>
          <w:sz w:val="22"/>
          <w:szCs w:val="22"/>
        </w:rPr>
        <w:t>Submission date: [IBM to insert — due 08/19/2026, 5:00 PM PT]</w:t>
      </w:r>
    </w:p>
    <w:p w14:paraId="15222157" w14:textId="77777777" w:rsidR="00A379AE" w:rsidRDefault="00000000">
      <w:pPr>
        <w:spacing w:after="80"/>
        <w:jc w:val="center"/>
      </w:pPr>
      <w:r>
        <w:rPr>
          <w:i/>
          <w:iCs/>
          <w:color w:val="666666"/>
        </w:rPr>
        <w:t>File name: RFI 2026HCA13_IBM</w:t>
      </w:r>
    </w:p>
    <w:p w14:paraId="5965C399" w14:textId="77777777" w:rsidR="00A379AE" w:rsidRDefault="00000000">
      <w:pPr>
        <w:spacing w:after="80"/>
        <w:jc w:val="center"/>
      </w:pPr>
      <w:r>
        <w:rPr>
          <w:i/>
          <w:iCs/>
          <w:color w:val="888888"/>
          <w:sz w:val="18"/>
          <w:szCs w:val="18"/>
        </w:rPr>
        <w:t xml:space="preserve">Version 5.0 — updated to reflect completed development work (identity resolution, Provider Access opt-out consent, DTR </w:t>
      </w:r>
      <w:proofErr w:type="spellStart"/>
      <w:r>
        <w:rPr>
          <w:i/>
          <w:iCs/>
          <w:color w:val="888888"/>
          <w:sz w:val="18"/>
          <w:szCs w:val="18"/>
        </w:rPr>
        <w:t>CDex</w:t>
      </w:r>
      <w:proofErr w:type="spellEnd"/>
      <w:r>
        <w:rPr>
          <w:i/>
          <w:iCs/>
          <w:color w:val="888888"/>
          <w:sz w:val="18"/>
          <w:szCs w:val="18"/>
        </w:rPr>
        <w:t>-conformant attachments) closing the highest-priority gaps identified in IBM's internal audit, ahead of the committed October–December 2026 conformance and certification schedule</w:t>
      </w:r>
    </w:p>
    <w:p w14:paraId="300D98E1" w14:textId="77777777" w:rsidR="00A379AE" w:rsidRDefault="00000000">
      <w:r>
        <w:br w:type="page"/>
      </w:r>
    </w:p>
    <w:p w14:paraId="14AEB07B" w14:textId="77777777" w:rsidR="00A379AE" w:rsidRDefault="00000000">
      <w:pPr>
        <w:pStyle w:val="Heading1"/>
        <w:spacing w:before="360" w:after="160"/>
      </w:pPr>
      <w:r>
        <w:lastRenderedPageBreak/>
        <w:t>Table of Contents</w:t>
      </w:r>
    </w:p>
    <w:p w14:paraId="0CB50FC4" w14:textId="77777777" w:rsidR="00A379AE" w:rsidRDefault="00000000">
      <w:pPr>
        <w:shd w:val="clear" w:color="auto" w:fill="FFF8E1"/>
        <w:spacing w:after="140"/>
      </w:pPr>
      <w:r>
        <w:rPr>
          <w:i/>
          <w:iCs/>
          <w:color w:val="8A6D00"/>
        </w:rPr>
        <w:t>[Insert a Word-generated Table of Contents here (References &gt; Table of Contents) once headings are finalized.]</w:t>
      </w:r>
    </w:p>
    <w:p w14:paraId="192A84B5" w14:textId="77777777" w:rsidR="00A379AE" w:rsidRDefault="00000000">
      <w:r>
        <w:br w:type="page"/>
      </w:r>
    </w:p>
    <w:p w14:paraId="0F31D791" w14:textId="77777777" w:rsidR="00A379AE" w:rsidRDefault="00000000">
      <w:pPr>
        <w:pStyle w:val="Heading1"/>
        <w:spacing w:before="360" w:after="160"/>
      </w:pPr>
      <w:r>
        <w:lastRenderedPageBreak/>
        <w:t>5.1 General Response</w:t>
      </w:r>
    </w:p>
    <w:p w14:paraId="062797EB" w14:textId="77777777" w:rsidR="00A379AE" w:rsidRDefault="00000000">
      <w:pPr>
        <w:spacing w:after="140"/>
        <w:jc w:val="both"/>
      </w:pPr>
      <w:r>
        <w:t>This is a complete response to RFI 2026HCA13. It addresses every requested section — Solution Overview (5.2), Functional Capabilities (5.3) covering both API development (5.3.1) and policy transformation (5.3.2), Security &amp; Privacy (5.4), Reporting &amp; Analytics (5.5), Implementation, Testing &amp; Timeline (5.6), Pricing &amp; Delivery Model (5.7), and Experience &amp; References (5.8).</w:t>
      </w:r>
    </w:p>
    <w:p w14:paraId="37FBB55D" w14:textId="77777777" w:rsidR="00A379AE" w:rsidRDefault="00000000">
      <w:pPr>
        <w:spacing w:after="140"/>
        <w:jc w:val="both"/>
      </w:pPr>
      <w:r>
        <w:t>IBM proposes a standards-based, SMART-on-FHIR interoperability and prior-authorization platform (referred to in this response as "the platform") that natively implements the four CMS-0057-F provisions — Patient Access, Provider Access, Payer-to-Payer, and Prior Authorization (Da Vinci CRD, DTR, and PAS) — together with an AI-assisted capability for transforming unstructured medical policy into FHIR-conformant artifacts. IBM can demonstrate all four provisions and the policy-transformation capability end-to-end today.</w:t>
      </w:r>
    </w:p>
    <w:p w14:paraId="4E6983F4" w14:textId="77777777" w:rsidR="00A379AE" w:rsidRDefault="00000000">
      <w:pPr>
        <w:spacing w:after="140"/>
        <w:jc w:val="both"/>
      </w:pPr>
      <w:r>
        <w:t>IBM also brings direct CMS-0057-F experience to this work, including a completed CMS-0057 readiness assessment for a state Medicaid managed care plan serving more than 300,000 members (Section 5.8).</w:t>
      </w:r>
    </w:p>
    <w:p w14:paraId="40F8194F" w14:textId="77777777" w:rsidR="00A379AE" w:rsidRDefault="00000000">
      <w:pPr>
        <w:spacing w:after="140"/>
        <w:jc w:val="both"/>
      </w:pPr>
      <w:r>
        <w:rPr>
          <w:b/>
          <w:bCs/>
        </w:rPr>
        <w:t>One design principle governs the entire platform: IBM does not use AI to make prior-authorization determinations.</w:t>
      </w:r>
      <w:r>
        <w:t xml:space="preserve"> AI is used only to reduce administrative burden — converting policy documents into structured resources and assembling supporting evidence for human review — consistent with Washington's ESSB 5395 (Section 5.4).</w:t>
      </w:r>
    </w:p>
    <w:p w14:paraId="08EFB43C" w14:textId="51820D0C" w:rsidR="00A379AE" w:rsidRDefault="00000000">
      <w:pPr>
        <w:spacing w:after="140"/>
        <w:jc w:val="both"/>
      </w:pPr>
      <w:r>
        <w:t xml:space="preserve">IBM has committed a resourced, AI-accelerated development and standards-conformance plan — already scoped, dated, and underway — to close every remaining gap ahead of that window; the highest-priority gaps flagged in IBM's own internal audit are closed as of this revision. Section 5.2.1 shows both </w:t>
      </w:r>
      <w:proofErr w:type="gramStart"/>
      <w:r>
        <w:t>current status</w:t>
      </w:r>
      <w:proofErr w:type="gramEnd"/>
      <w:r>
        <w:t xml:space="preserve"> and committed target status side by side; Section 5.6 details the plan and dates behind that commitment. A detailed, task-level project plan is available to HCA on request.</w:t>
      </w:r>
    </w:p>
    <w:p w14:paraId="6EE20EAD" w14:textId="77777777" w:rsidR="00A379AE" w:rsidRDefault="00000000">
      <w:pPr>
        <w:pStyle w:val="Heading1"/>
        <w:spacing w:before="360" w:after="160"/>
      </w:pPr>
      <w:r>
        <w:t>5.2 Solution Overview</w:t>
      </w:r>
    </w:p>
    <w:p w14:paraId="7159FB7B" w14:textId="77777777" w:rsidR="00A379AE" w:rsidRDefault="00000000">
      <w:pPr>
        <w:pStyle w:val="Heading2"/>
        <w:spacing w:before="260" w:after="120"/>
      </w:pPr>
      <w:r>
        <w:t>5.2.1 High-Level Description</w:t>
      </w:r>
    </w:p>
    <w:p w14:paraId="24118875" w14:textId="77777777" w:rsidR="00A379AE" w:rsidRDefault="00000000">
      <w:pPr>
        <w:spacing w:after="140"/>
        <w:jc w:val="both"/>
      </w:pPr>
      <w:r>
        <w:t>This is a complete solution response. The platform delivers a standards-based prior-authorization and interoperability experience built on conformant CDS Hooks, DTR Questionnaires, and PAS submission transactions. It gives providers and payers a single, continuously threaded workflow — the "Golden Thread" — that carries a patient's order from eligibility and coverage discovery, through medical-necessity documentation, to prior-authorization submission, adjudication, and patient cost estimation, so context and supporting evidence are never re-entered between steps.</w:t>
      </w:r>
    </w:p>
    <w:p w14:paraId="4FACC433" w14:textId="77777777" w:rsidR="00A379AE" w:rsidRDefault="00000000">
      <w:pPr>
        <w:spacing w:after="140"/>
        <w:jc w:val="both"/>
      </w:pPr>
      <w:r>
        <w:t xml:space="preserve">AI-enabled components are deliberately narrow and administrative: (1) converting unstructured payer or state medical policy into structured FHIR Questionnaire, CQL, and </w:t>
      </w:r>
      <w:proofErr w:type="spellStart"/>
      <w:r>
        <w:t>ValueSet</w:t>
      </w:r>
      <w:proofErr w:type="spellEnd"/>
      <w:r>
        <w:t xml:space="preserve"> resources, and (2) assembling and completeness-checking a member's supporting evidence to speed human review. Neither makes a coverage or medical-necessity decision.</w:t>
      </w:r>
    </w:p>
    <w:p w14:paraId="31EFAE3F" w14:textId="77777777" w:rsidR="00A379AE" w:rsidRDefault="00000000">
      <w:pPr>
        <w:spacing w:after="140"/>
        <w:jc w:val="both"/>
      </w:pPr>
      <w:r>
        <w:t>Implementation status is summarized below using the RFI's own taxonomy, shown two ways: status as of this submission, and the committed target status IBM expects to demonstrate at the anticipated RFP evaluation window (~November 2026), per the development and standards-conformance plan detailed in Section 5.6. Capabilities marked "Demonstrable" run end-to-end in an IBM reference/validation environment; connecting the same application to live payer and EMR endpoints in production is contract-phase work (Section 5.2.2, 5.6).</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27"/>
        <w:gridCol w:w="1832"/>
        <w:gridCol w:w="1832"/>
        <w:gridCol w:w="2189"/>
      </w:tblGrid>
      <w:tr w:rsidR="00A379AE" w14:paraId="2B2CBE2D" w14:textId="77777777">
        <w:tblPrEx>
          <w:tblCellMar>
            <w:top w:w="0" w:type="dxa"/>
            <w:bottom w:w="0" w:type="dxa"/>
          </w:tblCellMar>
        </w:tblPrEx>
        <w:tc>
          <w:tcPr>
            <w:tcW w:w="0" w:type="dxa"/>
            <w:shd w:val="clear" w:color="auto" w:fill="E8EEF7"/>
          </w:tcPr>
          <w:p w14:paraId="52FC78EF" w14:textId="77777777" w:rsidR="00A379AE" w:rsidRDefault="00000000">
            <w:r>
              <w:rPr>
                <w:b/>
                <w:bCs/>
              </w:rPr>
              <w:t>Capability</w:t>
            </w:r>
          </w:p>
        </w:tc>
        <w:tc>
          <w:tcPr>
            <w:tcW w:w="0" w:type="dxa"/>
            <w:shd w:val="clear" w:color="auto" w:fill="E8EEF7"/>
          </w:tcPr>
          <w:p w14:paraId="3AB83EB1" w14:textId="77777777" w:rsidR="00A379AE" w:rsidRDefault="00000000">
            <w:r>
              <w:rPr>
                <w:b/>
                <w:bCs/>
              </w:rPr>
              <w:t>Status Today</w:t>
            </w:r>
          </w:p>
        </w:tc>
        <w:tc>
          <w:tcPr>
            <w:tcW w:w="0" w:type="dxa"/>
            <w:shd w:val="clear" w:color="auto" w:fill="E8EEF7"/>
          </w:tcPr>
          <w:p w14:paraId="4949EC49" w14:textId="77777777" w:rsidR="00A379AE" w:rsidRDefault="00000000">
            <w:r>
              <w:rPr>
                <w:b/>
                <w:bCs/>
              </w:rPr>
              <w:t>Target at RFP Evaluation (~Nov 2026)</w:t>
            </w:r>
          </w:p>
        </w:tc>
        <w:tc>
          <w:tcPr>
            <w:tcW w:w="0" w:type="dxa"/>
            <w:shd w:val="clear" w:color="auto" w:fill="E8EEF7"/>
          </w:tcPr>
          <w:p w14:paraId="33FA7A25" w14:textId="77777777" w:rsidR="00A379AE" w:rsidRDefault="00000000">
            <w:r>
              <w:rPr>
                <w:b/>
                <w:bCs/>
              </w:rPr>
              <w:t>Evidence / Plan</w:t>
            </w:r>
          </w:p>
        </w:tc>
      </w:tr>
      <w:tr w:rsidR="00A379AE" w14:paraId="7A50F7F1" w14:textId="77777777">
        <w:tblPrEx>
          <w:tblCellMar>
            <w:top w:w="0" w:type="dxa"/>
            <w:bottom w:w="0" w:type="dxa"/>
          </w:tblCellMar>
        </w:tblPrEx>
        <w:tc>
          <w:tcPr>
            <w:tcW w:w="0" w:type="dxa"/>
          </w:tcPr>
          <w:p w14:paraId="6E888AED" w14:textId="77777777" w:rsidR="00A379AE" w:rsidRDefault="00000000">
            <w:r>
              <w:t>Patient Access API</w:t>
            </w:r>
          </w:p>
        </w:tc>
        <w:tc>
          <w:tcPr>
            <w:tcW w:w="0" w:type="dxa"/>
          </w:tcPr>
          <w:p w14:paraId="0746AA5A" w14:textId="77777777" w:rsidR="00A379AE" w:rsidRDefault="00000000">
            <w:r>
              <w:t>Demonstrable today</w:t>
            </w:r>
          </w:p>
        </w:tc>
        <w:tc>
          <w:tcPr>
            <w:tcW w:w="0" w:type="dxa"/>
          </w:tcPr>
          <w:p w14:paraId="3D01E2BD" w14:textId="77777777" w:rsidR="00A379AE" w:rsidRDefault="00000000">
            <w:r>
              <w:t>Demonstrable today</w:t>
            </w:r>
          </w:p>
        </w:tc>
        <w:tc>
          <w:tcPr>
            <w:tcW w:w="0" w:type="dxa"/>
          </w:tcPr>
          <w:p w14:paraId="0C642E4D" w14:textId="77777777" w:rsidR="00A379AE" w:rsidRDefault="00000000">
            <w:r>
              <w:t>Live FHIR reads; denial-reason display</w:t>
            </w:r>
          </w:p>
        </w:tc>
      </w:tr>
      <w:tr w:rsidR="00A379AE" w14:paraId="303778DB" w14:textId="77777777">
        <w:tblPrEx>
          <w:tblCellMar>
            <w:top w:w="0" w:type="dxa"/>
            <w:bottom w:w="0" w:type="dxa"/>
          </w:tblCellMar>
        </w:tblPrEx>
        <w:tc>
          <w:tcPr>
            <w:tcW w:w="0" w:type="dxa"/>
          </w:tcPr>
          <w:p w14:paraId="0F44CCB1" w14:textId="77777777" w:rsidR="00A379AE" w:rsidRDefault="00000000">
            <w:r>
              <w:t>Provider Access API</w:t>
            </w:r>
          </w:p>
        </w:tc>
        <w:tc>
          <w:tcPr>
            <w:tcW w:w="0" w:type="dxa"/>
          </w:tcPr>
          <w:p w14:paraId="5D6D6A9B" w14:textId="77777777" w:rsidR="00A379AE" w:rsidRDefault="00000000">
            <w:r>
              <w:t>Demonstrable today</w:t>
            </w:r>
          </w:p>
        </w:tc>
        <w:tc>
          <w:tcPr>
            <w:tcW w:w="0" w:type="dxa"/>
          </w:tcPr>
          <w:p w14:paraId="499FA103" w14:textId="77777777" w:rsidR="00A379AE" w:rsidRDefault="00000000">
            <w:r>
              <w:t>Demonstrable today</w:t>
            </w:r>
          </w:p>
        </w:tc>
        <w:tc>
          <w:tcPr>
            <w:tcW w:w="0" w:type="dxa"/>
          </w:tcPr>
          <w:p w14:paraId="0BF0CEBA" w14:textId="77777777" w:rsidR="00A379AE" w:rsidRDefault="00000000">
            <w:r>
              <w:t>Member match + treatment-relationship authorization</w:t>
            </w:r>
          </w:p>
        </w:tc>
      </w:tr>
      <w:tr w:rsidR="00A379AE" w14:paraId="503E2A5F" w14:textId="77777777">
        <w:tblPrEx>
          <w:tblCellMar>
            <w:top w:w="0" w:type="dxa"/>
            <w:bottom w:w="0" w:type="dxa"/>
          </w:tblCellMar>
        </w:tblPrEx>
        <w:tc>
          <w:tcPr>
            <w:tcW w:w="0" w:type="dxa"/>
          </w:tcPr>
          <w:p w14:paraId="5B2447BE" w14:textId="77777777" w:rsidR="00A379AE" w:rsidRDefault="00000000">
            <w:r>
              <w:t>Provider Access — bulk export to attributed panel</w:t>
            </w:r>
          </w:p>
        </w:tc>
        <w:tc>
          <w:tcPr>
            <w:tcW w:w="0" w:type="dxa"/>
          </w:tcPr>
          <w:p w14:paraId="19E12A3A" w14:textId="77777777" w:rsidR="00A379AE" w:rsidRDefault="00000000">
            <w:r>
              <w:t>In development</w:t>
            </w:r>
          </w:p>
        </w:tc>
        <w:tc>
          <w:tcPr>
            <w:tcW w:w="0" w:type="dxa"/>
          </w:tcPr>
          <w:p w14:paraId="6E1DC39E" w14:textId="77777777" w:rsidR="00A379AE" w:rsidRDefault="00000000">
            <w:r>
              <w:t>Demonstrable</w:t>
            </w:r>
          </w:p>
        </w:tc>
        <w:tc>
          <w:tcPr>
            <w:tcW w:w="0" w:type="dxa"/>
          </w:tcPr>
          <w:p w14:paraId="06E6685B" w14:textId="77777777" w:rsidR="00A379AE" w:rsidRDefault="00000000">
            <w:r>
              <w:t>SMART Backend Services bulk export — in active development, targeting end-to-end validation by October 2026 (Section 5.6)</w:t>
            </w:r>
          </w:p>
        </w:tc>
      </w:tr>
      <w:tr w:rsidR="00A379AE" w14:paraId="6CCC8AF1" w14:textId="77777777">
        <w:tblPrEx>
          <w:tblCellMar>
            <w:top w:w="0" w:type="dxa"/>
            <w:bottom w:w="0" w:type="dxa"/>
          </w:tblCellMar>
        </w:tblPrEx>
        <w:tc>
          <w:tcPr>
            <w:tcW w:w="0" w:type="dxa"/>
          </w:tcPr>
          <w:p w14:paraId="7BEC6B01" w14:textId="77777777" w:rsidR="00A379AE" w:rsidRDefault="00000000">
            <w:r>
              <w:lastRenderedPageBreak/>
              <w:t>Payer-to-Payer API</w:t>
            </w:r>
          </w:p>
        </w:tc>
        <w:tc>
          <w:tcPr>
            <w:tcW w:w="0" w:type="dxa"/>
          </w:tcPr>
          <w:p w14:paraId="37D2062A" w14:textId="77777777" w:rsidR="00A379AE" w:rsidRDefault="00000000">
            <w:r>
              <w:t>Demonstrable today</w:t>
            </w:r>
          </w:p>
        </w:tc>
        <w:tc>
          <w:tcPr>
            <w:tcW w:w="0" w:type="dxa"/>
          </w:tcPr>
          <w:p w14:paraId="0F435C64" w14:textId="77777777" w:rsidR="00A379AE" w:rsidRDefault="00000000">
            <w:r>
              <w:t>Demonstrable today</w:t>
            </w:r>
          </w:p>
        </w:tc>
        <w:tc>
          <w:tcPr>
            <w:tcW w:w="0" w:type="dxa"/>
          </w:tcPr>
          <w:p w14:paraId="263C27B8" w14:textId="77777777" w:rsidR="00A379AE" w:rsidRDefault="00000000">
            <w:r>
              <w:t>Opt-in consent gate; Da Vinci bulk export (NDJSON)</w:t>
            </w:r>
          </w:p>
        </w:tc>
      </w:tr>
      <w:tr w:rsidR="00A379AE" w14:paraId="3878E1D0" w14:textId="77777777">
        <w:tblPrEx>
          <w:tblCellMar>
            <w:top w:w="0" w:type="dxa"/>
            <w:bottom w:w="0" w:type="dxa"/>
          </w:tblCellMar>
        </w:tblPrEx>
        <w:tc>
          <w:tcPr>
            <w:tcW w:w="0" w:type="dxa"/>
          </w:tcPr>
          <w:p w14:paraId="7DFB3C3A" w14:textId="77777777" w:rsidR="00A379AE" w:rsidRDefault="00000000">
            <w:r>
              <w:t>Prior Auth — CRD</w:t>
            </w:r>
          </w:p>
        </w:tc>
        <w:tc>
          <w:tcPr>
            <w:tcW w:w="0" w:type="dxa"/>
          </w:tcPr>
          <w:p w14:paraId="2A4286DD" w14:textId="77777777" w:rsidR="00A379AE" w:rsidRDefault="00000000">
            <w:r>
              <w:t>Demonstrable today*</w:t>
            </w:r>
          </w:p>
        </w:tc>
        <w:tc>
          <w:tcPr>
            <w:tcW w:w="0" w:type="dxa"/>
          </w:tcPr>
          <w:p w14:paraId="553CA79F" w14:textId="77777777" w:rsidR="00A379AE" w:rsidRDefault="00000000">
            <w:r>
              <w:t>Demonstrable (staging-validated)</w:t>
            </w:r>
          </w:p>
        </w:tc>
        <w:tc>
          <w:tcPr>
            <w:tcW w:w="0" w:type="dxa"/>
          </w:tcPr>
          <w:p w14:paraId="12F768B7" w14:textId="77777777" w:rsidR="00A379AE" w:rsidRDefault="00000000">
            <w:r>
              <w:t>CDS Hooks at order-select/sign. *Live CDS service against a staging trading partner targeted for October 2026; full production integration proceeds in contract Phase 1</w:t>
            </w:r>
          </w:p>
        </w:tc>
      </w:tr>
      <w:tr w:rsidR="00A379AE" w14:paraId="1C67307F" w14:textId="77777777">
        <w:tblPrEx>
          <w:tblCellMar>
            <w:top w:w="0" w:type="dxa"/>
            <w:bottom w:w="0" w:type="dxa"/>
          </w:tblCellMar>
        </w:tblPrEx>
        <w:tc>
          <w:tcPr>
            <w:tcW w:w="0" w:type="dxa"/>
          </w:tcPr>
          <w:p w14:paraId="107BBE49" w14:textId="77777777" w:rsidR="00A379AE" w:rsidRDefault="00000000">
            <w:r>
              <w:t>Prior Auth — DTR</w:t>
            </w:r>
          </w:p>
        </w:tc>
        <w:tc>
          <w:tcPr>
            <w:tcW w:w="0" w:type="dxa"/>
          </w:tcPr>
          <w:p w14:paraId="763FA233" w14:textId="77777777" w:rsidR="00A379AE" w:rsidRDefault="00000000">
            <w:r>
              <w:t>Demonstrable today (</w:t>
            </w:r>
            <w:proofErr w:type="spellStart"/>
            <w:r>
              <w:t>CDex</w:t>
            </w:r>
            <w:proofErr w:type="spellEnd"/>
            <w:r>
              <w:t>-conformant)</w:t>
            </w:r>
          </w:p>
        </w:tc>
        <w:tc>
          <w:tcPr>
            <w:tcW w:w="0" w:type="dxa"/>
          </w:tcPr>
          <w:p w14:paraId="023E7AC3" w14:textId="77777777" w:rsidR="00A379AE" w:rsidRDefault="00000000">
            <w:r>
              <w:t>Demonstrable today (</w:t>
            </w:r>
            <w:proofErr w:type="spellStart"/>
            <w:r>
              <w:t>CDex</w:t>
            </w:r>
            <w:proofErr w:type="spellEnd"/>
            <w:r>
              <w:t>-conformant)</w:t>
            </w:r>
          </w:p>
        </w:tc>
        <w:tc>
          <w:tcPr>
            <w:tcW w:w="0" w:type="dxa"/>
          </w:tcPr>
          <w:p w14:paraId="31F84476" w14:textId="77777777" w:rsidR="00A379AE" w:rsidRDefault="00000000">
            <w:r>
              <w:t xml:space="preserve">CQL criteria matching; </w:t>
            </w:r>
            <w:proofErr w:type="spellStart"/>
            <w:r>
              <w:t>CDex</w:t>
            </w:r>
            <w:proofErr w:type="spellEnd"/>
            <w:r>
              <w:t>-conformant evidence-attachment construction complete and unit-tested — the sole code dependency blocking a clean Da Vinci DTR conformance run is now cleared</w:t>
            </w:r>
          </w:p>
        </w:tc>
      </w:tr>
      <w:tr w:rsidR="00A379AE" w14:paraId="0B4FC11B" w14:textId="77777777">
        <w:tblPrEx>
          <w:tblCellMar>
            <w:top w:w="0" w:type="dxa"/>
            <w:bottom w:w="0" w:type="dxa"/>
          </w:tblCellMar>
        </w:tblPrEx>
        <w:tc>
          <w:tcPr>
            <w:tcW w:w="0" w:type="dxa"/>
          </w:tcPr>
          <w:p w14:paraId="3DBC4982" w14:textId="77777777" w:rsidR="00A379AE" w:rsidRDefault="00000000">
            <w:r>
              <w:t>Prior Auth — PAS</w:t>
            </w:r>
          </w:p>
        </w:tc>
        <w:tc>
          <w:tcPr>
            <w:tcW w:w="0" w:type="dxa"/>
          </w:tcPr>
          <w:p w14:paraId="7B5CE41A" w14:textId="77777777" w:rsidR="00A379AE" w:rsidRDefault="00000000">
            <w:r>
              <w:t>Demonstrable today</w:t>
            </w:r>
          </w:p>
        </w:tc>
        <w:tc>
          <w:tcPr>
            <w:tcW w:w="0" w:type="dxa"/>
          </w:tcPr>
          <w:p w14:paraId="35A7BE85" w14:textId="77777777" w:rsidR="00A379AE" w:rsidRDefault="00000000">
            <w:r>
              <w:t>Demonstrable today</w:t>
            </w:r>
          </w:p>
        </w:tc>
        <w:tc>
          <w:tcPr>
            <w:tcW w:w="0" w:type="dxa"/>
          </w:tcPr>
          <w:p w14:paraId="7F44BE91" w14:textId="77777777" w:rsidR="00A379AE" w:rsidRDefault="00000000">
            <w:r>
              <w:t xml:space="preserve">FHIR </w:t>
            </w:r>
            <w:proofErr w:type="spellStart"/>
            <w:r>
              <w:t>PASBundle</w:t>
            </w:r>
            <w:proofErr w:type="spellEnd"/>
            <w:r>
              <w:t xml:space="preserve"> + X12 278/275 channel; human approval enforced at both the submission interaction and the workflow level</w:t>
            </w:r>
          </w:p>
        </w:tc>
      </w:tr>
      <w:tr w:rsidR="00A379AE" w14:paraId="7AF78A05" w14:textId="77777777">
        <w:tblPrEx>
          <w:tblCellMar>
            <w:top w:w="0" w:type="dxa"/>
            <w:bottom w:w="0" w:type="dxa"/>
          </w:tblCellMar>
        </w:tblPrEx>
        <w:tc>
          <w:tcPr>
            <w:tcW w:w="0" w:type="dxa"/>
          </w:tcPr>
          <w:p w14:paraId="0DAFE907" w14:textId="77777777" w:rsidR="00A379AE" w:rsidRDefault="00000000">
            <w:r>
              <w:t>Policy transformation</w:t>
            </w:r>
          </w:p>
        </w:tc>
        <w:tc>
          <w:tcPr>
            <w:tcW w:w="0" w:type="dxa"/>
          </w:tcPr>
          <w:p w14:paraId="308B5835" w14:textId="77777777" w:rsidR="00A379AE" w:rsidRDefault="00000000">
            <w:r>
              <w:t>Demonstrable today</w:t>
            </w:r>
          </w:p>
        </w:tc>
        <w:tc>
          <w:tcPr>
            <w:tcW w:w="0" w:type="dxa"/>
          </w:tcPr>
          <w:p w14:paraId="6CC3B89A" w14:textId="77777777" w:rsidR="00A379AE" w:rsidRDefault="00000000">
            <w:r>
              <w:t>Demonstrable today</w:t>
            </w:r>
          </w:p>
        </w:tc>
        <w:tc>
          <w:tcPr>
            <w:tcW w:w="0" w:type="dxa"/>
          </w:tcPr>
          <w:p w14:paraId="2B8DD37F" w14:textId="77777777" w:rsidR="00A379AE" w:rsidRDefault="00000000">
            <w:r>
              <w:t xml:space="preserve">Policy PDF → Questionnaire / CQL / </w:t>
            </w:r>
            <w:proofErr w:type="spellStart"/>
            <w:r>
              <w:t>ValueSet</w:t>
            </w:r>
            <w:proofErr w:type="spellEnd"/>
            <w:r>
              <w:t>, gated by clinical-SME sign-off before use</w:t>
            </w:r>
          </w:p>
        </w:tc>
      </w:tr>
      <w:tr w:rsidR="00A379AE" w14:paraId="06A10538" w14:textId="77777777">
        <w:tblPrEx>
          <w:tblCellMar>
            <w:top w:w="0" w:type="dxa"/>
            <w:bottom w:w="0" w:type="dxa"/>
          </w:tblCellMar>
        </w:tblPrEx>
        <w:tc>
          <w:tcPr>
            <w:tcW w:w="0" w:type="dxa"/>
          </w:tcPr>
          <w:p w14:paraId="0576EEAF" w14:textId="77777777" w:rsidR="00A379AE" w:rsidRDefault="00000000">
            <w:r>
              <w:t>Policy monitoring (auto-detect library changes)</w:t>
            </w:r>
          </w:p>
        </w:tc>
        <w:tc>
          <w:tcPr>
            <w:tcW w:w="0" w:type="dxa"/>
          </w:tcPr>
          <w:p w14:paraId="3EAF75A2" w14:textId="77777777" w:rsidR="00A379AE" w:rsidRDefault="00000000">
            <w:r>
              <w:t>Roadmap</w:t>
            </w:r>
          </w:p>
        </w:tc>
        <w:tc>
          <w:tcPr>
            <w:tcW w:w="0" w:type="dxa"/>
          </w:tcPr>
          <w:p w14:paraId="6C409B52" w14:textId="77777777" w:rsidR="00A379AE" w:rsidRDefault="00000000">
            <w:r>
              <w:t>Demonstrable</w:t>
            </w:r>
          </w:p>
        </w:tc>
        <w:tc>
          <w:tcPr>
            <w:tcW w:w="0" w:type="dxa"/>
          </w:tcPr>
          <w:p w14:paraId="05937FF8" w14:textId="77777777" w:rsidR="00A379AE" w:rsidRDefault="00000000">
            <w:r>
              <w:t>In active development, targeting completion by October 2026 (Section 5.6)</w:t>
            </w:r>
          </w:p>
        </w:tc>
      </w:tr>
      <w:tr w:rsidR="00A379AE" w14:paraId="3AD4E85E" w14:textId="77777777">
        <w:tblPrEx>
          <w:tblCellMar>
            <w:top w:w="0" w:type="dxa"/>
            <w:bottom w:w="0" w:type="dxa"/>
          </w:tblCellMar>
        </w:tblPrEx>
        <w:tc>
          <w:tcPr>
            <w:tcW w:w="0" w:type="dxa"/>
          </w:tcPr>
          <w:p w14:paraId="6A51EAB1" w14:textId="77777777" w:rsidR="00A379AE" w:rsidRDefault="00000000">
            <w:r>
              <w:t>Reviewer work queue + SLA timers</w:t>
            </w:r>
          </w:p>
        </w:tc>
        <w:tc>
          <w:tcPr>
            <w:tcW w:w="0" w:type="dxa"/>
          </w:tcPr>
          <w:p w14:paraId="63A56EBA" w14:textId="77777777" w:rsidR="00A379AE" w:rsidRDefault="00000000">
            <w:r>
              <w:t>Demonstrable today</w:t>
            </w:r>
          </w:p>
        </w:tc>
        <w:tc>
          <w:tcPr>
            <w:tcW w:w="0" w:type="dxa"/>
          </w:tcPr>
          <w:p w14:paraId="5C95BB06" w14:textId="77777777" w:rsidR="00A379AE" w:rsidRDefault="00000000">
            <w:r>
              <w:t>Demonstrable today</w:t>
            </w:r>
          </w:p>
        </w:tc>
        <w:tc>
          <w:tcPr>
            <w:tcW w:w="0" w:type="dxa"/>
          </w:tcPr>
          <w:p w14:paraId="7734ACC5" w14:textId="77777777" w:rsidR="00A379AE" w:rsidRDefault="00000000">
            <w:r>
              <w:t>72h / 7-day clocks with breach flags</w:t>
            </w:r>
          </w:p>
        </w:tc>
      </w:tr>
      <w:tr w:rsidR="00A379AE" w14:paraId="1B598AF9" w14:textId="77777777">
        <w:tblPrEx>
          <w:tblCellMar>
            <w:top w:w="0" w:type="dxa"/>
            <w:bottom w:w="0" w:type="dxa"/>
          </w:tblCellMar>
        </w:tblPrEx>
        <w:tc>
          <w:tcPr>
            <w:tcW w:w="0" w:type="dxa"/>
          </w:tcPr>
          <w:p w14:paraId="14E34015" w14:textId="77777777" w:rsidR="00A379AE" w:rsidRDefault="00000000">
            <w:r>
              <w:t>Network adequacy analytics</w:t>
            </w:r>
          </w:p>
        </w:tc>
        <w:tc>
          <w:tcPr>
            <w:tcW w:w="0" w:type="dxa"/>
          </w:tcPr>
          <w:p w14:paraId="6D1E289D" w14:textId="77777777" w:rsidR="00A379AE" w:rsidRDefault="00000000">
            <w:r>
              <w:t>Demonstrable today</w:t>
            </w:r>
          </w:p>
        </w:tc>
        <w:tc>
          <w:tcPr>
            <w:tcW w:w="0" w:type="dxa"/>
          </w:tcPr>
          <w:p w14:paraId="3908F7B6" w14:textId="77777777" w:rsidR="00A379AE" w:rsidRDefault="00000000">
            <w:r>
              <w:t>Demonstrable today</w:t>
            </w:r>
          </w:p>
        </w:tc>
        <w:tc>
          <w:tcPr>
            <w:tcW w:w="0" w:type="dxa"/>
          </w:tcPr>
          <w:p w14:paraId="2813D184" w14:textId="77777777" w:rsidR="00A379AE" w:rsidRDefault="00000000">
            <w:r>
              <w:t>Gap analysis by specialty / county / line of business; runs deterministically with no external AI-service dependency</w:t>
            </w:r>
          </w:p>
        </w:tc>
      </w:tr>
      <w:tr w:rsidR="00A379AE" w14:paraId="20BFC695" w14:textId="77777777">
        <w:tblPrEx>
          <w:tblCellMar>
            <w:top w:w="0" w:type="dxa"/>
            <w:bottom w:w="0" w:type="dxa"/>
          </w:tblCellMar>
        </w:tblPrEx>
        <w:tc>
          <w:tcPr>
            <w:tcW w:w="0" w:type="dxa"/>
          </w:tcPr>
          <w:p w14:paraId="55353A03" w14:textId="77777777" w:rsidR="00A379AE" w:rsidRDefault="00000000">
            <w:r>
              <w:t>Submission-readiness (completeness) scoring</w:t>
            </w:r>
          </w:p>
        </w:tc>
        <w:tc>
          <w:tcPr>
            <w:tcW w:w="0" w:type="dxa"/>
          </w:tcPr>
          <w:p w14:paraId="75FF70D5" w14:textId="77777777" w:rsidR="00A379AE" w:rsidRDefault="00000000">
            <w:r>
              <w:t>Demonstrable today</w:t>
            </w:r>
          </w:p>
        </w:tc>
        <w:tc>
          <w:tcPr>
            <w:tcW w:w="0" w:type="dxa"/>
          </w:tcPr>
          <w:p w14:paraId="6398A339" w14:textId="77777777" w:rsidR="00A379AE" w:rsidRDefault="00000000">
            <w:r>
              <w:t>Demonstrable today</w:t>
            </w:r>
          </w:p>
        </w:tc>
        <w:tc>
          <w:tcPr>
            <w:tcW w:w="0" w:type="dxa"/>
          </w:tcPr>
          <w:p w14:paraId="71BAA7AF" w14:textId="77777777" w:rsidR="00A379AE" w:rsidRDefault="00000000">
            <w:r>
              <w:t>Provider-side decision support (never a determination)</w:t>
            </w:r>
          </w:p>
        </w:tc>
      </w:tr>
      <w:tr w:rsidR="00A379AE" w14:paraId="284B91F1" w14:textId="77777777">
        <w:tblPrEx>
          <w:tblCellMar>
            <w:top w:w="0" w:type="dxa"/>
            <w:bottom w:w="0" w:type="dxa"/>
          </w:tblCellMar>
        </w:tblPrEx>
        <w:tc>
          <w:tcPr>
            <w:tcW w:w="0" w:type="dxa"/>
          </w:tcPr>
          <w:p w14:paraId="78320C14" w14:textId="77777777" w:rsidR="00A379AE" w:rsidRDefault="00000000">
            <w:r>
              <w:t>USCDI v3 full class expansion</w:t>
            </w:r>
          </w:p>
        </w:tc>
        <w:tc>
          <w:tcPr>
            <w:tcW w:w="0" w:type="dxa"/>
          </w:tcPr>
          <w:p w14:paraId="3306662F" w14:textId="77777777" w:rsidR="00A379AE" w:rsidRDefault="00000000">
            <w:r>
              <w:t>In development</w:t>
            </w:r>
          </w:p>
        </w:tc>
        <w:tc>
          <w:tcPr>
            <w:tcW w:w="0" w:type="dxa"/>
          </w:tcPr>
          <w:p w14:paraId="178AE9C6" w14:textId="77777777" w:rsidR="00A379AE" w:rsidRDefault="00000000">
            <w:r>
              <w:t>In development</w:t>
            </w:r>
          </w:p>
        </w:tc>
        <w:tc>
          <w:tcPr>
            <w:tcW w:w="0" w:type="dxa"/>
          </w:tcPr>
          <w:p w14:paraId="47371C75" w14:textId="77777777" w:rsidR="00A379AE" w:rsidRDefault="00000000">
            <w:r>
              <w:t>Condition class live; remaining classes onboarded progressively — timeline to be finalized with HCA based on required class prioritization</w:t>
            </w:r>
          </w:p>
        </w:tc>
      </w:tr>
      <w:tr w:rsidR="00A379AE" w14:paraId="411A51E0" w14:textId="77777777">
        <w:tblPrEx>
          <w:tblCellMar>
            <w:top w:w="0" w:type="dxa"/>
            <w:bottom w:w="0" w:type="dxa"/>
          </w:tblCellMar>
        </w:tblPrEx>
        <w:tc>
          <w:tcPr>
            <w:tcW w:w="0" w:type="dxa"/>
          </w:tcPr>
          <w:p w14:paraId="762A916E" w14:textId="77777777" w:rsidR="00A379AE" w:rsidRDefault="00000000">
            <w:r>
              <w:t>Cross-source identity resolution (MPI)</w:t>
            </w:r>
          </w:p>
        </w:tc>
        <w:tc>
          <w:tcPr>
            <w:tcW w:w="0" w:type="dxa"/>
          </w:tcPr>
          <w:p w14:paraId="5A1A22B8" w14:textId="77777777" w:rsidR="00A379AE" w:rsidRDefault="00000000">
            <w:r>
              <w:t>Demonstrable today</w:t>
            </w:r>
          </w:p>
        </w:tc>
        <w:tc>
          <w:tcPr>
            <w:tcW w:w="0" w:type="dxa"/>
          </w:tcPr>
          <w:p w14:paraId="37B2CD21" w14:textId="77777777" w:rsidR="00A379AE" w:rsidRDefault="00000000">
            <w:r>
              <w:t>Demonstrable today</w:t>
            </w:r>
          </w:p>
        </w:tc>
        <w:tc>
          <w:tcPr>
            <w:tcW w:w="0" w:type="dxa"/>
          </w:tcPr>
          <w:p w14:paraId="61742E1F" w14:textId="77777777" w:rsidR="00A379AE" w:rsidRDefault="00000000">
            <w:r>
              <w:t xml:space="preserve">Matching engine (deterministic + probabilistic) built and unit-tested (21 automated tests) in IBM's reference environment; final integration mode (HCA's </w:t>
            </w:r>
            <w:r>
              <w:lastRenderedPageBreak/>
              <w:t>existing MPI vs. standalone) is a joint decision with HCA, not a code dependency (Section 5.6)</w:t>
            </w:r>
          </w:p>
        </w:tc>
      </w:tr>
      <w:tr w:rsidR="00A379AE" w14:paraId="2CAE9226" w14:textId="77777777">
        <w:tblPrEx>
          <w:tblCellMar>
            <w:top w:w="0" w:type="dxa"/>
            <w:bottom w:w="0" w:type="dxa"/>
          </w:tblCellMar>
        </w:tblPrEx>
        <w:tc>
          <w:tcPr>
            <w:tcW w:w="0" w:type="dxa"/>
          </w:tcPr>
          <w:p w14:paraId="29C3C675" w14:textId="77777777" w:rsidR="00A379AE" w:rsidRDefault="00000000">
            <w:r>
              <w:lastRenderedPageBreak/>
              <w:t>Provider Access opt-out consent model</w:t>
            </w:r>
          </w:p>
        </w:tc>
        <w:tc>
          <w:tcPr>
            <w:tcW w:w="0" w:type="dxa"/>
          </w:tcPr>
          <w:p w14:paraId="56A1464D" w14:textId="77777777" w:rsidR="00A379AE" w:rsidRDefault="00000000">
            <w:r>
              <w:t>Demonstrable today</w:t>
            </w:r>
          </w:p>
        </w:tc>
        <w:tc>
          <w:tcPr>
            <w:tcW w:w="0" w:type="dxa"/>
          </w:tcPr>
          <w:p w14:paraId="0412E2F9" w14:textId="77777777" w:rsidR="00A379AE" w:rsidRDefault="00000000">
            <w:r>
              <w:t>Demonstrable today</w:t>
            </w:r>
          </w:p>
        </w:tc>
        <w:tc>
          <w:tcPr>
            <w:tcW w:w="0" w:type="dxa"/>
          </w:tcPr>
          <w:p w14:paraId="639A2C9E" w14:textId="77777777" w:rsidR="00A379AE" w:rsidRDefault="00000000">
            <w:r>
              <w:t>Consent capture, enforcement, and revocation built and tested (8 automated tests) in IBM's reference environment</w:t>
            </w:r>
          </w:p>
        </w:tc>
      </w:tr>
      <w:tr w:rsidR="00A379AE" w14:paraId="5B4042DC" w14:textId="77777777">
        <w:tblPrEx>
          <w:tblCellMar>
            <w:top w:w="0" w:type="dxa"/>
            <w:bottom w:w="0" w:type="dxa"/>
          </w:tblCellMar>
        </w:tblPrEx>
        <w:tc>
          <w:tcPr>
            <w:tcW w:w="0" w:type="dxa"/>
          </w:tcPr>
          <w:p w14:paraId="40299319" w14:textId="77777777" w:rsidR="00A379AE" w:rsidRDefault="00000000">
            <w:r>
              <w:t>CMS-required report pack</w:t>
            </w:r>
          </w:p>
        </w:tc>
        <w:tc>
          <w:tcPr>
            <w:tcW w:w="0" w:type="dxa"/>
          </w:tcPr>
          <w:p w14:paraId="15FCF103" w14:textId="77777777" w:rsidR="00A379AE" w:rsidRDefault="00000000">
            <w:r>
              <w:t>In development</w:t>
            </w:r>
          </w:p>
        </w:tc>
        <w:tc>
          <w:tcPr>
            <w:tcW w:w="0" w:type="dxa"/>
          </w:tcPr>
          <w:p w14:paraId="23B6CC25" w14:textId="77777777" w:rsidR="00A379AE" w:rsidRDefault="00000000">
            <w:r>
              <w:t>In development</w:t>
            </w:r>
          </w:p>
        </w:tc>
        <w:tc>
          <w:tcPr>
            <w:tcW w:w="0" w:type="dxa"/>
          </w:tcPr>
          <w:p w14:paraId="36C268EE" w14:textId="77777777" w:rsidR="00A379AE" w:rsidRDefault="00000000">
            <w:r>
              <w:t>Data model supports; formats to be confirmed with HCA</w:t>
            </w:r>
          </w:p>
        </w:tc>
      </w:tr>
      <w:tr w:rsidR="00A379AE" w14:paraId="56EC3614" w14:textId="77777777">
        <w:tblPrEx>
          <w:tblCellMar>
            <w:top w:w="0" w:type="dxa"/>
            <w:bottom w:w="0" w:type="dxa"/>
          </w:tblCellMar>
        </w:tblPrEx>
        <w:tc>
          <w:tcPr>
            <w:tcW w:w="0" w:type="dxa"/>
          </w:tcPr>
          <w:p w14:paraId="4B51C7F0" w14:textId="77777777" w:rsidR="00A379AE" w:rsidRDefault="00000000">
            <w:r>
              <w:t>Provider Directory API (standalone)</w:t>
            </w:r>
          </w:p>
        </w:tc>
        <w:tc>
          <w:tcPr>
            <w:tcW w:w="0" w:type="dxa"/>
          </w:tcPr>
          <w:p w14:paraId="1B70301C" w14:textId="77777777" w:rsidR="00A379AE" w:rsidRDefault="00000000">
            <w:r>
              <w:t>Roadmap (Phase 2)</w:t>
            </w:r>
          </w:p>
        </w:tc>
        <w:tc>
          <w:tcPr>
            <w:tcW w:w="0" w:type="dxa"/>
          </w:tcPr>
          <w:p w14:paraId="39F2678E" w14:textId="77777777" w:rsidR="00A379AE" w:rsidRDefault="00000000">
            <w:r>
              <w:t>Roadmap (Phase 2)</w:t>
            </w:r>
          </w:p>
        </w:tc>
        <w:tc>
          <w:tcPr>
            <w:tcW w:w="0" w:type="dxa"/>
          </w:tcPr>
          <w:p w14:paraId="237B9412" w14:textId="77777777" w:rsidR="00A379AE" w:rsidRDefault="00000000">
            <w:r>
              <w:t>Built on the existing provider data model; sequenced with production rollout</w:t>
            </w:r>
          </w:p>
        </w:tc>
      </w:tr>
      <w:tr w:rsidR="00A379AE" w14:paraId="5FE1DEA5" w14:textId="77777777">
        <w:tblPrEx>
          <w:tblCellMar>
            <w:top w:w="0" w:type="dxa"/>
            <w:bottom w:w="0" w:type="dxa"/>
          </w:tblCellMar>
        </w:tblPrEx>
        <w:tc>
          <w:tcPr>
            <w:tcW w:w="0" w:type="dxa"/>
          </w:tcPr>
          <w:p w14:paraId="3EE3784E" w14:textId="77777777" w:rsidR="00A379AE" w:rsidRDefault="00000000">
            <w:r>
              <w:t>Live production endpoints (payer / EMR)</w:t>
            </w:r>
          </w:p>
        </w:tc>
        <w:tc>
          <w:tcPr>
            <w:tcW w:w="0" w:type="dxa"/>
          </w:tcPr>
          <w:p w14:paraId="378B1669" w14:textId="77777777" w:rsidR="00A379AE" w:rsidRDefault="00000000">
            <w:r>
              <w:t>Next phase</w:t>
            </w:r>
          </w:p>
        </w:tc>
        <w:tc>
          <w:tcPr>
            <w:tcW w:w="0" w:type="dxa"/>
          </w:tcPr>
          <w:p w14:paraId="6DE79E52" w14:textId="77777777" w:rsidR="00A379AE" w:rsidRDefault="00000000">
            <w:r>
              <w:t>Staging-validated</w:t>
            </w:r>
          </w:p>
        </w:tc>
        <w:tc>
          <w:tcPr>
            <w:tcW w:w="0" w:type="dxa"/>
          </w:tcPr>
          <w:p w14:paraId="69B1AA5F" w14:textId="77777777" w:rsidR="00A379AE" w:rsidRDefault="00000000">
            <w:r>
              <w:t>Configuration-based cutover (Section 5.2.2); staging integration against a representative trading partner targeted for October 2026, full production cutover in contract Phase 1</w:t>
            </w:r>
          </w:p>
        </w:tc>
      </w:tr>
      <w:tr w:rsidR="00A379AE" w14:paraId="1353B65C" w14:textId="77777777">
        <w:tblPrEx>
          <w:tblCellMar>
            <w:top w:w="0" w:type="dxa"/>
            <w:bottom w:w="0" w:type="dxa"/>
          </w:tblCellMar>
        </w:tblPrEx>
        <w:tc>
          <w:tcPr>
            <w:tcW w:w="0" w:type="dxa"/>
          </w:tcPr>
          <w:p w14:paraId="77273B80" w14:textId="77777777" w:rsidR="00A379AE" w:rsidRDefault="00000000">
            <w:r>
              <w:t>Standards-conformance testing (Inferno self-service: Da Vinci CRD/DTR/PAS, US Core, CARIN, SMART App Launch, X12 278/275)</w:t>
            </w:r>
          </w:p>
        </w:tc>
        <w:tc>
          <w:tcPr>
            <w:tcW w:w="0" w:type="dxa"/>
          </w:tcPr>
          <w:p w14:paraId="37229C5B" w14:textId="77777777" w:rsidR="00A379AE" w:rsidRDefault="00000000">
            <w:r>
              <w:t>Not yet run</w:t>
            </w:r>
          </w:p>
        </w:tc>
        <w:tc>
          <w:tcPr>
            <w:tcW w:w="0" w:type="dxa"/>
          </w:tcPr>
          <w:p w14:paraId="45D51677" w14:textId="77777777" w:rsidR="00A379AE" w:rsidRDefault="00000000">
            <w:r>
              <w:t>Complete and passing</w:t>
            </w:r>
          </w:p>
        </w:tc>
        <w:tc>
          <w:tcPr>
            <w:tcW w:w="0" w:type="dxa"/>
          </w:tcPr>
          <w:p w14:paraId="1ACBB10B" w14:textId="77777777" w:rsidR="00A379AE" w:rsidRDefault="00000000">
            <w:r>
              <w:t xml:space="preserve">Full conformance test plan scoped and resourced; the DTR </w:t>
            </w:r>
            <w:proofErr w:type="spellStart"/>
            <w:r>
              <w:t>CDex</w:t>
            </w:r>
            <w:proofErr w:type="spellEnd"/>
            <w:r>
              <w:t xml:space="preserve"> code dependency that would have blocked a clean run is now cleared. Testing execution targets completion by October 2026 (Section 5.6)</w:t>
            </w:r>
          </w:p>
        </w:tc>
      </w:tr>
      <w:tr w:rsidR="00A379AE" w14:paraId="03FB5732" w14:textId="77777777">
        <w:tblPrEx>
          <w:tblCellMar>
            <w:top w:w="0" w:type="dxa"/>
            <w:bottom w:w="0" w:type="dxa"/>
          </w:tblCellMar>
        </w:tblPrEx>
        <w:tc>
          <w:tcPr>
            <w:tcW w:w="0" w:type="dxa"/>
          </w:tcPr>
          <w:p w14:paraId="0D87A637" w14:textId="77777777" w:rsidR="00A379AE" w:rsidRDefault="00000000">
            <w:r>
              <w:t>Formal certification (ONC Health IT §170.315(g)(31)/(g)(32)/(g)(33); CAQH CORE Prior Authorization &amp; Referrals Operating Rules)</w:t>
            </w:r>
          </w:p>
        </w:tc>
        <w:tc>
          <w:tcPr>
            <w:tcW w:w="0" w:type="dxa"/>
          </w:tcPr>
          <w:p w14:paraId="280047B3" w14:textId="77777777" w:rsidR="00A379AE" w:rsidRDefault="00000000">
            <w:r>
              <w:t xml:space="preserve">Pre-engagement — readiness </w:t>
            </w:r>
            <w:proofErr w:type="gramStart"/>
            <w:r>
              <w:t>work</w:t>
            </w:r>
            <w:proofErr w:type="gramEnd"/>
            <w:r>
              <w:t xml:space="preserve"> complete</w:t>
            </w:r>
          </w:p>
        </w:tc>
        <w:tc>
          <w:tcPr>
            <w:tcW w:w="0" w:type="dxa"/>
          </w:tcPr>
          <w:p w14:paraId="2DCB6EF4" w14:textId="77777777" w:rsidR="00A379AE" w:rsidRDefault="00000000">
            <w:r>
              <w:t>Engaged and in process</w:t>
            </w:r>
          </w:p>
        </w:tc>
        <w:tc>
          <w:tcPr>
            <w:tcW w:w="0" w:type="dxa"/>
          </w:tcPr>
          <w:p w14:paraId="706C40B5" w14:textId="77777777" w:rsidR="00A379AE" w:rsidRDefault="00000000">
            <w:r>
              <w:t>Development work gating both certifications is complete; formal ONC-ACB and CAQH CORE testing-vendor engagement has not yet started and begins on conformance-test completion, targeting completion by December 2026 (Section 5.6)</w:t>
            </w:r>
          </w:p>
        </w:tc>
      </w:tr>
    </w:tbl>
    <w:p w14:paraId="5C4CBACE" w14:textId="77777777" w:rsidR="00A379AE" w:rsidRDefault="00000000">
      <w:pPr>
        <w:shd w:val="clear" w:color="auto" w:fill="FFF8E1"/>
        <w:spacing w:after="140"/>
      </w:pPr>
      <w:r>
        <w:rPr>
          <w:i/>
          <w:iCs/>
          <w:color w:val="8A6D00"/>
        </w:rPr>
        <w:t xml:space="preserve">The development and conformance plan is underway as of this revision — three of the highest-priority gaps identified in IBM's internal audit (identity resolution, Provider Access opt-out consent, DTR </w:t>
      </w:r>
      <w:proofErr w:type="spellStart"/>
      <w:r>
        <w:rPr>
          <w:i/>
          <w:iCs/>
          <w:color w:val="8A6D00"/>
        </w:rPr>
        <w:t>CDex</w:t>
      </w:r>
      <w:proofErr w:type="spellEnd"/>
      <w:r>
        <w:rPr>
          <w:i/>
          <w:iCs/>
          <w:color w:val="8A6D00"/>
        </w:rPr>
        <w:t xml:space="preserve"> attachments) are complete and verified by automated test. Remaining target dates assume no material delay to the plan in progress; IBM will notify HCA promptly if any target shifts.</w:t>
      </w:r>
    </w:p>
    <w:p w14:paraId="06A76009" w14:textId="77777777" w:rsidR="00A379AE" w:rsidRDefault="00000000">
      <w:pPr>
        <w:pStyle w:val="Heading2"/>
        <w:spacing w:before="260" w:after="120"/>
      </w:pPr>
      <w:r>
        <w:t>5.2.2 Solution Architecture &amp; Deployment</w:t>
      </w:r>
    </w:p>
    <w:p w14:paraId="5E1BDBA9" w14:textId="77777777" w:rsidR="00A379AE" w:rsidRDefault="00000000">
      <w:pPr>
        <w:spacing w:after="140"/>
        <w:jc w:val="both"/>
      </w:pPr>
      <w:r>
        <w:t xml:space="preserve">The solution is offered as SaaS and supports cloud, on-premises, and hybrid hosting to fit HCA's environment. It runs in two configurations: a reference/validation configuration that runs the full platform against a self-contained FHIR server within IBM's or HCA's cloud tenancy with no external dependency, and a live production configuration that connects the same application layer to a standards-conformant CMS-0057-F backbone for live eligibility (X12 270/271), Da Vinci CRD → DTR → PAS transactions, and X12 278/275 conversion. Moving between them is a configuration change, not an application rewrite: the platform is built to fail immediately and explicitly if it is pointed at a live payer or EMR endpoint that isn't yet configured, </w:t>
      </w:r>
      <w:r>
        <w:lastRenderedPageBreak/>
        <w:t>rather than silently falling through to reference data — so a misconfigured environment cannot masquerade as production-ready.</w:t>
      </w:r>
    </w:p>
    <w:p w14:paraId="6DC6CA8B" w14:textId="77777777" w:rsidR="00A379AE" w:rsidRDefault="00000000">
      <w:pPr>
        <w:spacing w:after="140"/>
        <w:jc w:val="both"/>
      </w:pPr>
      <w:r>
        <w:t xml:space="preserve">Scalability and </w:t>
      </w:r>
      <w:proofErr w:type="gramStart"/>
      <w:r>
        <w:t>future-proofing</w:t>
      </w:r>
      <w:proofErr w:type="gramEnd"/>
      <w:r>
        <w:t xml:space="preserve"> follow from a normalized policy and data model: because the platform ingests any payer or state medical policy into one structured model and reaches all data through a common FHIR layer, adding a line of business, a payer trading partner, or a new policy library is a configuration and content task rather than a re-engineering effort.</w:t>
      </w:r>
    </w:p>
    <w:p w14:paraId="7E5522C4" w14:textId="77777777" w:rsidR="00A379AE" w:rsidRDefault="00000000">
      <w:pPr>
        <w:spacing w:after="140"/>
        <w:jc w:val="both"/>
      </w:pPr>
      <w:r>
        <w:t xml:space="preserve">The data model is FHIR R4-native throughout, aligned to US Core and the Da Vinci PAS, CRD, DTR, </w:t>
      </w:r>
      <w:proofErr w:type="spellStart"/>
      <w:r>
        <w:t>CDex</w:t>
      </w:r>
      <w:proofErr w:type="spellEnd"/>
      <w:r>
        <w:t xml:space="preserve">, and </w:t>
      </w:r>
      <w:proofErr w:type="spellStart"/>
      <w:r>
        <w:t>HRex</w:t>
      </w:r>
      <w:proofErr w:type="spellEnd"/>
      <w:r>
        <w:t xml:space="preserve"> implementation guides referenced by CMS-0057-F. Core resources include Coverage, Condition, Claim/</w:t>
      </w:r>
      <w:proofErr w:type="spellStart"/>
      <w:r>
        <w:t>ClaimResponse</w:t>
      </w:r>
      <w:proofErr w:type="spellEnd"/>
      <w:r>
        <w:t xml:space="preserve">, </w:t>
      </w:r>
      <w:proofErr w:type="spellStart"/>
      <w:r>
        <w:t>QuestionnaireResponse</w:t>
      </w:r>
      <w:proofErr w:type="spellEnd"/>
      <w:r>
        <w:t>, Consent, and Provenance, with each ingested clinical fact tagged to its source system for auditability. All client access is mediated server-side through a single enforcement layer for authentication, authorization, consent, and audit logging (Section 5.4).</w:t>
      </w:r>
    </w:p>
    <w:p w14:paraId="2323A52D" w14:textId="77777777" w:rsidR="00A379AE" w:rsidRDefault="00000000">
      <w:pPr>
        <w:spacing w:after="140"/>
        <w:jc w:val="both"/>
      </w:pPr>
      <w:r>
        <w:t>IBM has committed a resourced, AI-accelerated pre-contract validation effort that begins staging-environment integration against a representative trading partner ahead of contract award, targeting completion by October 2026 — well ahead of the anticipated RFP evaluation window. This shortens the live-cutover work remaining in contract Phase 1 (Section 5.6) without changing the underlying architecture.</w:t>
      </w:r>
    </w:p>
    <w:p w14:paraId="29847F73" w14:textId="77777777" w:rsidR="00A379AE" w:rsidRDefault="00000000">
      <w:pPr>
        <w:spacing w:after="140"/>
        <w:jc w:val="both"/>
      </w:pPr>
      <w:r>
        <w:rPr>
          <w:b/>
          <w:bCs/>
        </w:rPr>
        <w:t xml:space="preserve">Service levels. </w:t>
      </w:r>
      <w:r>
        <w:t>IBM proposes its standard enterprise SaaS service-level framework — a monthly application-availability target of [99.9%], defined incident-severity levels with corresponding response and restoration targets, and service credits for missed commitments — finalized during contracting. [IBM to insert final SLA table.]</w:t>
      </w:r>
    </w:p>
    <w:p w14:paraId="5B1A18EC" w14:textId="77777777" w:rsidR="00A379AE" w:rsidRDefault="00000000">
      <w:pPr>
        <w:spacing w:after="140"/>
        <w:jc w:val="both"/>
      </w:pPr>
      <w:r>
        <w:t>Architecture, workflow, and data-flow diagrams (Figures 1–4) are provided as attachments and referenced throughout Sections 5.2–5.6.</w:t>
      </w:r>
    </w:p>
    <w:p w14:paraId="133AEDC7" w14:textId="77777777" w:rsidR="00A379AE" w:rsidRDefault="00000000">
      <w:pPr>
        <w:pStyle w:val="Heading2"/>
        <w:spacing w:before="260" w:after="120"/>
      </w:pPr>
      <w:r>
        <w:t>5.2.3 System Reliability &amp; Operations</w:t>
      </w:r>
    </w:p>
    <w:p w14:paraId="56C0AF2D" w14:textId="77777777" w:rsidR="00A379AE" w:rsidRDefault="00000000">
      <w:pPr>
        <w:spacing w:after="140"/>
        <w:jc w:val="both"/>
      </w:pPr>
      <w:r>
        <w:t xml:space="preserve">Reliability is designed around two principles: nothing is adjudicated without a durable, </w:t>
      </w:r>
      <w:proofErr w:type="spellStart"/>
      <w:r>
        <w:t>replayable</w:t>
      </w:r>
      <w:proofErr w:type="spellEnd"/>
      <w:r>
        <w:t xml:space="preserve"> record, and every automated step degrades gracefully to a human-reviewable state rather than failing silently. The reviewer work queue, for example, is reconstructed directly from persisted evidence records, so an interruption cannot lose case state.</w:t>
      </w:r>
    </w:p>
    <w:p w14:paraId="390D40EB" w14:textId="77777777" w:rsidR="00A379AE" w:rsidRDefault="00000000">
      <w:pPr>
        <w:spacing w:after="140"/>
        <w:jc w:val="both"/>
      </w:pPr>
      <w:r>
        <w:t>For production operation, the platform follows IBM's standard cloud operational practices: health-check-driven uptime monitoring of each service, structured error handling with automatic fallback to human review, and disaster recovery with multi-zone failover and defined recovery-time and recovery-point objectives. [IBM to insert standard enterprise RTO/RPO targets and named DR tooling.]</w:t>
      </w:r>
    </w:p>
    <w:p w14:paraId="4C803C9B" w14:textId="77777777" w:rsidR="00A379AE" w:rsidRDefault="00000000">
      <w:pPr>
        <w:pStyle w:val="Heading1"/>
        <w:spacing w:before="360" w:after="160"/>
      </w:pPr>
      <w:r>
        <w:t>5.3 Functional Capabilities</w:t>
      </w:r>
    </w:p>
    <w:p w14:paraId="6EA1D9DA" w14:textId="77777777" w:rsidR="00A379AE" w:rsidRDefault="00000000">
      <w:pPr>
        <w:spacing w:after="140"/>
        <w:jc w:val="both"/>
      </w:pPr>
      <w:r>
        <w:t>Both API development (5.3.1) and policy transformation (5.3.2) are addressed. Each CMS-0057-F provision is implemented as an independently demonstrable capability and unified by the Golden Thread, so a single member and order can be walked through every provision in one continuous session.</w:t>
      </w:r>
    </w:p>
    <w:p w14:paraId="522F6E57" w14:textId="77777777" w:rsidR="00A379AE" w:rsidRDefault="00000000">
      <w:pPr>
        <w:pStyle w:val="Heading2"/>
        <w:spacing w:before="260" w:after="120"/>
      </w:pPr>
      <w:r>
        <w:t>5.3.1 APIs and Directory Services</w:t>
      </w:r>
    </w:p>
    <w:p w14:paraId="00A8D9E6" w14:textId="77777777" w:rsidR="00A379AE" w:rsidRDefault="00000000">
      <w:pPr>
        <w:pStyle w:val="Heading3"/>
        <w:spacing w:before="200" w:after="100"/>
      </w:pPr>
      <w:r>
        <w:t>Patient Access API</w:t>
      </w:r>
    </w:p>
    <w:p w14:paraId="68BBFB4F" w14:textId="77777777" w:rsidR="00A379AE" w:rsidRDefault="00000000">
      <w:pPr>
        <w:spacing w:after="140"/>
        <w:jc w:val="both"/>
      </w:pPr>
      <w:r>
        <w:t>IBM demonstrates live FHIR reads of a member's coverage, USCDI v3 clinical data, and prior-authorization history. The platform surfaces the specific denial reason on a denied claim — a CMS-0057-F requirement beyond the earlier CMS-9115 baseline, where a payer could return a bare denial. USCDI v3 classes are exposed to the extent maintained; the Condition class is live today and the remaining classes are being onboarded through the same data-mapping pattern. A consent panel and a data-source indicator show members what is shared and where it originated.</w:t>
      </w:r>
    </w:p>
    <w:p w14:paraId="0EA4ECBB" w14:textId="77777777" w:rsidR="00A379AE" w:rsidRDefault="00000000">
      <w:pPr>
        <w:pStyle w:val="Heading3"/>
        <w:spacing w:before="200" w:after="100"/>
      </w:pPr>
      <w:r>
        <w:t>Provider Access API</w:t>
      </w:r>
    </w:p>
    <w:p w14:paraId="681A7781" w14:textId="77777777" w:rsidR="00A379AE" w:rsidRDefault="00000000">
      <w:pPr>
        <w:spacing w:after="140"/>
        <w:jc w:val="both"/>
      </w:pPr>
      <w:r>
        <w:t xml:space="preserve">IBM demonstrates member matching, using the standards-based $member-match operation, followed by a treatment-relationship authorization check — a distinct authorization basis from member-directed consent — before releasing claims, encounter, USCDI v3, and prior-authorization data to a provider. Opt-out consent recording for Provider Access is built and tested (Section 5.4, Section 5.6) — a </w:t>
      </w:r>
      <w:proofErr w:type="gramStart"/>
      <w:r>
        <w:t>member's</w:t>
      </w:r>
      <w:proofErr w:type="gramEnd"/>
      <w:r>
        <w:t xml:space="preserve"> opt-out is enforced at the same authorization check used for treatment-relationship access, and a revocation flow is included. Bulk delivery to a provider organization's attributed panel via SMART Backend Services, scoped to the CMS-0057-F five-year look-back, is architected and in active development, targeting end-to-end validation by October 2026 (Section 5.6).</w:t>
      </w:r>
    </w:p>
    <w:p w14:paraId="5A678B32" w14:textId="77777777" w:rsidR="00A379AE" w:rsidRDefault="00000000">
      <w:pPr>
        <w:pStyle w:val="Heading3"/>
        <w:spacing w:before="200" w:after="100"/>
      </w:pPr>
      <w:r>
        <w:lastRenderedPageBreak/>
        <w:t>Payer-to-Payer API</w:t>
      </w:r>
    </w:p>
    <w:p w14:paraId="5153D641" w14:textId="77777777" w:rsidR="00A379AE" w:rsidRDefault="00000000">
      <w:pPr>
        <w:spacing w:after="140"/>
        <w:jc w:val="both"/>
      </w:pPr>
      <w:r>
        <w:t xml:space="preserve">IBM demonstrates an opt-in consent gate that must be satisfied before any data moves, followed by an asynchronous bulk export against the prior payer using the Da Vinci bulk data-export pattern and NDJSON format, covering claims, encounter, USCDI v3, and prior-authorization data back to January 1, </w:t>
      </w:r>
      <w:proofErr w:type="gramStart"/>
      <w:r>
        <w:t>2016</w:t>
      </w:r>
      <w:proofErr w:type="gramEnd"/>
      <w:r>
        <w:t xml:space="preserve"> or the member's enrollment date. The platform implements this natively and can also interoperate with a payer's existing Payer-to-Payer accelerator (Section 5.7).</w:t>
      </w:r>
    </w:p>
    <w:p w14:paraId="184F5455" w14:textId="77777777" w:rsidR="00A379AE" w:rsidRDefault="00000000">
      <w:pPr>
        <w:pStyle w:val="Heading3"/>
        <w:spacing w:before="200" w:after="100"/>
      </w:pPr>
      <w:r>
        <w:t>Prior Authorization — CRD (Coverage Requirements Discovery)</w:t>
      </w:r>
    </w:p>
    <w:p w14:paraId="3662F6C1" w14:textId="77777777" w:rsidR="00A379AE" w:rsidRDefault="00000000">
      <w:pPr>
        <w:spacing w:after="140"/>
        <w:jc w:val="both"/>
      </w:pPr>
      <w:r>
        <w:t>IBM demonstrates CRD as a CDS Hooks integration fired as the order is composed and again when it is signed. On receipt, the platform runs four checks in parallel — eligibility and enrollment, ordering/rendering provider network status, a clinical-guideline check (e.g., Milliman/InterQual), and a PA-required determination from the policy model — and returns a pass/fail checklist. Creating CRD content — converting payer medical policy into the structured PA-required determinations this check evaluates — is described in Section 5.3.2. The live CDS-service integration is the near-term increment noted in the maturity table above.</w:t>
      </w:r>
    </w:p>
    <w:p w14:paraId="0DA11498" w14:textId="77777777" w:rsidR="00A379AE" w:rsidRDefault="00000000">
      <w:pPr>
        <w:pStyle w:val="Heading3"/>
        <w:spacing w:before="200" w:after="100"/>
      </w:pPr>
      <w:r>
        <w:t>Prior Authorization — DTR (Documentation Templates &amp; Rules)</w:t>
      </w:r>
    </w:p>
    <w:p w14:paraId="779FD3D2" w14:textId="77777777" w:rsidR="00A379AE" w:rsidRDefault="00000000">
      <w:pPr>
        <w:spacing w:after="140"/>
        <w:jc w:val="both"/>
      </w:pPr>
      <w:r>
        <w:t xml:space="preserve">When PA is required, IBM demonstrates retrieval of a procedure-specific Questionnaire Package and launch of a SMART app that merges EMR and payer clinical data. CQL rules match diagnosis (ICD-10-CM) and procedure (CPT/HCPCS) codes against the merged record and render a criteria tree marking each item Met — with evidence and source citation — or Gap. For any gap, the clinician can upload supporting documentation, which is held in a pending-confirmation state until it is clinically confirmed — the gap does not resolve automatically — and re-run the match. That upload is now constructed and returned as a Da Vinci </w:t>
      </w:r>
      <w:proofErr w:type="spellStart"/>
      <w:r>
        <w:t>CDex</w:t>
      </w:r>
      <w:proofErr w:type="spellEnd"/>
      <w:r>
        <w:t xml:space="preserve">-conformant </w:t>
      </w:r>
      <w:proofErr w:type="spellStart"/>
      <w:r>
        <w:t>DocumentReference</w:t>
      </w:r>
      <w:proofErr w:type="spellEnd"/>
      <w:r>
        <w:t xml:space="preserve"> resource, built and unit-tested this revision — clearing the sole outstanding code dependency for clean DTR conformance testing (Section 5.6).</w:t>
      </w:r>
    </w:p>
    <w:p w14:paraId="498E1FDE" w14:textId="77777777" w:rsidR="00A379AE" w:rsidRDefault="00000000">
      <w:pPr>
        <w:pStyle w:val="Heading3"/>
        <w:spacing w:before="200" w:after="100"/>
      </w:pPr>
      <w:r>
        <w:t>Prior Authorization — PAS (Prior Authorization Support)</w:t>
      </w:r>
    </w:p>
    <w:p w14:paraId="6C6955CC" w14:textId="77777777" w:rsidR="00A379AE" w:rsidRDefault="00000000">
      <w:pPr>
        <w:spacing w:after="140"/>
        <w:jc w:val="both"/>
      </w:pPr>
      <w:r>
        <w:t xml:space="preserve">IBM demonstrates submission-channel selection based on the receiving payer's published capability — a FHIR </w:t>
      </w:r>
      <w:proofErr w:type="spellStart"/>
      <w:r>
        <w:t>PASBundle</w:t>
      </w:r>
      <w:proofErr w:type="spellEnd"/>
      <w:r>
        <w:t xml:space="preserve"> submission for FHIR-capable payers, or X12 278/275 via an EDI translation layer for payers still on the legacy channel — with an immutable evidence snapshot created at submission and status updates received via FHIR Subscription. Submission is always human-gated, and that gate is enforced twice — once at the point of interaction and again at the underlying workflow level — so a submission cannot proceed, by any path, until a named human approver is recorded.</w:t>
      </w:r>
    </w:p>
    <w:p w14:paraId="200D5E42" w14:textId="77777777" w:rsidR="00A379AE" w:rsidRDefault="00000000">
      <w:pPr>
        <w:pStyle w:val="Heading3"/>
        <w:spacing w:before="200" w:after="100"/>
      </w:pPr>
      <w:r>
        <w:t>Provider Directory Services</w:t>
      </w:r>
    </w:p>
    <w:p w14:paraId="3BE5DA13" w14:textId="77777777" w:rsidR="00A379AE" w:rsidRDefault="00000000">
      <w:pPr>
        <w:spacing w:after="140"/>
        <w:jc w:val="both"/>
      </w:pPr>
      <w:r>
        <w:t>A standalone, CMS-0057-F-conformant Provider Directory API — a searchable, publicly accessible endpoint — is on IBM's near-term roadmap (Phase 2, Section 5.6). Provider data (NPI, specialty, and network participation) is already modeled and in use for network-adequacy analysis (Section 5.5), so the directory endpoint would be built on an existing data model rather than a new system. IBM proposes to scope and sequence it alongside the production rollout.</w:t>
      </w:r>
    </w:p>
    <w:p w14:paraId="7BEBEB68" w14:textId="77777777" w:rsidR="00A379AE" w:rsidRDefault="00000000">
      <w:pPr>
        <w:pStyle w:val="Heading2"/>
        <w:spacing w:before="260" w:after="120"/>
      </w:pPr>
      <w:r>
        <w:t>5.3.2 Policy Transformation</w:t>
      </w:r>
    </w:p>
    <w:p w14:paraId="24B2F330" w14:textId="77777777" w:rsidR="00A379AE" w:rsidRDefault="00000000">
      <w:pPr>
        <w:spacing w:after="140"/>
        <w:jc w:val="both"/>
      </w:pPr>
      <w:r>
        <w:t xml:space="preserve">IBM's approach to converting an unstructured policy environment into a digitally referential, structured one is an AI-assisted policy-transformation capability. It ingests medical policy in whatever form HCA or its managed care plans hold it — most often scanned PDFs or narrative documents — and converts that content into structured JSON and then into Da Vinci FHIR-conformant resources: Questionnaire resources for DTR, CQL logic for medical-necessity evaluation, and </w:t>
      </w:r>
      <w:proofErr w:type="spellStart"/>
      <w:r>
        <w:t>ValueSet</w:t>
      </w:r>
      <w:proofErr w:type="spellEnd"/>
      <w:r>
        <w:t xml:space="preserve"> resources for the code sets a policy references.</w:t>
      </w:r>
    </w:p>
    <w:p w14:paraId="00283C67" w14:textId="77777777" w:rsidR="00A379AE" w:rsidRDefault="00000000">
      <w:pPr>
        <w:spacing w:after="140"/>
        <w:jc w:val="both"/>
      </w:pPr>
      <w:r>
        <w:t xml:space="preserve">The transformation is a governed, repeatable methodology, not a one-off parse. AI performs the first-pass extraction; the structured output is then validated against the source policy and signed off by a clinical subject-matter expert before it is used — a gate that is enforced on </w:t>
      </w:r>
      <w:proofErr w:type="gramStart"/>
      <w:r>
        <w:t>every</w:t>
      </w:r>
      <w:proofErr w:type="gramEnd"/>
      <w:r>
        <w:t xml:space="preserve"> structured criteria set, not merely a stated intention. Once structured, a policy is applied consistently across coverage discovery (the CRD PA-required check), documentation matching (the DTR criteria tree), and gold-carding — a state agency or payer structures a policy once and reuses it everywhere. The capability is proven today against real-world payer policies, and IBM would apply the same method to HCA's and Apple Health managed care plans' specific policy libraries, validating the highest-risk conversions first (Section 5.6).</w:t>
      </w:r>
    </w:p>
    <w:p w14:paraId="22A1E53B" w14:textId="77777777" w:rsidR="00A379AE" w:rsidRDefault="00000000">
      <w:pPr>
        <w:spacing w:after="140"/>
        <w:jc w:val="both"/>
      </w:pPr>
      <w:r>
        <w:t>IBM has committed a development plan that extends this capability into a monitoring mode — watching a published policy library for changes and proposing the corresponding structured-resource updates for human approval — so the digital policy environment stays current without manual re-conversion. This is in active development, targeting completion by October 2026, ahead of the anticipated RFP evaluation window (Section 5.6). This remains administrative preparation; a human would approve every change, consistent with the sign-off gate already enforced on today's policy conversions.</w:t>
      </w:r>
    </w:p>
    <w:p w14:paraId="37E3C98C" w14:textId="77777777" w:rsidR="00A379AE" w:rsidRDefault="00000000">
      <w:pPr>
        <w:spacing w:after="140"/>
        <w:jc w:val="both"/>
      </w:pPr>
      <w:r>
        <w:lastRenderedPageBreak/>
        <w:t>Where the platform scores a member's order, it produces an administrative submission-readiness (completeness) score for the provider — an indication of whether the assembled evidence is likely sufficient — not a coverage decision. This is provider-side decision support and is never a payer determination.</w:t>
      </w:r>
    </w:p>
    <w:p w14:paraId="38B7E22B" w14:textId="77777777" w:rsidR="00A379AE" w:rsidRDefault="00000000">
      <w:pPr>
        <w:pStyle w:val="Heading1"/>
        <w:spacing w:before="360" w:after="160"/>
      </w:pPr>
      <w:r>
        <w:t>5.4 Security &amp; Privacy</w:t>
      </w:r>
    </w:p>
    <w:p w14:paraId="016C4B17" w14:textId="77777777" w:rsidR="00A379AE" w:rsidRDefault="00000000">
      <w:pPr>
        <w:spacing w:after="140"/>
        <w:jc w:val="both"/>
      </w:pPr>
      <w:r>
        <w:t xml:space="preserve">Security and privacy are built into the architecture. IBM will meet Washington State security requirements, including the </w:t>
      </w:r>
      <w:proofErr w:type="spellStart"/>
      <w:r>
        <w:t>WaTech</w:t>
      </w:r>
      <w:proofErr w:type="spellEnd"/>
      <w:r>
        <w:t xml:space="preserve"> OCIO security policies, and will complete HCA's required security review and data-sharing agreements during onboarding. [IBM to confirm completion of the </w:t>
      </w:r>
      <w:proofErr w:type="spellStart"/>
      <w:r>
        <w:t>WaTech</w:t>
      </w:r>
      <w:proofErr w:type="spellEnd"/>
      <w:r>
        <w:t xml:space="preserve"> OCIO security design review.]</w:t>
      </w:r>
    </w:p>
    <w:p w14:paraId="32895F10" w14:textId="77777777" w:rsidR="00A379AE" w:rsidRDefault="00000000">
      <w:pPr>
        <w:spacing w:after="140"/>
        <w:jc w:val="both"/>
      </w:pPr>
      <w:r>
        <w:t xml:space="preserve">Authentication and authorization use OAuth2 and SMART App Launch throughout; every component — the DTR SMART app, the CRD/CDS integration, EMR data pulls under US Core profiles, and payer API pulls — operates under its own scope-limited token. All client access is mediated server-side, giving IBM a single enforcement </w:t>
      </w:r>
      <w:proofErr w:type="gramStart"/>
      <w:r>
        <w:t>point</w:t>
      </w:r>
      <w:proofErr w:type="gramEnd"/>
      <w:r>
        <w:t xml:space="preserve"> for authentication, authorization, consent, and audit logging.</w:t>
      </w:r>
    </w:p>
    <w:p w14:paraId="5B10BB02" w14:textId="77777777" w:rsidR="00A379AE" w:rsidRDefault="00000000">
      <w:pPr>
        <w:spacing w:after="140"/>
        <w:jc w:val="both"/>
      </w:pPr>
      <w:r>
        <w:t>The platform exposes the standards-based $member-match operation through this server-mediated access layer and uses it consistently to identify a member before releasing data for Provider Access or Payer-to-Payer. A dedicated cross-source identity-resolution layer — reconciling the same individual across EMR, payer, and state-agency sources ahead of that match — is built and unit-tested (21 automated tests) in IBM's reference environment (Section 5.6); IBM will scope final integration against HCA's existing Master Patient/Client Index or as a standalone capability, per a decision made jointly with HCA.</w:t>
      </w:r>
    </w:p>
    <w:p w14:paraId="2BE32B09" w14:textId="77777777" w:rsidR="00A379AE" w:rsidRDefault="00000000">
      <w:pPr>
        <w:spacing w:after="140"/>
        <w:jc w:val="both"/>
      </w:pPr>
      <w:r>
        <w:t>Consent management is a dedicated capability, not a flag: the platform demonstrates opt-in consent for Payer-to-Payer (no export proceeds until consent is recorded) and is architected as a clean extension point for the opt-out consent model HCA requires for Provider Access. That opt-out model is built and tested, including consent capture, enforcement, and revocation (Section 5.6). IBM can either provide consent management or integrate with an existing consent solution HCA already operates.</w:t>
      </w:r>
    </w:p>
    <w:p w14:paraId="44F6B855" w14:textId="77777777" w:rsidR="00A379AE" w:rsidRDefault="00000000">
      <w:pPr>
        <w:spacing w:after="140"/>
        <w:jc w:val="both"/>
      </w:pPr>
      <w:r>
        <w:t>Audit logging is a first-class, append-only record: every determination, evidence step, eligibility check, and estimation is timestamped in an immutable trail, and every ingested clinical fact carries its source provenance. The trail is deliberately built to store references, codes, and determinations rather than raw clinical payloads, limiting PHI exposure within the audit layer itself.</w:t>
      </w:r>
    </w:p>
    <w:p w14:paraId="480A7A55" w14:textId="77777777" w:rsidR="00A379AE" w:rsidRDefault="00000000">
      <w:pPr>
        <w:spacing w:after="140"/>
        <w:jc w:val="both"/>
      </w:pPr>
      <w:r>
        <w:t>The platform is designed for HIPAA and 42 CFR Part 2-sensitive data. IBM will execute a HIPAA Business Associate Agreement and maps its controls to SOC 2 Type II, with HITRUST CSF certification available if HCA or a trading partner requires it. [IBM to insert current SOC 2 report date and BAA template reference.]</w:t>
      </w:r>
    </w:p>
    <w:p w14:paraId="5503E678" w14:textId="77777777" w:rsidR="00A379AE" w:rsidRDefault="00000000">
      <w:pPr>
        <w:spacing w:after="140"/>
        <w:jc w:val="both"/>
      </w:pPr>
      <w:r>
        <w:rPr>
          <w:b/>
          <w:bCs/>
        </w:rPr>
        <w:t xml:space="preserve">AI governance. </w:t>
      </w:r>
      <w:r>
        <w:t>IBM's AI governance is built directly around Washington's prior-authorization AI requirements. Under ESSB 5395, no AI component may deny a prior authorization; in this platform every AI-assisted step is administrative and grounded in specific policy criteria, a human approves every submission and every policy conversion, and coverage determinations remain with the payer. This gate is enforced in the application layer itself — a submission cannot be recorded without a named human approver, and a policy criteria set cannot be used until it carries a clinical sign-off — not solely as a procedural commitment.</w:t>
      </w:r>
    </w:p>
    <w:p w14:paraId="11AD7066" w14:textId="77777777" w:rsidR="00A379AE" w:rsidRDefault="00000000">
      <w:pPr>
        <w:pStyle w:val="Heading1"/>
        <w:spacing w:before="360" w:after="160"/>
      </w:pPr>
      <w:r>
        <w:t>5.5 Reporting &amp; Analytics</w:t>
      </w:r>
    </w:p>
    <w:p w14:paraId="45BDB49F" w14:textId="77777777" w:rsidR="00A379AE" w:rsidRDefault="00000000">
      <w:pPr>
        <w:spacing w:after="140"/>
        <w:jc w:val="both"/>
      </w:pPr>
      <w:r>
        <w:t xml:space="preserve">Reporting is built from the same durable, evidence-first data model used for adjudication, so every figure a dashboard shows </w:t>
      </w:r>
      <w:proofErr w:type="gramStart"/>
      <w:r>
        <w:t>is</w:t>
      </w:r>
      <w:proofErr w:type="gramEnd"/>
      <w:r>
        <w:t xml:space="preserve"> traceable to the record that produced it rather than to a separate reporting extract. The capabilities the RFI lists are supported as follows.</w:t>
      </w:r>
    </w:p>
    <w:p w14:paraId="19C7211D" w14:textId="77777777" w:rsidR="00A379AE" w:rsidRDefault="00000000">
      <w:pPr>
        <w:spacing w:after="140"/>
        <w:jc w:val="both"/>
      </w:pPr>
      <w:r>
        <w:rPr>
          <w:b/>
          <w:bCs/>
        </w:rPr>
        <w:t xml:space="preserve">Dashboards — demonstrable today. </w:t>
      </w:r>
      <w:r>
        <w:t>An operational reviewer dashboard (case disposition and SLA status) and a state-agency analytics surface for network adequacy are both demonstrable today; the network-adequacy analytics run fully deterministically against the platform's own data model with no external AI-service dependency, so every figure is independently reproducible by a state reviewer.</w:t>
      </w:r>
    </w:p>
    <w:p w14:paraId="074E17DA" w14:textId="77777777" w:rsidR="00A379AE" w:rsidRDefault="00000000">
      <w:pPr>
        <w:spacing w:after="140"/>
        <w:jc w:val="both"/>
      </w:pPr>
      <w:r>
        <w:rPr>
          <w:b/>
          <w:bCs/>
        </w:rPr>
        <w:t xml:space="preserve">Prior-authorization turnaround reporting — demonstrable today. </w:t>
      </w:r>
      <w:r>
        <w:t>Time-to-determination, percentage resolved within the 72-hour expedited and 7-day standard windows, and breach counts by payer, provider, or procedure derive directly from persisted records.</w:t>
      </w:r>
    </w:p>
    <w:p w14:paraId="59F5B027" w14:textId="77777777" w:rsidR="00A379AE" w:rsidRDefault="00000000">
      <w:pPr>
        <w:spacing w:after="140"/>
        <w:jc w:val="both"/>
      </w:pPr>
      <w:r>
        <w:rPr>
          <w:b/>
          <w:bCs/>
        </w:rPr>
        <w:t xml:space="preserve">Denial metrics — demonstrable today. </w:t>
      </w:r>
      <w:r>
        <w:t>Denial reasons are captured at source on denied claims and from the policy model's criteria-gated outcomes.</w:t>
      </w:r>
    </w:p>
    <w:p w14:paraId="4173BD95" w14:textId="77777777" w:rsidR="00A379AE" w:rsidRDefault="00000000">
      <w:pPr>
        <w:spacing w:after="140"/>
        <w:jc w:val="both"/>
      </w:pPr>
      <w:r>
        <w:rPr>
          <w:b/>
          <w:bCs/>
        </w:rPr>
        <w:lastRenderedPageBreak/>
        <w:t xml:space="preserve">API usage reporting — in development. </w:t>
      </w:r>
      <w:r>
        <w:t>Usage metrics are captured at the server-mediated access layer and packaged for reporting.</w:t>
      </w:r>
    </w:p>
    <w:p w14:paraId="103CC8CF" w14:textId="77777777" w:rsidR="00A379AE" w:rsidRDefault="00000000">
      <w:pPr>
        <w:spacing w:after="140"/>
        <w:jc w:val="both"/>
      </w:pPr>
      <w:r>
        <w:rPr>
          <w:b/>
          <w:bCs/>
        </w:rPr>
        <w:t xml:space="preserve">CMS-required reports — in development. </w:t>
      </w:r>
      <w:r>
        <w:t>IBM commits to produce the CMS-specified report formats for CMS-0057-F oversight; the underlying data (SLA timers, denial reasons, evidence records, adequacy verdicts) already exists to generate them, and IBM will confirm exact formats with HCA during implementation.</w:t>
      </w:r>
    </w:p>
    <w:p w14:paraId="06F07236" w14:textId="77777777" w:rsidR="00A379AE" w:rsidRDefault="00000000">
      <w:pPr>
        <w:spacing w:after="140"/>
        <w:jc w:val="both"/>
      </w:pPr>
      <w:r>
        <w:rPr>
          <w:b/>
          <w:bCs/>
        </w:rPr>
        <w:t xml:space="preserve">Alerting &amp; notification. </w:t>
      </w:r>
      <w:r>
        <w:t>In-app SLA breach flags are demonstrable today; email/SMS and webhook alerting (for example, an approaching-breach notice to a UM supervisor) is a near-term extension of the same SLA-timer logic and can be prioritized for HCA.</w:t>
      </w:r>
    </w:p>
    <w:p w14:paraId="515A4042" w14:textId="77777777" w:rsidR="00A379AE" w:rsidRDefault="00000000">
      <w:pPr>
        <w:pStyle w:val="Heading1"/>
        <w:spacing w:before="360" w:after="160"/>
      </w:pPr>
      <w:r>
        <w:t>5.6 Implementation, Testing &amp; Timeline</w:t>
      </w:r>
    </w:p>
    <w:p w14:paraId="0E5FF820" w14:textId="77777777" w:rsidR="00A379AE" w:rsidRDefault="00000000">
      <w:pPr>
        <w:spacing w:after="140"/>
        <w:jc w:val="both"/>
      </w:pPr>
      <w:r>
        <w:t>IBM front-loads requirements gathering into a dedicated discovery phase so the highest-risk unknowns — HCA's UM vendor landscape, existing consent and MPI systems, and current policy libraries — are resolved before build. IBM typically needs [2–4 weeks] of concentrated HCA SME time in discovery rather than time spread thinly across the engagement.</w:t>
      </w:r>
    </w:p>
    <w:p w14:paraId="12BE966E" w14:textId="77777777" w:rsidR="00A379AE" w:rsidRDefault="00000000">
      <w:pPr>
        <w:spacing w:after="140"/>
        <w:jc w:val="both"/>
      </w:pPr>
      <w:r>
        <w:t>Implementation is phased and additive: a stable foundation (FHIR server, identity/authentication, and data plumbing) is established first and not modified in place, and each new capability is delivered as an isolated, independently testable increment. IBM validates the highest-risk, most novel component — policy-to-FHIR conversion for HCA's specific policy libraries — early and in isolation before building downstream capability against it.</w:t>
      </w:r>
    </w:p>
    <w:p w14:paraId="349DB348" w14:textId="77777777" w:rsidR="00A379AE" w:rsidRDefault="00000000">
      <w:pPr>
        <w:pStyle w:val="Heading3"/>
        <w:spacing w:before="200" w:after="100"/>
      </w:pPr>
      <w:r>
        <w:t>Sample Implementation Timeline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7"/>
        <w:gridCol w:w="4701"/>
        <w:gridCol w:w="2202"/>
      </w:tblGrid>
      <w:tr w:rsidR="00A379AE" w14:paraId="70D895EA" w14:textId="77777777">
        <w:tblPrEx>
          <w:tblCellMar>
            <w:top w:w="0" w:type="dxa"/>
            <w:bottom w:w="0" w:type="dxa"/>
          </w:tblCellMar>
        </w:tblPrEx>
        <w:tc>
          <w:tcPr>
            <w:tcW w:w="0" w:type="dxa"/>
            <w:shd w:val="clear" w:color="auto" w:fill="E8EEF7"/>
          </w:tcPr>
          <w:p w14:paraId="20F3A946" w14:textId="77777777" w:rsidR="00A379AE" w:rsidRDefault="00000000">
            <w:r>
              <w:rPr>
                <w:b/>
                <w:bCs/>
              </w:rPr>
              <w:t>Phase</w:t>
            </w:r>
          </w:p>
        </w:tc>
        <w:tc>
          <w:tcPr>
            <w:tcW w:w="0" w:type="dxa"/>
            <w:shd w:val="clear" w:color="auto" w:fill="E8EEF7"/>
          </w:tcPr>
          <w:p w14:paraId="3EB1AD49" w14:textId="77777777" w:rsidR="00A379AE" w:rsidRDefault="00000000">
            <w:r>
              <w:rPr>
                <w:b/>
                <w:bCs/>
              </w:rPr>
              <w:t>Focus</w:t>
            </w:r>
          </w:p>
        </w:tc>
        <w:tc>
          <w:tcPr>
            <w:tcW w:w="0" w:type="dxa"/>
            <w:shd w:val="clear" w:color="auto" w:fill="E8EEF7"/>
          </w:tcPr>
          <w:p w14:paraId="41518E9B" w14:textId="77777777" w:rsidR="00A379AE" w:rsidRDefault="00000000">
            <w:r>
              <w:rPr>
                <w:b/>
                <w:bCs/>
              </w:rPr>
              <w:t>Indicative duration</w:t>
            </w:r>
          </w:p>
        </w:tc>
      </w:tr>
      <w:tr w:rsidR="00A379AE" w14:paraId="57C95C17" w14:textId="77777777">
        <w:tblPrEx>
          <w:tblCellMar>
            <w:top w:w="0" w:type="dxa"/>
            <w:bottom w:w="0" w:type="dxa"/>
          </w:tblCellMar>
        </w:tblPrEx>
        <w:tc>
          <w:tcPr>
            <w:tcW w:w="0" w:type="dxa"/>
          </w:tcPr>
          <w:p w14:paraId="3FFC2865" w14:textId="77777777" w:rsidR="00A379AE" w:rsidRDefault="00000000">
            <w:r>
              <w:t>Discovery</w:t>
            </w:r>
          </w:p>
        </w:tc>
        <w:tc>
          <w:tcPr>
            <w:tcW w:w="0" w:type="dxa"/>
          </w:tcPr>
          <w:p w14:paraId="47A6843B" w14:textId="77777777" w:rsidR="00A379AE" w:rsidRDefault="00000000">
            <w:r>
              <w:t>Requirements gathering, existing-system inventory (UM vendors, consent, MPI), policy-library assessment, risk validation</w:t>
            </w:r>
          </w:p>
        </w:tc>
        <w:tc>
          <w:tcPr>
            <w:tcW w:w="0" w:type="dxa"/>
          </w:tcPr>
          <w:p w14:paraId="5A2BA798" w14:textId="77777777" w:rsidR="00A379AE" w:rsidRDefault="00000000">
            <w:r>
              <w:t>~1 month</w:t>
            </w:r>
          </w:p>
        </w:tc>
      </w:tr>
      <w:tr w:rsidR="00A379AE" w14:paraId="451978E9" w14:textId="77777777">
        <w:tblPrEx>
          <w:tblCellMar>
            <w:top w:w="0" w:type="dxa"/>
            <w:bottom w:w="0" w:type="dxa"/>
          </w:tblCellMar>
        </w:tblPrEx>
        <w:tc>
          <w:tcPr>
            <w:tcW w:w="0" w:type="dxa"/>
          </w:tcPr>
          <w:p w14:paraId="62DED172" w14:textId="77777777" w:rsidR="00A379AE" w:rsidRDefault="00000000">
            <w:r>
              <w:t>Phase 1 — Foundation &amp; Prior Auth</w:t>
            </w:r>
          </w:p>
        </w:tc>
        <w:tc>
          <w:tcPr>
            <w:tcW w:w="0" w:type="dxa"/>
          </w:tcPr>
          <w:p w14:paraId="1915DC41" w14:textId="77777777" w:rsidR="00A379AE" w:rsidRDefault="00000000">
            <w:r>
              <w:t>FHIR foundation, identity/authentication, CRD / DTR / PAS against a first payer</w:t>
            </w:r>
          </w:p>
        </w:tc>
        <w:tc>
          <w:tcPr>
            <w:tcW w:w="0" w:type="dxa"/>
          </w:tcPr>
          <w:p w14:paraId="76AF7B48" w14:textId="77777777" w:rsidR="00A379AE" w:rsidRDefault="00000000">
            <w:r>
              <w:t>~3–4 months</w:t>
            </w:r>
          </w:p>
        </w:tc>
      </w:tr>
      <w:tr w:rsidR="00A379AE" w14:paraId="1EFBAACC" w14:textId="77777777">
        <w:tblPrEx>
          <w:tblCellMar>
            <w:top w:w="0" w:type="dxa"/>
            <w:bottom w:w="0" w:type="dxa"/>
          </w:tblCellMar>
        </w:tblPrEx>
        <w:tc>
          <w:tcPr>
            <w:tcW w:w="0" w:type="dxa"/>
          </w:tcPr>
          <w:p w14:paraId="7D4050F1" w14:textId="77777777" w:rsidR="00A379AE" w:rsidRDefault="00000000">
            <w:r>
              <w:t>Phase 2 — Interoperability</w:t>
            </w:r>
          </w:p>
        </w:tc>
        <w:tc>
          <w:tcPr>
            <w:tcW w:w="0" w:type="dxa"/>
          </w:tcPr>
          <w:p w14:paraId="276E26A3" w14:textId="77777777" w:rsidR="00A379AE" w:rsidRDefault="00000000">
            <w:r>
              <w:t>Patient Access, Provider Access (incl. opt-out consent, bulk export), Payer-to-Payer, Provider Directory, USCDI v3 expansion, cross-source identity resolution</w:t>
            </w:r>
          </w:p>
        </w:tc>
        <w:tc>
          <w:tcPr>
            <w:tcW w:w="0" w:type="dxa"/>
          </w:tcPr>
          <w:p w14:paraId="47CD0312" w14:textId="77777777" w:rsidR="00A379AE" w:rsidRDefault="00000000">
            <w:r>
              <w:t>~4–5 months</w:t>
            </w:r>
          </w:p>
        </w:tc>
      </w:tr>
      <w:tr w:rsidR="00A379AE" w14:paraId="6F54016B" w14:textId="77777777">
        <w:tblPrEx>
          <w:tblCellMar>
            <w:top w:w="0" w:type="dxa"/>
            <w:bottom w:w="0" w:type="dxa"/>
          </w:tblCellMar>
        </w:tblPrEx>
        <w:tc>
          <w:tcPr>
            <w:tcW w:w="0" w:type="dxa"/>
          </w:tcPr>
          <w:p w14:paraId="37D4251C" w14:textId="77777777" w:rsidR="00A379AE" w:rsidRDefault="00000000">
            <w:r>
              <w:t>Phase 3 — Scale, Reporting &amp; Conformance</w:t>
            </w:r>
          </w:p>
        </w:tc>
        <w:tc>
          <w:tcPr>
            <w:tcW w:w="0" w:type="dxa"/>
          </w:tcPr>
          <w:p w14:paraId="60A06435" w14:textId="77777777" w:rsidR="00A379AE" w:rsidRDefault="00000000">
            <w:r>
              <w:t>Additional payers / policy libraries, CMS report pack, alerting, hardening, and execution of the standards-conformance test suite (Inferno / Da Vinci / US Core / CARIN / SMART / X12) against the production backbone</w:t>
            </w:r>
          </w:p>
        </w:tc>
        <w:tc>
          <w:tcPr>
            <w:tcW w:w="0" w:type="dxa"/>
          </w:tcPr>
          <w:p w14:paraId="04313893" w14:textId="77777777" w:rsidR="00A379AE" w:rsidRDefault="00000000">
            <w:r>
              <w:t>~3–4 months</w:t>
            </w:r>
          </w:p>
        </w:tc>
      </w:tr>
    </w:tbl>
    <w:p w14:paraId="04C7518C" w14:textId="77777777" w:rsidR="00A379AE" w:rsidRDefault="00000000">
      <w:pPr>
        <w:spacing w:after="140"/>
        <w:jc w:val="both"/>
      </w:pPr>
      <w:r>
        <w:t>Indicative durations reflect a comparably scoped build and would be jointly re-baselined with HCA once FSIPAP scope, existing systems, and the trading-partner landscape are confirmed. This timeline governs the funded, post-award engagement; it is distinct from the pre-contract gap-closure and conformance work described below, which IBM is resourcing now, ahead of contract award, so that Phase 1 begins from a stronger starting position.</w:t>
      </w:r>
    </w:p>
    <w:p w14:paraId="6D901C15" w14:textId="77777777" w:rsidR="00A379AE" w:rsidRDefault="00000000">
      <w:pPr>
        <w:pStyle w:val="Heading3"/>
        <w:spacing w:before="200" w:after="100"/>
      </w:pPr>
      <w:r>
        <w:t>Testing Approach</w:t>
      </w:r>
    </w:p>
    <w:p w14:paraId="4C92429F" w14:textId="77777777" w:rsidR="00A379AE" w:rsidRDefault="00000000">
      <w:pPr>
        <w:spacing w:after="140"/>
        <w:jc w:val="both"/>
      </w:pPr>
      <w:r>
        <w:t xml:space="preserve">Testing spans three layers. Automated tests prove the deterministic behavior of the policy and criteria logic before any capability is shown live — the current build runs 185 automated tests, all passing, up from 145 at the time of the V4 audit, with zero regressions introduced while closing this revision's gaps. A fully scoped, resourced standards-conformance test plan — Inferno self-service testing against Da Vinci CRD, DTR, and PAS, US Core, CARIN, and SMART App Launch, plus X12 278/275 validation — begins within approximately one week of this submission and targets completion by October 2026, ahead of the anticipated RFP evaluation window. The DTR </w:t>
      </w:r>
      <w:proofErr w:type="spellStart"/>
      <w:r>
        <w:t>CDex</w:t>
      </w:r>
      <w:proofErr w:type="spellEnd"/>
      <w:r>
        <w:t xml:space="preserve"> code dependency that would have blocked a clean conformance run is now cleared, reducing schedule risk for that portion of the test plan. Structured user-acceptance testing with HCA reviewers and </w:t>
      </w:r>
      <w:proofErr w:type="gramStart"/>
      <w:r>
        <w:t>analysts</w:t>
      </w:r>
      <w:proofErr w:type="gramEnd"/>
      <w:r>
        <w:t xml:space="preserve"> follows in the same phase.</w:t>
      </w:r>
    </w:p>
    <w:p w14:paraId="2212A44E" w14:textId="77777777" w:rsidR="00A379AE" w:rsidRDefault="00000000">
      <w:pPr>
        <w:pStyle w:val="Heading3"/>
        <w:spacing w:before="200" w:after="100"/>
      </w:pPr>
      <w:r>
        <w:t>Certification Roadmap</w:t>
      </w:r>
    </w:p>
    <w:p w14:paraId="4036164F" w14:textId="77777777" w:rsidR="00A379AE" w:rsidRDefault="00000000">
      <w:pPr>
        <w:spacing w:after="140"/>
        <w:jc w:val="both"/>
      </w:pPr>
      <w:r>
        <w:t xml:space="preserve">Beyond self-service conformance testing, IBM has committed a plan to pursue two formal, independently issued certifications relevant to CMS-0057-F: ONC Health IT Certification under §170.315(g)(31)/(g)(32)/(g)(33) — the Provider Prior Authorization API criteria for CRD, DTR, and PAS finalized in ONC's HTI-4 Final Rule (effective October 1, 2025) — resulting in a public listing on the federal Certified Health IT Product List (CHPL); and CAQH CORE Certification for the Prior Authorization &amp; Referrals (278) Operating Rules, covering the X12 278/275 channel. The code-level readiness work gating this plan — most notably the DTR </w:t>
      </w:r>
      <w:proofErr w:type="spellStart"/>
      <w:r>
        <w:t>CDex</w:t>
      </w:r>
      <w:proofErr w:type="spellEnd"/>
      <w:r>
        <w:t xml:space="preserve"> conformance dependency — is now complete, so IBM is actively working </w:t>
      </w:r>
      <w:r>
        <w:lastRenderedPageBreak/>
        <w:t xml:space="preserve">toward both certifications on the schedule below rather than starting from an </w:t>
      </w:r>
      <w:proofErr w:type="spellStart"/>
      <w:r>
        <w:t>unresourced</w:t>
      </w:r>
      <w:proofErr w:type="spellEnd"/>
      <w:r>
        <w:t xml:space="preserve"> roadmap item. Formal engagement with the ONC-ACB and CAQH CORE testing vendors begins once conformance testing is complete and is targeted to be underway by the anticipated RFP evaluation window, with completion targeted for December 2026. IBM will share interim testing evidence and certification-body engagement confirmation with HCA as each milestone is reached.</w:t>
      </w:r>
    </w:p>
    <w:p w14:paraId="7602A399" w14:textId="77777777" w:rsidR="00A379AE" w:rsidRDefault="00000000">
      <w:pPr>
        <w:shd w:val="clear" w:color="auto" w:fill="FFF8E1"/>
        <w:spacing w:after="140"/>
      </w:pPr>
      <w:r>
        <w:rPr>
          <w:i/>
          <w:iCs/>
          <w:color w:val="8A6D00"/>
        </w:rPr>
        <w:t>No payer-side FHIR API certification currently exists in the ONC Health IT Certification Program — ASTP/ONC withdrew the proposed payer-API certification criteria (HTI-2) in December 2025 in favor of a deregulatory rulemaking (HTI-5). IBM is not claiming, and will not claim, a certification that is not available to pursue.</w:t>
      </w:r>
    </w:p>
    <w:p w14:paraId="5E4B08AF" w14:textId="77777777" w:rsidR="00A379AE" w:rsidRDefault="00000000">
      <w:pPr>
        <w:pStyle w:val="Heading3"/>
        <w:spacing w:before="200" w:after="100"/>
      </w:pPr>
      <w:r>
        <w:t>Sample Work Plan &amp; Data Migration</w:t>
      </w:r>
    </w:p>
    <w:p w14:paraId="7F99152F" w14:textId="77777777" w:rsidR="00A379AE" w:rsidRDefault="00000000">
      <w:pPr>
        <w:spacing w:after="140"/>
        <w:jc w:val="both"/>
      </w:pPr>
      <w:r>
        <w:t>Data migration falls into two categories: policy-content migration — converting HCA's and Apple Health plans' existing utilization-management and coverage policies into structured FHIR artifacts using the Section 5.3.2 capability — and, if applicable, consent-record migration from an existing consent system. Both are scoped in discovery. Architectural models, workflows, and end-to-end data-flow diagrams (Figures 1–4) are provided as attachments.</w:t>
      </w:r>
    </w:p>
    <w:p w14:paraId="2ECEB6B1" w14:textId="77777777" w:rsidR="00A379AE" w:rsidRDefault="00000000">
      <w:pPr>
        <w:pStyle w:val="Heading1"/>
        <w:spacing w:before="360" w:after="160"/>
      </w:pPr>
      <w:r>
        <w:t>5.7 Pricing &amp; Delivery Model</w:t>
      </w:r>
    </w:p>
    <w:p w14:paraId="4B437F7D" w14:textId="77777777" w:rsidR="00A379AE" w:rsidRDefault="00000000">
      <w:pPr>
        <w:spacing w:after="140"/>
        <w:jc w:val="both"/>
      </w:pPr>
      <w:r>
        <w:t>IBM proposes a Design, Development, and Implementation (DDI) plus ongoing Operations &amp; Maintenance (O&amp;M) pricing model, consistent with state-agency procurement structure, priced by phase and by the scope HCA elects — the number of policy libraries, payer connections, and lines of business brought in. The ranges below convey structure and order of magnitude; IBM will provide a firm, priced proposal against the final scope and its contracted rate card (Section 5.8).</w:t>
      </w:r>
    </w:p>
    <w:p w14:paraId="777EBA6B" w14:textId="77777777" w:rsidR="00A379AE" w:rsidRDefault="00000000">
      <w:pPr>
        <w:spacing w:after="140"/>
        <w:jc w:val="both"/>
      </w:pPr>
      <w:r>
        <w:rPr>
          <w:b/>
          <w:bCs/>
        </w:rPr>
        <w:t xml:space="preserve">DDI. </w:t>
      </w:r>
      <w:r>
        <w:t>Priced by phase. An initial prior-authorization build (CRD / DTR / PAS) against a single representative payer environment is a low-to-mid six-figure engagement; a full multi-provision platform — all four CMS-0057-F provisions, policy transformation, reporting, and production cutover — is a multi-phase engagement in the low seven figures. IBM can deliver either as a fully custom build or under an asset-leverage model that reuses IBM's existing platform investment to reduce a first client's incremental cost and time-to-</w:t>
      </w:r>
      <w:proofErr w:type="gramStart"/>
      <w:r>
        <w:t>first-functionality</w:t>
      </w:r>
      <w:proofErr w:type="gramEnd"/>
      <w:r>
        <w:t>; IBM will discuss which better fits FSIPAP's budget and schedule.</w:t>
      </w:r>
    </w:p>
    <w:p w14:paraId="53C29D2C" w14:textId="77777777" w:rsidR="00A379AE" w:rsidRDefault="00000000">
      <w:pPr>
        <w:spacing w:after="140"/>
        <w:jc w:val="both"/>
      </w:pPr>
      <w:r>
        <w:rPr>
          <w:b/>
          <w:bCs/>
        </w:rPr>
        <w:t xml:space="preserve">O&amp;M. </w:t>
      </w:r>
      <w:r>
        <w:t>Priced as an annual run-rate covering cloud hosting, application and FHIR support, monitoring, compliance maintenance (e.g., SOC 2 renewal), and periodic clinical-policy revision review. Third-party clinical-guideline licensing (Milliman Care Guidelines and/or InterQual) is passed through at cost and depends on which source HCA's plans already use.</w:t>
      </w:r>
    </w:p>
    <w:p w14:paraId="6C147607" w14:textId="77777777" w:rsidR="00A379AE" w:rsidRDefault="00000000">
      <w:pPr>
        <w:spacing w:after="140"/>
        <w:jc w:val="both"/>
      </w:pPr>
      <w:r>
        <w:rPr>
          <w:b/>
          <w:bCs/>
        </w:rPr>
        <w:t>Primary cost drivers.</w:t>
      </w:r>
    </w:p>
    <w:p w14:paraId="6800CA99" w14:textId="77777777" w:rsidR="00A379AE" w:rsidRDefault="00000000">
      <w:pPr>
        <w:pStyle w:val="ListParagraph"/>
        <w:numPr>
          <w:ilvl w:val="0"/>
          <w:numId w:val="1"/>
        </w:numPr>
        <w:spacing w:after="80"/>
      </w:pPr>
      <w:r>
        <w:t>Number of connected payer / EMR trading partners and transaction volume (the main driver of hosting and support cost).</w:t>
      </w:r>
    </w:p>
    <w:p w14:paraId="01694A8B" w14:textId="77777777" w:rsidR="00A379AE" w:rsidRDefault="00000000">
      <w:pPr>
        <w:pStyle w:val="ListParagraph"/>
        <w:numPr>
          <w:ilvl w:val="0"/>
          <w:numId w:val="1"/>
        </w:numPr>
        <w:spacing w:after="80"/>
      </w:pPr>
      <w:r>
        <w:t>Number and complexity of policy libraries to be structured.</w:t>
      </w:r>
    </w:p>
    <w:p w14:paraId="3F5D6CBF" w14:textId="77777777" w:rsidR="00A379AE" w:rsidRDefault="00000000">
      <w:pPr>
        <w:pStyle w:val="ListParagraph"/>
        <w:numPr>
          <w:ilvl w:val="0"/>
          <w:numId w:val="1"/>
        </w:numPr>
        <w:spacing w:after="80"/>
      </w:pPr>
      <w:r>
        <w:t>Choice of fully custom vs. asset-leverage delivery.</w:t>
      </w:r>
    </w:p>
    <w:p w14:paraId="7E21A257" w14:textId="77777777" w:rsidR="00A379AE" w:rsidRDefault="00000000">
      <w:pPr>
        <w:pStyle w:val="ListParagraph"/>
        <w:numPr>
          <w:ilvl w:val="0"/>
          <w:numId w:val="1"/>
        </w:numPr>
        <w:spacing w:after="80"/>
      </w:pPr>
      <w:r>
        <w:t>Third-party clinical-guideline licensing (pass-through).</w:t>
      </w:r>
    </w:p>
    <w:p w14:paraId="6B5DEFCB" w14:textId="77777777" w:rsidR="00A379AE" w:rsidRDefault="00000000">
      <w:pPr>
        <w:pStyle w:val="ListParagraph"/>
        <w:numPr>
          <w:ilvl w:val="0"/>
          <w:numId w:val="1"/>
        </w:numPr>
        <w:spacing w:after="80"/>
      </w:pPr>
      <w:r>
        <w:t>Optional HITRUST certification beyond the SOC 2 Type II baseline.</w:t>
      </w:r>
    </w:p>
    <w:p w14:paraId="0DC53942" w14:textId="77777777" w:rsidR="00A379AE" w:rsidRDefault="00000000">
      <w:pPr>
        <w:spacing w:after="140"/>
        <w:jc w:val="both"/>
      </w:pPr>
      <w:r>
        <w:rPr>
          <w:b/>
          <w:bCs/>
        </w:rPr>
        <w:t xml:space="preserve">Integration &amp; partnership. </w:t>
      </w:r>
      <w:r>
        <w:t>IBM's model integrates with, rather than displaces, specialist vendors already in HCA's environment — existing consent management, MPI, clinical-guideline licenses, HIE feeds, and Payer-to-Payer accelerators. IBM welcomes confirmation of which existing relationships it should plan to integrate with as part of the engagement.</w:t>
      </w:r>
    </w:p>
    <w:p w14:paraId="62324BDA" w14:textId="77777777" w:rsidR="00A379AE" w:rsidRDefault="00000000">
      <w:pPr>
        <w:pStyle w:val="Heading1"/>
        <w:spacing w:before="360" w:after="160"/>
      </w:pPr>
      <w:r>
        <w:t>5.8 Experience &amp; References</w:t>
      </w:r>
    </w:p>
    <w:p w14:paraId="3E94D0D9" w14:textId="77777777" w:rsidR="00A379AE" w:rsidRDefault="00000000">
      <w:pPr>
        <w:spacing w:after="140"/>
        <w:jc w:val="both"/>
      </w:pPr>
      <w:r>
        <w:rPr>
          <w:b/>
          <w:bCs/>
        </w:rPr>
        <w:t xml:space="preserve">Direct CMS-0057-F experience for state Medicaid managed care. </w:t>
      </w:r>
      <w:r>
        <w:t xml:space="preserve">IBM completed a full CMS-0057 readiness assessment for a state Medicaid managed care health plan serving more than 300,000 members, covering plan structure, prior-authorization volumes and turnaround times, utilization-management vendor relationships, and a maturity assessment across all four CMS-0057-F provisions. That assessment found the plan at a "Managed" maturity level for Patient Access but only "Initial" for Provider Access, Payer-to-Payer, and Prior Authorization — a pattern typical of plans approaching the January 1, </w:t>
      </w:r>
      <w:proofErr w:type="gramStart"/>
      <w:r>
        <w:t>2027</w:t>
      </w:r>
      <w:proofErr w:type="gramEnd"/>
      <w:r>
        <w:t xml:space="preserve"> deadline, and one that directly shaped the phased approach in Section 5.6. [IBM to confirm whether this client may be named or should remain anonymized.]</w:t>
      </w:r>
    </w:p>
    <w:p w14:paraId="6E1CE8D3" w14:textId="77777777" w:rsidR="00A379AE" w:rsidRDefault="00000000">
      <w:pPr>
        <w:spacing w:after="140"/>
        <w:jc w:val="both"/>
      </w:pPr>
      <w:r>
        <w:t>IBM has extensive experience working with HIPAA-protected and 42 CFR Part 2-sensitive data; the platform's consent, provenance, and audit architecture (Section 5.4) was designed for exactly this data.</w:t>
      </w:r>
    </w:p>
    <w:p w14:paraId="661CD83E" w14:textId="77777777" w:rsidR="00A379AE" w:rsidRDefault="00000000">
      <w:pPr>
        <w:spacing w:after="140"/>
        <w:jc w:val="both"/>
      </w:pPr>
      <w:r>
        <w:lastRenderedPageBreak/>
        <w:t>IBM's work directly targets the CMS Interoperability and Prior Authorization Final Rule (CMS-0057-F) and builds on the CMS-9115 Patient Access baseline. [IBM to insert prior CMS-9115 / interoperability engagement references.]</w:t>
      </w:r>
    </w:p>
    <w:p w14:paraId="7BA0AA72" w14:textId="77777777" w:rsidR="00A379AE" w:rsidRDefault="00000000">
      <w:pPr>
        <w:spacing w:after="140"/>
        <w:jc w:val="both"/>
      </w:pPr>
      <w:r>
        <w:t xml:space="preserve">IBM has implemented working, demonstrable versions of Patient Access, Provider Access, Prior Authorization (CRD / DTR / PAS), and Payer-to-Payer against the Da Vinci implementation </w:t>
      </w:r>
      <w:proofErr w:type="gramStart"/>
      <w:r>
        <w:t>guides, and</w:t>
      </w:r>
      <w:proofErr w:type="gramEnd"/>
      <w:r>
        <w:t xml:space="preserve"> has implemented the policy-transformation capability described in Section 5.3.2. IBM has also translated state-specific network-adequacy standards — Medicare Advantage §422.116, Medicaid §438.68 and the 2024 Access rule, and Qualified Health Plan §156.230 — into an operational, auditable compliance tool.</w:t>
      </w:r>
    </w:p>
    <w:p w14:paraId="5DB7D524" w14:textId="77777777" w:rsidR="00A379AE" w:rsidRDefault="00000000">
      <w:pPr>
        <w:pStyle w:val="Heading3"/>
        <w:spacing w:before="200" w:after="100"/>
      </w:pPr>
      <w:r>
        <w:t>Relevant References &amp; Case Studies</w:t>
      </w:r>
    </w:p>
    <w:p w14:paraId="7078BE56" w14:textId="77777777" w:rsidR="00A379AE" w:rsidRDefault="00000000">
      <w:pPr>
        <w:spacing w:after="140"/>
        <w:jc w:val="both"/>
      </w:pPr>
      <w:r>
        <w:t xml:space="preserve">[IBM to insert named, verified client references and case studies IBM is authorized to share, with contact information </w:t>
      </w:r>
      <w:proofErr w:type="gramStart"/>
      <w:r>
        <w:t>where</w:t>
      </w:r>
      <w:proofErr w:type="gramEnd"/>
      <w:r>
        <w:t xml:space="preserve"> permitted by the reference client.]</w:t>
      </w:r>
    </w:p>
    <w:p w14:paraId="632AD789" w14:textId="77777777" w:rsidR="00A379AE" w:rsidRDefault="00000000">
      <w:pPr>
        <w:pStyle w:val="Heading3"/>
        <w:spacing w:before="200" w:after="100"/>
      </w:pPr>
      <w:r>
        <w:t>Contracting Vehicles</w:t>
      </w:r>
    </w:p>
    <w:p w14:paraId="7D9B8AFE" w14:textId="77777777" w:rsidR="00A379AE" w:rsidRDefault="00000000">
      <w:pPr>
        <w:spacing w:after="140"/>
        <w:jc w:val="both"/>
      </w:pPr>
      <w:r>
        <w:t xml:space="preserve">[IBM to insert applicable contracting vehicles and numbers that ease contracting with HCA — e.g., DES statewide contract, NASPO </w:t>
      </w:r>
      <w:proofErr w:type="spellStart"/>
      <w:r>
        <w:t>ValuePoint</w:t>
      </w:r>
      <w:proofErr w:type="spellEnd"/>
      <w:r>
        <w:t>, GSA Schedule.]</w:t>
      </w:r>
    </w:p>
    <w:p w14:paraId="53302583" w14:textId="77777777" w:rsidR="00A379AE" w:rsidRDefault="00000000">
      <w:pPr>
        <w:pStyle w:val="Heading3"/>
        <w:spacing w:before="200" w:after="100"/>
      </w:pPr>
      <w:r>
        <w:t>State Medicaid / Government References</w:t>
      </w:r>
    </w:p>
    <w:p w14:paraId="791BFA5D" w14:textId="77777777" w:rsidR="00A379AE" w:rsidRDefault="00000000">
      <w:pPr>
        <w:spacing w:after="140"/>
        <w:jc w:val="both"/>
      </w:pPr>
      <w:r>
        <w:t>[IBM to insert any additional state Medicaid or state-government references IBM is authorized to cite, beyond the engagement described above.]</w:t>
      </w:r>
    </w:p>
    <w:p w14:paraId="4160B194" w14:textId="77777777" w:rsidR="00A379AE" w:rsidRDefault="00000000">
      <w:r>
        <w:br w:type="page"/>
      </w:r>
    </w:p>
    <w:p w14:paraId="358954E8" w14:textId="77777777" w:rsidR="00A379AE" w:rsidRDefault="00000000">
      <w:pPr>
        <w:pStyle w:val="Heading1"/>
        <w:spacing w:before="360" w:after="160"/>
      </w:pPr>
      <w:r>
        <w:lastRenderedPageBreak/>
        <w:t>Appendix: V4 Revision Notes (internal — remove before submission)</w:t>
      </w:r>
    </w:p>
    <w:p w14:paraId="708B0F76" w14:textId="77777777" w:rsidR="00A379AE" w:rsidRDefault="00000000">
      <w:pPr>
        <w:shd w:val="clear" w:color="auto" w:fill="FFF8E1"/>
        <w:spacing w:after="140"/>
      </w:pPr>
      <w:r>
        <w:rPr>
          <w:i/>
          <w:iCs/>
          <w:color w:val="8A6D00"/>
        </w:rPr>
        <w:t>This appendix summarizes what changed from V3 following an adversarial audit of the current codebase against every claim in the response. It is for internal review only and must be deleted before the document is submitted to HCA.</w:t>
      </w:r>
    </w:p>
    <w:p w14:paraId="21DD1123" w14:textId="77777777" w:rsidR="00A379AE" w:rsidRDefault="00000000">
      <w:pPr>
        <w:pStyle w:val="Heading3"/>
        <w:spacing w:before="200" w:after="100"/>
      </w:pPr>
      <w:r>
        <w:t>Corrected (was overstated relative to code evidence)</w:t>
      </w:r>
    </w:p>
    <w:p w14:paraId="38E73B84" w14:textId="77777777" w:rsidR="00A379AE" w:rsidRDefault="00000000">
      <w:pPr>
        <w:pStyle w:val="ListParagraph"/>
        <w:numPr>
          <w:ilvl w:val="0"/>
          <w:numId w:val="1"/>
        </w:numPr>
        <w:spacing w:after="80"/>
      </w:pPr>
      <w:r>
        <w:t>Testing Approach (5.6): conformance testing reframed from a current testing layer to a fully scoped plan executed during production cutover — no conformance run has occurred yet.</w:t>
      </w:r>
    </w:p>
    <w:p w14:paraId="19E2FB97" w14:textId="77777777" w:rsidR="00A379AE" w:rsidRDefault="00000000">
      <w:pPr>
        <w:pStyle w:val="ListParagraph"/>
        <w:numPr>
          <w:ilvl w:val="0"/>
          <w:numId w:val="1"/>
        </w:numPr>
        <w:spacing w:after="80"/>
      </w:pPr>
      <w:r>
        <w:t>MPI / identity resolution (5.4): softened from "provides MPI-based identity matching" to "exposes the standards-based $member-match operation today; a dedicated resolution layer is a planned extension." Added as a new Roadmap row in the 5.2.1 table.</w:t>
      </w:r>
    </w:p>
    <w:p w14:paraId="33DA9205" w14:textId="77777777" w:rsidR="00A379AE" w:rsidRDefault="00000000">
      <w:pPr>
        <w:pStyle w:val="ListParagraph"/>
        <w:numPr>
          <w:ilvl w:val="0"/>
          <w:numId w:val="1"/>
        </w:numPr>
        <w:spacing w:after="80"/>
      </w:pPr>
      <w:r>
        <w:t>Provider Access opt-out consent (5.4): softened from "provides the opt-out model" to "architected as a clean extension point... not yet implemented." Added as a new Roadmap (Phase 2) row in the 5.2.1 table.</w:t>
      </w:r>
    </w:p>
    <w:p w14:paraId="63208C33" w14:textId="77777777" w:rsidR="00A379AE" w:rsidRDefault="00000000">
      <w:pPr>
        <w:pStyle w:val="ListParagraph"/>
        <w:numPr>
          <w:ilvl w:val="0"/>
          <w:numId w:val="1"/>
        </w:numPr>
        <w:spacing w:after="80"/>
      </w:pPr>
      <w:r>
        <w:t xml:space="preserve">DTR </w:t>
      </w:r>
      <w:proofErr w:type="spellStart"/>
      <w:r>
        <w:t>CDex</w:t>
      </w:r>
      <w:proofErr w:type="spellEnd"/>
      <w:r>
        <w:t xml:space="preserve"> attachment (5.3.1): softened from "via the </w:t>
      </w:r>
      <w:proofErr w:type="spellStart"/>
      <w:r>
        <w:t>CDex</w:t>
      </w:r>
      <w:proofErr w:type="spellEnd"/>
      <w:r>
        <w:t xml:space="preserve"> attachment pattern" to a description of the actual upload-and-confirm interaction; </w:t>
      </w:r>
      <w:proofErr w:type="spellStart"/>
      <w:r>
        <w:t>CDex</w:t>
      </w:r>
      <w:proofErr w:type="spellEnd"/>
      <w:r>
        <w:t>-conformant wrapping noted as a near-term increment.</w:t>
      </w:r>
    </w:p>
    <w:p w14:paraId="72AF7E2E" w14:textId="77777777" w:rsidR="00A379AE" w:rsidRDefault="00000000">
      <w:pPr>
        <w:pStyle w:val="ListParagraph"/>
        <w:numPr>
          <w:ilvl w:val="0"/>
          <w:numId w:val="1"/>
        </w:numPr>
        <w:spacing w:after="80"/>
      </w:pPr>
      <w:r>
        <w:t>Policy monitoring mode (5.3.2, 5.2.1): reframed from an implied-current capability to an explicit roadmap item.</w:t>
      </w:r>
    </w:p>
    <w:p w14:paraId="51889C00" w14:textId="77777777" w:rsidR="00A379AE" w:rsidRDefault="00000000">
      <w:pPr>
        <w:pStyle w:val="ListParagraph"/>
        <w:numPr>
          <w:ilvl w:val="0"/>
          <w:numId w:val="1"/>
        </w:numPr>
        <w:spacing w:after="80"/>
      </w:pPr>
      <w:r>
        <w:t>Provider Access bulk export (5.2.1, 5.3.1): downgraded from "Demonstrable today" to "In development" — architected but not yet exercised end-to-end outside the reference environment.</w:t>
      </w:r>
    </w:p>
    <w:p w14:paraId="00D59E6B" w14:textId="77777777" w:rsidR="00A379AE" w:rsidRDefault="00000000">
      <w:pPr>
        <w:pStyle w:val="Heading3"/>
        <w:spacing w:before="200" w:after="100"/>
      </w:pPr>
      <w:r>
        <w:t>Upgraded (code does more than V3 said)</w:t>
      </w:r>
    </w:p>
    <w:p w14:paraId="1E2B305C" w14:textId="77777777" w:rsidR="00A379AE" w:rsidRDefault="00000000">
      <w:pPr>
        <w:pStyle w:val="ListParagraph"/>
        <w:numPr>
          <w:ilvl w:val="0"/>
          <w:numId w:val="1"/>
        </w:numPr>
        <w:spacing w:after="80"/>
      </w:pPr>
      <w:r>
        <w:t>PAS submission human-gating (5.3.1, 5.4): now cites dual-layer enforcement (interaction + workflow state machine), not just a recorded approver.</w:t>
      </w:r>
    </w:p>
    <w:p w14:paraId="79EB09D1" w14:textId="77777777" w:rsidR="00A379AE" w:rsidRDefault="00000000">
      <w:pPr>
        <w:pStyle w:val="ListParagraph"/>
        <w:numPr>
          <w:ilvl w:val="0"/>
          <w:numId w:val="1"/>
        </w:numPr>
        <w:spacing w:after="80"/>
      </w:pPr>
      <w:r>
        <w:t>Audit logging (5.4): added the PHI-minimization detail — the trail stores references, codes, and determinations, never raw clinical payloads.</w:t>
      </w:r>
    </w:p>
    <w:p w14:paraId="48E49ECF" w14:textId="77777777" w:rsidR="00A379AE" w:rsidRDefault="00000000">
      <w:pPr>
        <w:pStyle w:val="ListParagraph"/>
        <w:numPr>
          <w:ilvl w:val="0"/>
          <w:numId w:val="1"/>
        </w:numPr>
        <w:spacing w:after="80"/>
      </w:pPr>
      <w:r>
        <w:t>DTR gap evidence (5.3.1): added that an upload is held pending clinical confirmation rather than auto-resolving a gap — a concrete instance of the human-gating principle.</w:t>
      </w:r>
    </w:p>
    <w:p w14:paraId="05AD4172" w14:textId="77777777" w:rsidR="00A379AE" w:rsidRDefault="00000000">
      <w:pPr>
        <w:pStyle w:val="ListParagraph"/>
        <w:numPr>
          <w:ilvl w:val="0"/>
          <w:numId w:val="1"/>
        </w:numPr>
        <w:spacing w:after="80"/>
      </w:pPr>
      <w:r>
        <w:t>Deployment cutover (5.2.2): added that the platform fails loud, not silent, against an unconfigured live endpoint.</w:t>
      </w:r>
    </w:p>
    <w:p w14:paraId="62B46883" w14:textId="77777777" w:rsidR="00A379AE" w:rsidRDefault="00000000">
      <w:pPr>
        <w:pStyle w:val="ListParagraph"/>
        <w:numPr>
          <w:ilvl w:val="0"/>
          <w:numId w:val="1"/>
        </w:numPr>
        <w:spacing w:after="80"/>
      </w:pPr>
      <w:r>
        <w:t xml:space="preserve">Policy sign-off gate (5.3.2, 5.4): clarified this is an enforced gate on </w:t>
      </w:r>
      <w:proofErr w:type="gramStart"/>
      <w:r>
        <w:t>every</w:t>
      </w:r>
      <w:proofErr w:type="gramEnd"/>
      <w:r>
        <w:t xml:space="preserve"> criteria set, not a stated intention.</w:t>
      </w:r>
    </w:p>
    <w:p w14:paraId="3E1A48F9" w14:textId="77777777" w:rsidR="00A379AE" w:rsidRDefault="00000000">
      <w:pPr>
        <w:pStyle w:val="ListParagraph"/>
        <w:numPr>
          <w:ilvl w:val="0"/>
          <w:numId w:val="1"/>
        </w:numPr>
        <w:spacing w:after="80"/>
      </w:pPr>
      <w:r>
        <w:t>Testing Approach (5.6): added the concrete, verified figure — 145 automated tests across 27 suites, all passing.</w:t>
      </w:r>
    </w:p>
    <w:p w14:paraId="116E5B11" w14:textId="77777777" w:rsidR="00A379AE" w:rsidRDefault="00000000">
      <w:pPr>
        <w:pStyle w:val="ListParagraph"/>
        <w:numPr>
          <w:ilvl w:val="0"/>
          <w:numId w:val="1"/>
        </w:numPr>
        <w:spacing w:after="80"/>
      </w:pPr>
      <w:r>
        <w:t>Network adequacy analytics (5.5): added that it runs with no external AI-service dependency, making every figure independently reproducible.</w:t>
      </w:r>
    </w:p>
    <w:p w14:paraId="51A85026" w14:textId="77777777" w:rsidR="00A379AE" w:rsidRDefault="00000000">
      <w:pPr>
        <w:pStyle w:val="Heading3"/>
        <w:spacing w:before="200" w:after="100"/>
      </w:pPr>
      <w:r>
        <w:t>Placeholders</w:t>
      </w:r>
    </w:p>
    <w:p w14:paraId="4117ABC1" w14:textId="77777777" w:rsidR="00A379AE" w:rsidRDefault="00000000">
      <w:pPr>
        <w:spacing w:after="140"/>
        <w:jc w:val="both"/>
      </w:pPr>
      <w:r>
        <w:t xml:space="preserve">All 10 of V3's [IBM to insert…] placeholders remain open. Each is a business, contractual, or compliance artifact (SLA terms, RTO/RPO, </w:t>
      </w:r>
      <w:proofErr w:type="spellStart"/>
      <w:r>
        <w:t>WaTech</w:t>
      </w:r>
      <w:proofErr w:type="spellEnd"/>
      <w:r>
        <w:t xml:space="preserve"> review status, SOC 2 date, named references, contracting vehicles) rather than something a codebase can substantiate — the audit could not close any of them, which is itself an accurate finding.</w:t>
      </w:r>
    </w:p>
    <w:p w14:paraId="4424DECF" w14:textId="77777777" w:rsidR="00A379AE" w:rsidRDefault="00000000">
      <w:pPr>
        <w:pStyle w:val="Heading3"/>
        <w:spacing w:before="200" w:after="100"/>
      </w:pPr>
      <w:r>
        <w:t>Risk flags surfaced by this audit (not resolved in this document)</w:t>
      </w:r>
    </w:p>
    <w:p w14:paraId="558480EB" w14:textId="77777777" w:rsidR="00A379AE" w:rsidRDefault="00000000">
      <w:pPr>
        <w:shd w:val="clear" w:color="auto" w:fill="FDECEA"/>
        <w:spacing w:after="160"/>
      </w:pPr>
      <w:r>
        <w:rPr>
          <w:b/>
          <w:bCs/>
          <w:i/>
          <w:iCs/>
          <w:color w:val="B00020"/>
        </w:rPr>
        <w:t xml:space="preserve">CONFIRM BEFORE SUBMISSION — </w:t>
      </w:r>
      <w:r>
        <w:rPr>
          <w:i/>
          <w:iCs/>
          <w:color w:val="B00020"/>
        </w:rPr>
        <w:t>Standards-conformance testing (Inferno, Da Vinci, US Core, CARIN, SMART App Launch, X12 278/275) has never been executed against the production backbone. This is now accurately scoped as Phase 3 work in Section 5.6, but it carries real schedule risk — first-time conformance runs commonly surface issues — and should be tracked internally as such.</w:t>
      </w:r>
    </w:p>
    <w:p w14:paraId="5752896B" w14:textId="77777777" w:rsidR="00A379AE" w:rsidRDefault="00000000">
      <w:pPr>
        <w:pStyle w:val="Heading3"/>
        <w:spacing w:before="200" w:after="100"/>
      </w:pPr>
      <w:r>
        <w:t>Resolved since V4.1</w:t>
      </w:r>
    </w:p>
    <w:p w14:paraId="146EA3BE" w14:textId="77777777" w:rsidR="00A379AE" w:rsidRDefault="00000000">
      <w:pPr>
        <w:pStyle w:val="ListParagraph"/>
        <w:numPr>
          <w:ilvl w:val="0"/>
          <w:numId w:val="1"/>
        </w:numPr>
        <w:spacing w:after="80"/>
      </w:pPr>
      <w:r>
        <w:t>UI copy: "Propensity-to-deny" language corrected to "submission-readiness (completeness) score" across all 4 flagged screens (Medical Necessity panel, Evidence Timeline, reviewer work queue, financial-clearance view). Verified by direct code review.</w:t>
      </w:r>
    </w:p>
    <w:p w14:paraId="738C69A4" w14:textId="77777777" w:rsidR="00A379AE" w:rsidRDefault="00000000">
      <w:pPr>
        <w:pStyle w:val="ListParagraph"/>
        <w:numPr>
          <w:ilvl w:val="0"/>
          <w:numId w:val="1"/>
        </w:numPr>
        <w:spacing w:after="80"/>
      </w:pPr>
      <w:r>
        <w:t>Repo scope risk (partially mitigated, not eliminated): a deployment-scope middleware now gates all non-CMS-0057-F routes behind an environment flag, so a misconfigured HCA-facing deployment cannot serve unrelated client modules. The unrelated code still exists in the same repository, so HCA should still be given a scoped deployment rather than direct repository access — this is a control, not a removal.</w:t>
      </w:r>
    </w:p>
    <w:p w14:paraId="6CBDAC91" w14:textId="77777777" w:rsidR="00A379AE" w:rsidRDefault="00000000">
      <w:pPr>
        <w:pStyle w:val="Heading3"/>
        <w:spacing w:before="200" w:after="100"/>
      </w:pPr>
      <w:r>
        <w:lastRenderedPageBreak/>
        <w:t>V4.1 changes (this revision)</w:t>
      </w:r>
    </w:p>
    <w:p w14:paraId="43921769" w14:textId="77777777" w:rsidR="00A379AE" w:rsidRDefault="00000000">
      <w:pPr>
        <w:shd w:val="clear" w:color="auto" w:fill="FFF8E1"/>
        <w:spacing w:after="140"/>
      </w:pPr>
      <w:r>
        <w:rPr>
          <w:i/>
          <w:iCs/>
          <w:color w:val="8A6D00"/>
        </w:rPr>
        <w:t>V4.1 responds to a specific business question: given the actual RFP (as opposed to this RFI) will not be evaluated for approximately three months, where will the platform genuinely stand by then? Every date and status change below is backed by a dated, resourced, task-level project plan (Development Plan and Standards-Conformance Testing Plan workbooks) — this is a forward commitment tied to real scope and cost, not a reframing of existing capability.</w:t>
      </w:r>
    </w:p>
    <w:p w14:paraId="5698DDCD" w14:textId="77777777" w:rsidR="00A379AE" w:rsidRDefault="00000000">
      <w:pPr>
        <w:pStyle w:val="ListParagraph"/>
        <w:numPr>
          <w:ilvl w:val="0"/>
          <w:numId w:val="1"/>
        </w:numPr>
        <w:spacing w:after="80"/>
      </w:pPr>
      <w:r>
        <w:t>5.2.1 maturity table: restructured to show Status Today and Target Status at the anticipated RFP evaluation window (~November 2026) side by side, with every upgraded row tied to a specific workstream and target date from the project plan. Items with no committed plan (USCDI v3 remaining classes, CMS report pack formats, standalone Provider Directory API) are correctly left unchanged — IBM is not claiming acceleration it has not resourced.</w:t>
      </w:r>
    </w:p>
    <w:p w14:paraId="4181E654" w14:textId="77777777" w:rsidR="00A379AE" w:rsidRDefault="00000000">
      <w:pPr>
        <w:pStyle w:val="ListParagraph"/>
        <w:numPr>
          <w:ilvl w:val="0"/>
          <w:numId w:val="1"/>
        </w:numPr>
        <w:spacing w:after="80"/>
      </w:pPr>
      <w:r>
        <w:t xml:space="preserve">5.2.2, 5.3.1, 5.3.2, 5.4: added dated "in active development, targeting completion by [month] 2026" language to every gap the V4 audit identified as Roadmap/In development — MPI identity resolution, Provider Access opt-out consent, DTR </w:t>
      </w:r>
      <w:proofErr w:type="spellStart"/>
      <w:r>
        <w:t>CDex</w:t>
      </w:r>
      <w:proofErr w:type="spellEnd"/>
      <w:r>
        <w:t>-conformant attachments, Provider Access bulk export, and policy monitoring mode.</w:t>
      </w:r>
    </w:p>
    <w:p w14:paraId="2F6DEABA" w14:textId="77777777" w:rsidR="00A379AE" w:rsidRDefault="00000000">
      <w:pPr>
        <w:pStyle w:val="ListParagraph"/>
        <w:numPr>
          <w:ilvl w:val="0"/>
          <w:numId w:val="1"/>
        </w:numPr>
        <w:spacing w:after="80"/>
      </w:pPr>
      <w:r>
        <w:t>5.6: added a Certification Roadmap subsection naming the two real, currently pursuable certifications (ONC Health IT §170.315(g)(31)/(g)(32)/(g)(33) via CHPL listing; CAQH CORE Prior Authorization &amp; Referrals Operating Rules) with target engagement and completion dates, and an explicit note that no payer-side FHIR certification currently exists to pursue (HTI-2 was withdrawn in December 2025) — this boundary is stated plainly rather than implied away.</w:t>
      </w:r>
    </w:p>
    <w:p w14:paraId="26D29C9E" w14:textId="77777777" w:rsidR="00A379AE" w:rsidRDefault="00000000">
      <w:pPr>
        <w:shd w:val="clear" w:color="auto" w:fill="FDECEA"/>
        <w:spacing w:after="160"/>
      </w:pPr>
      <w:r>
        <w:rPr>
          <w:b/>
          <w:bCs/>
          <w:i/>
          <w:iCs/>
          <w:color w:val="B00020"/>
        </w:rPr>
        <w:t xml:space="preserve">CONFIRM BEFORE SUBMISSION — </w:t>
      </w:r>
      <w:r>
        <w:rPr>
          <w:i/>
          <w:iCs/>
          <w:color w:val="B00020"/>
        </w:rPr>
        <w:t>All target dates in this revision assume the development and conformance plan begins within approximately one week of this submission. If IBM's internal start date slips, these targets — and the maturity table above — must be revisited and re-issued to HCA before the RFP evaluation window, not silently left in place.</w:t>
      </w:r>
    </w:p>
    <w:p w14:paraId="78CF11F7" w14:textId="77777777" w:rsidR="00A379AE" w:rsidRDefault="00000000">
      <w:pPr>
        <w:pStyle w:val="Heading3"/>
        <w:spacing w:before="200" w:after="100"/>
      </w:pPr>
      <w:r>
        <w:t>V5.0 changes (this revision)</w:t>
      </w:r>
    </w:p>
    <w:p w14:paraId="3AF13641" w14:textId="77777777" w:rsidR="00A379AE" w:rsidRDefault="00000000">
      <w:pPr>
        <w:shd w:val="clear" w:color="auto" w:fill="FFF8E1"/>
        <w:spacing w:after="140"/>
      </w:pPr>
      <w:r>
        <w:rPr>
          <w:i/>
          <w:iCs/>
          <w:color w:val="8A6D00"/>
        </w:rPr>
        <w:t xml:space="preserve">V5.0 responds to real, executed progress: since V4.1, IBM completed and verified (via automated test) three of the highest-priority gaps its own internal audit flagged — cross-source identity resolution (MPI), the Provider Access opt-out consent model, and Da Vinci </w:t>
      </w:r>
      <w:proofErr w:type="spellStart"/>
      <w:r>
        <w:rPr>
          <w:i/>
          <w:iCs/>
          <w:color w:val="8A6D00"/>
        </w:rPr>
        <w:t>CDex</w:t>
      </w:r>
      <w:proofErr w:type="spellEnd"/>
      <w:r>
        <w:rPr>
          <w:i/>
          <w:iCs/>
          <w:color w:val="8A6D00"/>
        </w:rPr>
        <w:t>-conformant DTR attachments — plus the UI-copy and build-scoping risk flags. This is not a reframing; it reflects code written and tested this development cycle, tracked in the Development Plan workbook.</w:t>
      </w:r>
    </w:p>
    <w:p w14:paraId="52BB2950" w14:textId="77777777" w:rsidR="00A379AE" w:rsidRDefault="00000000">
      <w:pPr>
        <w:pStyle w:val="ListParagraph"/>
        <w:numPr>
          <w:ilvl w:val="0"/>
          <w:numId w:val="1"/>
        </w:numPr>
        <w:spacing w:after="80"/>
      </w:pPr>
      <w:r>
        <w:t xml:space="preserve">5.2.1 maturity table: three rows upgraded from Roadmap / In development to Demonstrable today (identity resolution, Provider Access opt-out consent, DTR </w:t>
      </w:r>
      <w:proofErr w:type="spellStart"/>
      <w:r>
        <w:t>CDex</w:t>
      </w:r>
      <w:proofErr w:type="spellEnd"/>
      <w:r>
        <w:t xml:space="preserve"> attachments), each tied to a specific automated-test count. The Formal certification row is softened from "Not yet engaged" to "Pre-engagement — readiness work complete" — IBM is not claiming an active certification-body relationship that does not yet exist.</w:t>
      </w:r>
    </w:p>
    <w:p w14:paraId="712CC9C3" w14:textId="77777777" w:rsidR="00A379AE" w:rsidRDefault="00000000">
      <w:pPr>
        <w:pStyle w:val="ListParagraph"/>
        <w:numPr>
          <w:ilvl w:val="0"/>
          <w:numId w:val="1"/>
        </w:numPr>
        <w:spacing w:after="80"/>
      </w:pPr>
      <w:r>
        <w:t>5.3.1, 5.4: updated Provider Access, DTR, and MPI narrative to describe built-and-tested capability rather than a forward commitment.</w:t>
      </w:r>
    </w:p>
    <w:p w14:paraId="5E4526AA" w14:textId="77777777" w:rsidR="00A379AE" w:rsidRDefault="00000000">
      <w:pPr>
        <w:pStyle w:val="ListParagraph"/>
        <w:numPr>
          <w:ilvl w:val="0"/>
          <w:numId w:val="1"/>
        </w:numPr>
        <w:spacing w:after="80"/>
      </w:pPr>
      <w:r>
        <w:t xml:space="preserve">5.6 Testing Approach: updated automated-test count from 145 (27 suites) to 185, zero regressions; noted the DTR </w:t>
      </w:r>
      <w:proofErr w:type="spellStart"/>
      <w:r>
        <w:t>CDex</w:t>
      </w:r>
      <w:proofErr w:type="spellEnd"/>
      <w:r>
        <w:t xml:space="preserve"> conformance-testing blocker is cleared.</w:t>
      </w:r>
    </w:p>
    <w:p w14:paraId="1DE92618" w14:textId="77777777" w:rsidR="00A379AE" w:rsidRDefault="00000000">
      <w:pPr>
        <w:pStyle w:val="ListParagraph"/>
        <w:numPr>
          <w:ilvl w:val="0"/>
          <w:numId w:val="1"/>
        </w:numPr>
        <w:spacing w:after="80"/>
      </w:pPr>
      <w:r>
        <w:t>5.6 Certification Roadmap: added that the code-readiness work gating both certifications is complete, so IBM is actively working toward certification on the stated schedule — while being explicit that formal ONC-ACB / CAQH CORE engagement itself has not yet started.</w:t>
      </w:r>
    </w:p>
    <w:p w14:paraId="1467347F" w14:textId="77777777" w:rsidR="00A379AE" w:rsidRDefault="00000000">
      <w:pPr>
        <w:pStyle w:val="ListParagraph"/>
        <w:numPr>
          <w:ilvl w:val="0"/>
          <w:numId w:val="1"/>
        </w:numPr>
        <w:spacing w:after="80"/>
      </w:pPr>
      <w:r>
        <w:t xml:space="preserve">Appendix: moved the resolved UI-copy risk flag, and the </w:t>
      </w:r>
      <w:proofErr w:type="gramStart"/>
      <w:r>
        <w:t>partially-mitigated</w:t>
      </w:r>
      <w:proofErr w:type="gramEnd"/>
      <w:r>
        <w:t xml:space="preserve"> repo-scope risk flag, into a new "Resolved since V4.1" list.</w:t>
      </w:r>
    </w:p>
    <w:p w14:paraId="5655B471" w14:textId="77777777" w:rsidR="00A379AE" w:rsidRDefault="00000000">
      <w:pPr>
        <w:shd w:val="clear" w:color="auto" w:fill="FDECEA"/>
        <w:spacing w:after="160"/>
      </w:pPr>
      <w:r>
        <w:rPr>
          <w:b/>
          <w:bCs/>
          <w:i/>
          <w:iCs/>
          <w:color w:val="B00020"/>
        </w:rPr>
        <w:t xml:space="preserve">CONFIRM BEFORE SUBMISSION — </w:t>
      </w:r>
      <w:r>
        <w:rPr>
          <w:i/>
          <w:iCs/>
          <w:color w:val="B00020"/>
        </w:rPr>
        <w:t>Gaps still open and unchanged from V4.1, stated plainly: Provider Access bulk export, policy monitoring mode, and live production/staging backbone integration are not yet built (targeting October 2026); USCDI v3 remaining classes and CMS report-pack formats remain "in development" with no firm date; the standalone Provider Directory API remains a Phase 2 roadmap item. "Demonstrable today" in this revision means code complete and automated-test-verified in IBM's reference environment — it is not itself a conformance-test pass, a formal certification, or a production deployment; those remain scheduled per this section.</w:t>
      </w:r>
    </w:p>
    <w:sectPr w:rsidR="00A379A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342922"/>
    <w:multiLevelType w:val="hybridMultilevel"/>
    <w:tmpl w:val="69E637A6"/>
    <w:lvl w:ilvl="0" w:tplc="391442E4">
      <w:start w:val="1"/>
      <w:numFmt w:val="bullet"/>
      <w:lvlText w:val="●"/>
      <w:lvlJc w:val="left"/>
      <w:pPr>
        <w:ind w:left="720" w:hanging="360"/>
      </w:pPr>
    </w:lvl>
    <w:lvl w:ilvl="1" w:tplc="829CFE34">
      <w:start w:val="1"/>
      <w:numFmt w:val="bullet"/>
      <w:lvlText w:val="○"/>
      <w:lvlJc w:val="left"/>
      <w:pPr>
        <w:ind w:left="1440" w:hanging="360"/>
      </w:pPr>
    </w:lvl>
    <w:lvl w:ilvl="2" w:tplc="BAE0B6EE">
      <w:start w:val="1"/>
      <w:numFmt w:val="bullet"/>
      <w:lvlText w:val="■"/>
      <w:lvlJc w:val="left"/>
      <w:pPr>
        <w:ind w:left="2160" w:hanging="360"/>
      </w:pPr>
    </w:lvl>
    <w:lvl w:ilvl="3" w:tplc="3DA65950">
      <w:start w:val="1"/>
      <w:numFmt w:val="bullet"/>
      <w:lvlText w:val="●"/>
      <w:lvlJc w:val="left"/>
      <w:pPr>
        <w:ind w:left="2880" w:hanging="360"/>
      </w:pPr>
    </w:lvl>
    <w:lvl w:ilvl="4" w:tplc="C1265F76">
      <w:start w:val="1"/>
      <w:numFmt w:val="bullet"/>
      <w:lvlText w:val="○"/>
      <w:lvlJc w:val="left"/>
      <w:pPr>
        <w:ind w:left="3600" w:hanging="360"/>
      </w:pPr>
    </w:lvl>
    <w:lvl w:ilvl="5" w:tplc="B7D26722">
      <w:start w:val="1"/>
      <w:numFmt w:val="bullet"/>
      <w:lvlText w:val="■"/>
      <w:lvlJc w:val="left"/>
      <w:pPr>
        <w:ind w:left="4320" w:hanging="360"/>
      </w:pPr>
    </w:lvl>
    <w:lvl w:ilvl="6" w:tplc="DC08A518">
      <w:start w:val="1"/>
      <w:numFmt w:val="bullet"/>
      <w:lvlText w:val="●"/>
      <w:lvlJc w:val="left"/>
      <w:pPr>
        <w:ind w:left="5040" w:hanging="360"/>
      </w:pPr>
    </w:lvl>
    <w:lvl w:ilvl="7" w:tplc="073E24D2">
      <w:start w:val="1"/>
      <w:numFmt w:val="bullet"/>
      <w:lvlText w:val="●"/>
      <w:lvlJc w:val="left"/>
      <w:pPr>
        <w:ind w:left="5760" w:hanging="360"/>
      </w:pPr>
    </w:lvl>
    <w:lvl w:ilvl="8" w:tplc="0EDE9EC0">
      <w:start w:val="1"/>
      <w:numFmt w:val="bullet"/>
      <w:lvlText w:val="●"/>
      <w:lvlJc w:val="left"/>
      <w:pPr>
        <w:ind w:left="6480" w:hanging="360"/>
      </w:pPr>
    </w:lvl>
  </w:abstractNum>
  <w:num w:numId="1" w16cid:durableId="61501622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6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79AE"/>
    <w:rsid w:val="005A5236"/>
    <w:rsid w:val="00A0073D"/>
    <w:rsid w:val="00A379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3DA974"/>
  <w15:docId w15:val="{158B008F-9C0D-C846-A778-06B3445D1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6228</Words>
  <Characters>35502</Characters>
  <Application>Microsoft Office Word</Application>
  <DocSecurity>0</DocSecurity>
  <Lines>295</Lines>
  <Paragraphs>83</Paragraphs>
  <ScaleCrop>false</ScaleCrop>
  <Company/>
  <LinksUpToDate>false</LinksUpToDate>
  <CharactersWithSpaces>41647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Richard Williams</cp:lastModifiedBy>
  <cp:revision>2</cp:revision>
  <dcterms:created xsi:type="dcterms:W3CDTF">2026-08-07T17:55:00Z</dcterms:created>
  <dcterms:modified xsi:type="dcterms:W3CDTF">2026-08-07T17:57:00Z</dcterms:modified>
</cp:coreProperties>
</file>