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80"/>
        <w:jc w:val="center"/>
      </w:pPr>
      <w:r>
        <w:rPr>
          <w:b/>
          <w:bCs/>
          <w:color w:val="1F2A44"/>
          <w:sz w:val="40"/>
          <w:szCs w:val="40"/>
        </w:rPr>
        <w:t xml:space="preserve">CMS-0057-F Platform</w:t>
      </w:r>
    </w:p>
    <w:p>
      <w:pPr>
        <w:spacing w:after="300"/>
        <w:jc w:val="center"/>
      </w:pPr>
      <w:r>
        <w:rPr>
          <w:b/>
          <w:bCs/>
          <w:color w:val="1F2A44"/>
          <w:sz w:val="40"/>
          <w:szCs w:val="40"/>
        </w:rPr>
        <w:t xml:space="preserve">Test Plan</w:t>
      </w:r>
    </w:p>
    <w:p>
      <w:pPr>
        <w:spacing w:after="500"/>
        <w:jc w:val="center"/>
      </w:pPr>
      <w:r>
        <w:rPr>
          <w:color w:val="444444"/>
          <w:sz w:val="24"/>
          <w:szCs w:val="24"/>
        </w:rPr>
        <w:t xml:space="preserve">Prior Authorization (CRD / DTR / PAS) · Payer-to-Payer · Patient Access · Provider Access</w:t>
      </w:r>
    </w:p>
    <w:p>
      <w:pPr>
        <w:spacing w:after="80"/>
        <w:jc w:val="center"/>
      </w:pPr>
      <w:r>
        <w:rPr>
          <w:i/>
          <w:iCs/>
          <w:color w:val="666666"/>
          <w:sz w:val="20"/>
          <w:szCs w:val="20"/>
        </w:rPr>
        <w:t xml:space="preserve">Version 1.0 — August 8, 2026</w:t>
      </w:r>
    </w:p>
    <w:p>
      <w:pPr>
        <w:spacing w:after="80"/>
        <w:jc w:val="center"/>
      </w:pPr>
      <w:r>
        <w:rPr>
          <w:i/>
          <w:iCs/>
          <w:color w:val="666666"/>
          <w:sz w:val="18"/>
          <w:szCs w:val="18"/>
        </w:rPr>
        <w:t xml:space="preserve">Internal QA test plan for the application codebase. Distinct from, and a prerequisite to, the Standards-Conformance Testing Plan (Inferno / ONC / CAQH CORE) tracked in the separate CMS-0057-F Conformance Testing workbook.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1. Purpose &amp; Scope</w:t>
      </w:r>
    </w:p>
    <w:p>
      <w:pPr>
        <w:spacing w:after="160"/>
      </w:pPr>
      <w:r>
        <w:rPr>
          <w:sz w:val="21"/>
          <w:szCs w:val="21"/>
        </w:rPr>
        <w:t xml:space="preserve">This plan defines how the CMS-0057-F platform codebase is tested — what is verified at each test level, in which environment, with which tooling, and against what evidence. It covers all four CMS-0057-F provisions (Patient Access, Provider Access, Payer-to-Payer, and Prior Authorization) plus the cross-cutting capabilities that support them: cross-source identity resolution (MPI), consent management, policy transformation, security/audit, and reporting.</w:t>
      </w:r>
    </w:p>
    <w:p>
      <w:pPr>
        <w:spacing w:after="160"/>
      </w:pPr>
      <w:r>
        <w:rPr>
          <w:sz w:val="21"/>
          <w:szCs w:val="21"/>
        </w:rPr>
        <w:t xml:space="preserve">This is a codebase test plan, not a certification plan. Formal standards-conformance testing (Inferno self-service against Da Vinci CRD/DTR/PAS, US Core, CARIN, SMART App Launch, X12 278/275) and formal certification (ONC Health IT, CAQH CORE) are scoped, dated, and costed separately in the CMS-0057-F Conformance Testing Project Plan workbook. This plan is upstream of that one: a clean pass here is the entry criterion for conformance testing (Section 6).</w:t>
      </w:r>
    </w:p>
    <w:p>
      <w:pPr>
        <w:pStyle w:val="Heading2"/>
        <w:spacing w:after="110" w:before="240"/>
      </w:pPr>
      <w:r>
        <w:t xml:space="preserve">In Scope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Prior Authorization — CRD (Coverage Requirements Discovery), DTR (Documentation Templates &amp; Rules), PAS (Prior Authorization Support)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Payer-to-Payer API — opt-in consent gate, Da Vinci bulk data export, import/reconciliation against Member 360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Patient Access API — FHIR reads, USCDI v3 data, denial-reason display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Provider Access API — $member-match, treatment-relationship authorization, opt-out consent, bulk export to attributed panel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Cross-cutting: identity resolution (MPI), policy transformation (policy-to-FHIR), authorization/consent/audit, deployment-scope isolation, network-adequacy analytics, reporting</w:t>
      </w:r>
    </w:p>
    <w:p>
      <w:pPr>
        <w:pStyle w:val="Heading2"/>
        <w:spacing w:after="110" w:before="240"/>
      </w:pPr>
      <w:r>
        <w:t xml:space="preserve">Out of Scope (tracked elsewhere)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Formal standards-conformance testing (Inferno) and formal certification (ONC Health IT, CAQH CORE) — CMS-0057-F Conformance Testing Project Plan workbook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Production-scale load/performance testing against a live trading partner — contract Phase 1, per the RFI implementation timeline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Structured user-acceptance testing with HCA reviewers/analysts — post-award, per the RFI Section 5.6 timeline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Penetration testing / third-party security assessment — recommend scoping as a distinct engagement ahead of production cutover</w:t>
      </w:r>
    </w:p>
    <w:p>
      <w:pPr>
        <w:pStyle w:val="Heading1"/>
        <w:spacing w:after="140" w:before="320"/>
      </w:pPr>
      <w:r>
        <w:t xml:space="preserve">2. Test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Prove each CMS-0057-F provision behaves correctly against its FHIR/Da Vinci/X12 specification at the component level, before any conformance-testing run is attempted.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Prove the human-gating guarantees that carry real compliance weight: a PAS submission cannot be recorded without a named human approver (enforced twice — interaction and workflow-state level); a policy criteria set cannot be used without clinical sign-off; AI never makes a coverage or medical-necessity determination.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Prove consent and authorization are enforced correctly and cannot be bypassed: Provider Access opt-out, Payer-to-Payer opt-in, treatment-relationship checks, break-glass override behavior.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Prove the audit trail is PHI-safe by construction — every automated identity-resolution and evidence event stores references, codes, and determinations, never raw clinical payloads.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Catch regressions early and cheaply: every gap-closure or feature change runs the full automated suite before it is considered done (this is already the working practice — see Section 9, zero regressions across the last two development cycles).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the evidence base the Conformance Testing Plan and the RFI response both cite — automated test counts, contract-test results, and e2e coverage are load-bearing claims in HCA-facing documents and must stay accurate.</w:t>
      </w:r>
    </w:p>
    <w:p>
      <w:pPr>
        <w:pStyle w:val="Heading1"/>
        <w:spacing w:after="140" w:before="320"/>
      </w:pPr>
      <w:r>
        <w:t xml:space="preserve">3. Test Levels &amp; Tooling</w:t>
      </w:r>
    </w:p>
    <w:p>
      <w:pPr>
        <w:spacing w:after="160"/>
      </w:pPr>
      <w:r>
        <w:rPr>
          <w:sz w:val="21"/>
          <w:szCs w:val="21"/>
        </w:rPr>
        <w:t xml:space="preserve">Five levels, from fastest/cheapest to slowest/most representative. Each lower level should catch a defect before it reaches the next.</w:t>
      </w:r>
    </w:p>
    <w:tbl>
      <w:tblPr>
        <w:tblW w:type="dxa" w:w="1080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400"/>
        <w:gridCol w:w="2600"/>
        <w:gridCol w:w="3200"/>
        <w:gridCol w:w="2600"/>
      </w:tblGrid>
      <w:tr>
        <w:trPr>
          <w:tblHeader/>
        </w:trPr>
        <w:tc>
          <w:tcPr>
            <w:tcW w:type="dxa" w:w="24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6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2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Proves</w:t>
            </w:r>
          </w:p>
        </w:tc>
        <w:tc>
          <w:tcPr>
            <w:tcW w:type="dxa" w:w="26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Status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 / component (main app)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Vitest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Deterministic logic is correct in isolation: policy engine, matching engine, workflow state machine, FHIR resource validation, audit redaction</w:t>
            </w:r>
          </w:p>
        </w:tc>
        <w:tc>
          <w:tcPr>
            <w:tcW w:type="dxa" w:w="2600"/>
            <w:shd w:fill="DAFB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7F37"/>
                <w:sz w:val="18"/>
                <w:szCs w:val="18"/>
              </w:rPr>
              <w:t xml:space="preserve">32 suites / 178 tests passing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 / component (standalone SMART app)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Vitest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DTR tree-view interaction, CDex DocumentReference construction</w:t>
            </w:r>
          </w:p>
        </w:tc>
        <w:tc>
          <w:tcPr>
            <w:tcW w:type="dxa" w:w="2600"/>
            <w:shd w:fill="DAFB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7F37"/>
                <w:sz w:val="18"/>
                <w:szCs w:val="18"/>
              </w:rPr>
              <w:t xml:space="preserve">2 suites / 7 tests passing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/ contract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Postman + Newman (npm run test:contract)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HTTP-level request/response contracts hold for a real running server, independent of internal code structure</w:t>
            </w:r>
          </w:p>
        </w:tc>
        <w:tc>
          <w:tcPr>
            <w:tcW w:type="dxa" w:w="2600"/>
            <w:shd w:fill="DAFB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7F37"/>
                <w:sz w:val="18"/>
                <w:szCs w:val="18"/>
              </w:rPr>
              <w:t xml:space="preserve">8-request collection covering CDS Hooks, DTR, Provider Access match, PAS (both gate states), bulk export start, work queue, financial clearance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End-to-end (UI)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Playwright (npm run test:e2e)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user can actually complete a journey through the rendered UI, not just call an API</w:t>
            </w:r>
          </w:p>
        </w:tc>
        <w:tc>
          <w:tcPr>
            <w:tcW w:type="dxa" w:w="2600"/>
            <w:shd w:fill="FFF3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9A6700"/>
                <w:sz w:val="18"/>
                <w:szCs w:val="18"/>
              </w:rPr>
              <w:t xml:space="preserve">1 spec file / 5 scenarios (CMS hub, Financial Clearance x3, Work Queue)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Standards conformance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Inferno (ONC self-service)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FHIR resources and interactions conform to the Da Vinci / US Core / CARIN / SMART implementation guides</w:t>
            </w:r>
          </w:p>
        </w:tc>
        <w:tc>
          <w:tcPr>
            <w:tcW w:type="dxa" w:w="26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0020"/>
                <w:sz w:val="18"/>
                <w:szCs w:val="18"/>
              </w:rPr>
              <w:t xml:space="preserve">Not yet run — scoped in the Conformance Testing Plan workbook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Manual / exploratory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Human tester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UX edge cases, accessibility, cross-browser/device behavior automation doesn't reach</w:t>
            </w:r>
          </w:p>
        </w:tc>
        <w:tc>
          <w:tcPr>
            <w:tcW w:type="dxa" w:w="26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0020"/>
                <w:sz w:val="18"/>
                <w:szCs w:val="18"/>
              </w:rPr>
              <w:t xml:space="preserve">Not yet formalized — no test charter exists per provision</w:t>
            </w:r>
          </w:p>
        </w:tc>
      </w:tr>
    </w:tbl>
    <w:p>
      <w:pPr>
        <w:spacing w:after="160"/>
      </w:pPr>
      <w:r>
        <w:rPr>
          <w:i/>
          <w:iCs/>
          <w:color w:val="666666"/>
          <w:sz w:val="19"/>
          <w:szCs w:val="19"/>
        </w:rPr>
        <w:t xml:space="preserve">Note: Status colors: green = in place and passing today; yellow = partial coverage exists; red = not yet started. This mirrors the maturity taxonomy already used in the RFI response and the Conformance Testing Plan, so status is comparable across documents.</w:t>
      </w:r>
    </w:p>
    <w:p>
      <w:pPr>
        <w:pStyle w:val="Heading1"/>
        <w:spacing w:after="140" w:before="320"/>
      </w:pPr>
      <w:r>
        <w:t xml:space="preserve">4. Test Environments</w:t>
      </w:r>
    </w:p>
    <w:tbl>
      <w:tblPr>
        <w:tblW w:type="dxa" w:w="1080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200"/>
        <w:gridCol w:w="2900"/>
        <w:gridCol w:w="3300"/>
        <w:gridCol w:w="2400"/>
      </w:tblGrid>
      <w:tr>
        <w:trPr>
          <w:tblHeader/>
        </w:trPr>
        <w:tc>
          <w:tcPr>
            <w:tcW w:type="dxa" w:w="22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9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3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to Stand It Up</w:t>
            </w:r>
          </w:p>
        </w:tc>
        <w:tc>
          <w:tcPr>
            <w:tcW w:type="dxa" w:w="24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External Dependency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Local dev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Day-to-day development and unit testing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npm run dev (port 4029) with ALLOW_DEV_MOCK_AUTH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 — in-memory seeded FHIR bundle (the "Maria" persona, tests/seed)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Reference / validation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Full-platform demo, regression suite, contract tests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Same application against a self-contained FHIR server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 — this is the environment the RFI response calls "Demonstrable today"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Staging backbone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X12 278/275 EDI translation, simulated trading-partner exchange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npm run backbone:up (Docker Compose)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Docker; a representative staging trading partner once Workstream G (Dev Plan) lands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Production / live trading partner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Contract Phase 1 cutover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applicable to this plan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Real payer and EMR endpoints — explicitly out of scope here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The platform is built to fail loud, not silent, against an unconfigured live endpoint — a misconfigured environment cannot masquerade as production-ready in test results (see RFI Section 5.2.2).</w:t>
      </w:r>
    </w:p>
    <w:p>
      <w:pPr>
        <w:pStyle w:val="Heading1"/>
        <w:spacing w:after="140" w:before="320"/>
      </w:pPr>
      <w:r>
        <w:t xml:space="preserve">5. Coverage by Provision</w:t>
      </w:r>
    </w:p>
    <w:p>
      <w:pPr>
        <w:spacing w:after="160"/>
      </w:pPr>
      <w:r>
        <w:rPr>
          <w:sz w:val="21"/>
          <w:szCs w:val="21"/>
        </w:rPr>
        <w:t xml:space="preserve">Each table below lists what is verified, by which test type, and the current automated-coverage status. Gaps are called out explicitly rather than implied.</w:t>
      </w:r>
    </w:p>
    <w:p>
      <w:pPr>
        <w:pStyle w:val="Heading2"/>
        <w:spacing w:after="110" w:before="240"/>
      </w:pPr>
      <w:r>
        <w:t xml:space="preserve">5.1 Prior Authorization — CRD / DTR / PAS</w:t>
      </w:r>
    </w:p>
    <w:tbl>
      <w:tblPr>
        <w:tblW w:type="dxa" w:w="1110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600"/>
        <w:gridCol w:w="3600"/>
        <w:gridCol w:w="2900"/>
        <w:gridCol w:w="2000"/>
      </w:tblGrid>
      <w:tr>
        <w:trPr>
          <w:tblHeader/>
        </w:trPr>
        <w:tc>
          <w:tcPr>
            <w:tcW w:type="dxa" w:w="26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6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What's Verified</w:t>
            </w:r>
          </w:p>
        </w:tc>
        <w:tc>
          <w:tcPr>
            <w:tcW w:type="dxa" w:w="29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20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CRD — CDS Hooks discovery + firing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Discovery endpoint responds; hooks fire at order-select and order-sign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Contract ("CDS Hooks Discovery")</w:t>
            </w:r>
          </w:p>
        </w:tc>
        <w:tc>
          <w:tcPr>
            <w:tcW w:type="dxa" w:w="2000"/>
            <w:shd w:fill="DAFB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7F37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CRD — 4 parallel checks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Eligibility/enrollment, network status, clinical-guideline check, PA-required determination each resolve correctly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 (tests/policy/*, tests/goldenThread/orchestrator.test.ts)</w:t>
            </w:r>
          </w:p>
        </w:tc>
        <w:tc>
          <w:tcPr>
            <w:tcW w:type="dxa" w:w="2000"/>
            <w:shd w:fill="DAFB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7F37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DTR — Questionnaire retrieval + CQL matching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Correct Questionnaire Package returned; CQL criteria tree marks items Met (with citation) or Gap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 (tests/dtr, tests/goldenThread/dtrGenerator, dtrAndIngest)</w:t>
            </w:r>
          </w:p>
        </w:tc>
        <w:tc>
          <w:tcPr>
            <w:tcW w:type="dxa" w:w="2000"/>
            <w:shd w:fill="DAFB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7F37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DTR — gap evidence upload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 held pending clinical confirmation; does not auto-resolve a gap; CDex-conformant DocumentReference constructed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 (PA-Standalone-SmartApp cdexDocumentReference.test.ts, 6 tests) + Contract ("DTR Package Retrieval")</w:t>
            </w:r>
          </w:p>
        </w:tc>
        <w:tc>
          <w:tcPr>
            <w:tcW w:type="dxa" w:w="2000"/>
            <w:shd w:fill="DAFB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7F37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 — dual-channel submission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FHIR PASBundle path and X12 278/275 path both selectable by payer capability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 (tests/workflow/paMachine.test.ts) + Contract (both PAS Submit cases)</w:t>
            </w:r>
          </w:p>
        </w:tc>
        <w:tc>
          <w:tcPr>
            <w:tcW w:type="dxa" w:w="2000"/>
            <w:shd w:fill="DAFB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7F37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 — human-gate enforcement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Submission blocked with no approvedBy at both the interaction and workflow-state level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Contract ("PAS Submit - Human Gate (no approvedBy)")</w:t>
            </w:r>
          </w:p>
        </w:tc>
        <w:tc>
          <w:tcPr>
            <w:tcW w:type="dxa" w:w="2000"/>
            <w:shd w:fill="DAFB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7F37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Golden Thread continuity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single order can be walked from Financial Clearance through the Work Queue to an Evidence Record without re-entering context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E2E (e2e/golden-thread.spec.ts)</w:t>
            </w:r>
          </w:p>
        </w:tc>
        <w:tc>
          <w:tcPr>
            <w:tcW w:type="dxa" w:w="2000"/>
            <w:shd w:fill="FFF3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9A6700"/>
                <w:sz w:val="18"/>
                <w:szCs w:val="18"/>
              </w:rPr>
              <w:t xml:space="preserve">Covered — smoke depth only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Live CDS-service integration against a staging trading partner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Real (non-mock) CRD round-trip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yet exercised</w:t>
            </w:r>
          </w:p>
        </w:tc>
        <w:tc>
          <w:tcPr>
            <w:tcW w:type="dxa" w:w="20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0020"/>
                <w:sz w:val="18"/>
                <w:szCs w:val="18"/>
              </w:rPr>
              <w:t xml:space="preserve">Gap — targeted Oct 2026, Dev Plan Workstream G</w:t>
            </w:r>
          </w:p>
        </w:tc>
      </w:tr>
    </w:tbl>
    <w:p>
      <w:pPr>
        <w:pStyle w:val="Heading2"/>
        <w:spacing w:after="110" w:before="240"/>
      </w:pPr>
      <w:r>
        <w:t xml:space="preserve">5.2 Payer-to-Payer API</w:t>
      </w:r>
    </w:p>
    <w:tbl>
      <w:tblPr>
        <w:tblW w:type="dxa" w:w="1110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600"/>
        <w:gridCol w:w="3600"/>
        <w:gridCol w:w="2900"/>
        <w:gridCol w:w="2000"/>
      </w:tblGrid>
      <w:tr>
        <w:trPr>
          <w:tblHeader/>
        </w:trPr>
        <w:tc>
          <w:tcPr>
            <w:tcW w:type="dxa" w:w="26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6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What's Verified</w:t>
            </w:r>
          </w:p>
        </w:tc>
        <w:tc>
          <w:tcPr>
            <w:tcW w:type="dxa" w:w="29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20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Opt-in consent gate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UI state models "Consent captured" as a precondition before export can proceed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Manual (page state only)</w:t>
            </w:r>
          </w:p>
        </w:tc>
        <w:tc>
          <w:tcPr>
            <w:tcW w:type="dxa" w:w="20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0020"/>
                <w:sz w:val="18"/>
                <w:szCs w:val="18"/>
              </w:rPr>
              <w:t xml:space="preserve">Gap — no automated assertion that export is blocked without consent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Bulk export job lifecycle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Job transitions requested → in-progress → files-ready → reconciled correctly; duplicate/late callbacks handled idempotently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 (tests/workflow/bulkJob.test.ts, 4 tests)</w:t>
            </w:r>
          </w:p>
        </w:tc>
        <w:tc>
          <w:tcPr>
            <w:tcW w:type="dxa" w:w="2000"/>
            <w:shd w:fill="DAFB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7F37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 de-duplication against Member 360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Re-imported claims are deduped rather than double-counted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 (tests/workflow/bulkJob.test.ts)</w:t>
            </w:r>
          </w:p>
        </w:tc>
        <w:tc>
          <w:tcPr>
            <w:tcW w:type="dxa" w:w="2000"/>
            <w:shd w:fill="DAFB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7F37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Bulk export trigger (API)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Bulk/start endpoint accepts a request and returns a job reference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Contract ("Bulk Export - Start")</w:t>
            </w:r>
          </w:p>
        </w:tc>
        <w:tc>
          <w:tcPr>
            <w:tcW w:type="dxa" w:w="2000"/>
            <w:shd w:fill="DAFB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7F37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NDJSON export format / Da Vinci bulk pattern conformance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Output actually matches the Da Vinci bulk-data-export shape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yet exercised at the integration level</w:t>
            </w:r>
          </w:p>
        </w:tc>
        <w:tc>
          <w:tcPr>
            <w:tcW w:type="dxa" w:w="20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0020"/>
                <w:sz w:val="18"/>
                <w:szCs w:val="18"/>
              </w:rPr>
              <w:t xml:space="preserve">Gap — recommend an integration test against the reference FHIR server</w:t>
            </w:r>
          </w:p>
        </w:tc>
      </w:tr>
    </w:tbl>
    <w:p>
      <w:pPr>
        <w:spacing w:after="160"/>
      </w:pPr>
      <w:r>
        <w:rPr>
          <w:i/>
          <w:iCs/>
          <w:color w:val="666666"/>
          <w:sz w:val="19"/>
          <w:szCs w:val="19"/>
        </w:rPr>
        <w:t xml:space="preserve">Note: The opt-in consent gate is the one place in this plan where Payer-to-Payer has weaker automated coverage than Provider Access opt-out (Section 5.4), which does have an explicit guard-level test. Recommend closing this gap before conformance testing — a consent bypass here is a compliance-relevant defect, not a cosmetic one.</w:t>
      </w:r>
    </w:p>
    <w:p>
      <w:pPr>
        <w:pStyle w:val="Heading2"/>
        <w:spacing w:after="110" w:before="240"/>
      </w:pPr>
      <w:r>
        <w:t xml:space="preserve">5.3 Patient Access API</w:t>
      </w:r>
    </w:p>
    <w:tbl>
      <w:tblPr>
        <w:tblW w:type="dxa" w:w="1110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600"/>
        <w:gridCol w:w="3600"/>
        <w:gridCol w:w="2900"/>
        <w:gridCol w:w="2000"/>
      </w:tblGrid>
      <w:tr>
        <w:trPr>
          <w:tblHeader/>
        </w:trPr>
        <w:tc>
          <w:tcPr>
            <w:tcW w:type="dxa" w:w="26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6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What's Verified</w:t>
            </w:r>
          </w:p>
        </w:tc>
        <w:tc>
          <w:tcPr>
            <w:tcW w:type="dxa" w:w="29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20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FHIR resource reads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Coverage, USCDI v3 clinical data, and prior-authorization history resolve and validate against FHIR R4 / US Core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 (tests/fhir/*, tests/evidence/evidenceRecord.test.ts)</w:t>
            </w:r>
          </w:p>
        </w:tc>
        <w:tc>
          <w:tcPr>
            <w:tcW w:type="dxa" w:w="2000"/>
            <w:shd w:fill="DAFB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7F37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Denial-reason display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denied claim carries a specific, structured denial reason rather than a bare denial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 (tests/evidence)</w:t>
            </w:r>
          </w:p>
        </w:tc>
        <w:tc>
          <w:tcPr>
            <w:tcW w:type="dxa" w:w="2000"/>
            <w:shd w:fill="DAFB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7F37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USCDI v3 class coverage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Condition class live; remaining classes not yet onboarded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N/A — feature gap, not a test gap</w:t>
            </w:r>
          </w:p>
        </w:tc>
        <w:tc>
          <w:tcPr>
            <w:tcW w:type="dxa" w:w="20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0020"/>
                <w:sz w:val="18"/>
                <w:szCs w:val="18"/>
              </w:rPr>
              <w:t xml:space="preserve">Out of scope until classes are built (RFI 5.2.1)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Consent panel / data-source indicator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Member sees what is shared and its origin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covered by an automated test today</w:t>
            </w:r>
          </w:p>
        </w:tc>
        <w:tc>
          <w:tcPr>
            <w:tcW w:type="dxa" w:w="20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0020"/>
                <w:sz w:val="18"/>
                <w:szCs w:val="18"/>
              </w:rPr>
              <w:t xml:space="preserve">Gap — recommend a component test</w:t>
            </w:r>
          </w:p>
        </w:tc>
      </w:tr>
    </w:tbl>
    <w:p>
      <w:pPr>
        <w:pStyle w:val="Heading2"/>
        <w:spacing w:after="110" w:before="240"/>
      </w:pPr>
      <w:r>
        <w:t xml:space="preserve">5.4 Provider Access API</w:t>
      </w:r>
    </w:p>
    <w:tbl>
      <w:tblPr>
        <w:tblW w:type="dxa" w:w="1110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600"/>
        <w:gridCol w:w="3600"/>
        <w:gridCol w:w="2900"/>
        <w:gridCol w:w="2000"/>
      </w:tblGrid>
      <w:tr>
        <w:trPr>
          <w:tblHeader/>
        </w:trPr>
        <w:tc>
          <w:tcPr>
            <w:tcW w:type="dxa" w:w="26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6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What's Verified</w:t>
            </w:r>
          </w:p>
        </w:tc>
        <w:tc>
          <w:tcPr>
            <w:tcW w:type="dxa" w:w="29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20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$member-match operation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Standards-based member matching resolves correctly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Contract ("Provider Access - Member Match") + Unit (tests/identity)</w:t>
            </w:r>
          </w:p>
        </w:tc>
        <w:tc>
          <w:tcPr>
            <w:tcW w:type="dxa" w:w="2000"/>
            <w:shd w:fill="DAFB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7F37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Treatment-relationship authorization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Access requires a treatment relationship, a distinct basis from member-directed consent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 (tests/authz/guard.test.ts, 8 tests)</w:t>
            </w:r>
          </w:p>
        </w:tc>
        <w:tc>
          <w:tcPr>
            <w:tcW w:type="dxa" w:w="2000"/>
            <w:shd w:fill="DAFB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7F37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Opt-out consent enforcement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member's opt-out is honored at the same authorization check; break-glass still overrides correctly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 (tests/authz/guard.test.ts, tests/consent/providerAccessOptOut.test.ts, 5 tests)</w:t>
            </w:r>
          </w:p>
        </w:tc>
        <w:tc>
          <w:tcPr>
            <w:tcW w:type="dxa" w:w="2000"/>
            <w:shd w:fill="DAFB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7F37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Consent revocation flow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revoked consent takes effect and is reflected on the next access check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 (tests/consent/providerAccessOptOut.test.ts)</w:t>
            </w:r>
          </w:p>
        </w:tc>
        <w:tc>
          <w:tcPr>
            <w:tcW w:type="dxa" w:w="2000"/>
            <w:shd w:fill="DAFB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7F37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Cross-source identity resolution (MPI)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Deterministic rules (exact ID / name+DOB) and weighted probabilistic scoring resolve identity correctly across EMR, payer, and state-agency sources; audit trail is PHI-safe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 (tests/identity/matchEngine.test.ts 13, resolveIdentity.test.ts 6, resolveIdentityWithAudit.test.ts 2 — 21 total)</w:t>
            </w:r>
          </w:p>
        </w:tc>
        <w:tc>
          <w:tcPr>
            <w:tcW w:type="dxa" w:w="2000"/>
            <w:shd w:fill="DAFB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7F37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Bulk delivery to attributed panel (SMART Backend Services)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5-year look-back scoped export to a provider organization's panel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yet built</w:t>
            </w:r>
          </w:p>
        </w:tc>
        <w:tc>
          <w:tcPr>
            <w:tcW w:type="dxa" w:w="20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0020"/>
                <w:sz w:val="18"/>
                <w:szCs w:val="18"/>
              </w:rPr>
              <w:t xml:space="preserve">Gap — targeted Oct 2026, Dev Plan Workstream C</w:t>
            </w:r>
          </w:p>
        </w:tc>
      </w:tr>
    </w:tbl>
    <w:p>
      <w:pPr>
        <w:pStyle w:val="Heading2"/>
        <w:spacing w:after="110" w:before="240"/>
      </w:pPr>
      <w:r>
        <w:t xml:space="preserve">5.5 Cross-Cutting Capabilities</w:t>
      </w:r>
    </w:p>
    <w:tbl>
      <w:tblPr>
        <w:tblW w:type="dxa" w:w="1110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600"/>
        <w:gridCol w:w="3600"/>
        <w:gridCol w:w="2900"/>
        <w:gridCol w:w="2000"/>
      </w:tblGrid>
      <w:tr>
        <w:trPr>
          <w:tblHeader/>
        </w:trPr>
        <w:tc>
          <w:tcPr>
            <w:tcW w:type="dxa" w:w="26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6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What's Verified</w:t>
            </w:r>
          </w:p>
        </w:tc>
        <w:tc>
          <w:tcPr>
            <w:tcW w:type="dxa" w:w="29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20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Policy transformation (policy-to-FHIR)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Structured criteria evaluate correctly against real-world payer policy corpus; gold-carding logic; propensity/submission-readiness scoring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 (tests/policy/*: policyEngine 11, corpusAccuracy 5, criteria 7, goldCarding 8, propensity 6 — 37 total)</w:t>
            </w:r>
          </w:p>
        </w:tc>
        <w:tc>
          <w:tcPr>
            <w:tcW w:type="dxa" w:w="2000"/>
            <w:shd w:fill="DAFB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7F37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logging (PHI-safe)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Every determination/evidence step is timestamped and append-only; audit events never carry raw clinical payloads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 (tests/server/audit.test.ts, correlation.test.ts — 7 total)</w:t>
            </w:r>
          </w:p>
        </w:tc>
        <w:tc>
          <w:tcPr>
            <w:tcW w:type="dxa" w:w="2000"/>
            <w:shd w:fill="DAFB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7F37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Workflow state machine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Prior-auth case states transition only through valid paths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 (tests/workflow/paMachine.test.ts)</w:t>
            </w:r>
          </w:p>
        </w:tc>
        <w:tc>
          <w:tcPr>
            <w:tcW w:type="dxa" w:w="2000"/>
            <w:shd w:fill="DAFB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7F37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Network-adequacy analytics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Gap analysis by specialty/county/line-of-business runs deterministically, no external AI-service dependency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 (tests/networkAdequacy/*, 16 tests)</w:t>
            </w:r>
          </w:p>
        </w:tc>
        <w:tc>
          <w:tcPr>
            <w:tcW w:type="dxa" w:w="2000"/>
            <w:shd w:fill="DAFB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7F37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Deployment-scope isolation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Non-CMS-0057-F routes are blocked when DEPLOYMENT_SCOPE=cms0057f, so an HCA-facing deployment cannot serve unrelated client modules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 (tests/middleware/deploymentScope.test.ts, 4 tests)</w:t>
            </w:r>
          </w:p>
        </w:tc>
        <w:tc>
          <w:tcPr>
            <w:tcW w:type="dxa" w:w="2000"/>
            <w:shd w:fill="DAFB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7F37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Reviewer work queue + SLA timers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72h/7-day clocks compute correctly and flag breaches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 (tests/goldenThread/workQueueView.test.ts) + Contract + E2E</w:t>
            </w:r>
          </w:p>
        </w:tc>
        <w:tc>
          <w:tcPr>
            <w:tcW w:type="dxa" w:w="2000"/>
            <w:shd w:fill="DAFB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7F37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Policy monitoring mode (auto-detect library changes)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yet built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20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0020"/>
                <w:sz w:val="18"/>
                <w:szCs w:val="18"/>
              </w:rPr>
              <w:t xml:space="preserve">Gap — targeted Oct 2026, Dev Plan Workstream 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Reporting — CMS-required report pack, API usage reporting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Underlying data exists; report formats not yet generated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yet built</w:t>
            </w:r>
          </w:p>
        </w:tc>
        <w:tc>
          <w:tcPr>
            <w:tcW w:type="dxa" w:w="20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0020"/>
                <w:sz w:val="18"/>
                <w:szCs w:val="18"/>
              </w:rPr>
              <w:t xml:space="preserve">Gap — formats pending confirmation with HCA (RFI 5.5)</w:t>
            </w:r>
          </w:p>
        </w:tc>
      </w:tr>
    </w:tbl>
    <w:p>
      <w:pPr>
        <w:pStyle w:val="Heading1"/>
        <w:spacing w:after="140" w:before="320"/>
      </w:pPr>
      <w:r>
        <w:t xml:space="preserve">6. Entry &amp; Exit Criteria</w:t>
      </w:r>
    </w:p>
    <w:p>
      <w:pPr>
        <w:pStyle w:val="Heading2"/>
        <w:spacing w:after="110" w:before="240"/>
      </w:pPr>
      <w:r>
        <w:t xml:space="preserve">Entry Criteria (per change)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Code compiles clean: npm run type-check produces zero errors.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 unit suite passes locally: npm test (currently 178 main-app + 7 standalone = 185 tests) before a change is considered done.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PHI-safety, human-gating, or consent-enforcement test is skipped or weakened to make a change pass.</w:t>
      </w:r>
    </w:p>
    <w:p>
      <w:pPr>
        <w:pStyle w:val="Heading2"/>
        <w:spacing w:after="110" w:before="240"/>
      </w:pPr>
      <w:r>
        <w:t xml:space="preserve">Exit Criteria (per level, before promoting to the next)</w:t>
      </w:r>
    </w:p>
    <w:tbl>
      <w:tblPr>
        <w:tblW w:type="dxa" w:w="1000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3300"/>
        <w:gridCol w:w="6700"/>
      </w:tblGrid>
      <w:tr>
        <w:trPr>
          <w:tblHeader/>
        </w:trPr>
        <w:tc>
          <w:tcPr>
            <w:tcW w:type="dxa" w:w="33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67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Exit Criterion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 → Contract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100% of unit suites green; no known-flaky tests in the run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Contract → E2E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Newman collection passes against a freshly started dev server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E2E → Conformance Testing (separate plan)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Golden Thread e2e suite passes; all Section 5 gaps marked "Gap" above are either closed or explicitly accepted as out of scope for this conformance-testing pass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Conformance → Certification (separate plan)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Inferno self-service run passes for the provisions being certified — tracked in the Conformance Testing Plan workbook, not here</w:t>
            </w:r>
          </w:p>
        </w:tc>
      </w:tr>
    </w:tbl>
    <w:p>
      <w:pPr>
        <w:pStyle w:val="Heading1"/>
        <w:spacing w:after="140" w:before="320"/>
      </w:pPr>
      <w:r>
        <w:t xml:space="preserve">7. Defect Management</w:t>
      </w:r>
    </w:p>
    <w:p>
      <w:pPr>
        <w:spacing w:after="160"/>
      </w:pPr>
      <w:r>
        <w:rPr>
          <w:sz w:val="21"/>
          <w:szCs w:val="21"/>
        </w:rPr>
        <w:t xml:space="preserve">Severity is assigned by compliance and PHI impact first, functional impact second — this platform's highest-risk defect class is a silent human-gating or consent bypass, not a UI cosmetic issue.</w:t>
      </w:r>
    </w:p>
    <w:tbl>
      <w:tblPr>
        <w:tblW w:type="dxa" w:w="1000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1600"/>
        <w:gridCol w:w="3900"/>
        <w:gridCol w:w="4500"/>
      </w:tblGrid>
      <w:tr>
        <w:trPr>
          <w:tblHeader/>
        </w:trPr>
        <w:tc>
          <w:tcPr>
            <w:tcW w:type="dxa" w:w="16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9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45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Blocker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human-gating, consent, or PHI-safety guarantee can be bypassed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PAS submission is recorded without a named approver; an opt-out member's data is released; raw PHI appears in an audit event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CMS-0057-F provision does not function as specified, but no compliance guarantee is broken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CRD returns an incorrect PA-required determination; DTR criteria tree marks a Gap as Met incorrectly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capability works but produces an incorrect or incomplete result under a defined condition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Bulk export dedup misses a duplicate under a specific ordering of callbacks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Minor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Cosmetic, UX, or non-blocking issue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SLA-breach flag color is inconsistent between two screens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Blocker and Critical defects halt promotion to the next test level (Section 6) until resolved and covered by a regression test.</w:t>
      </w:r>
    </w:p>
    <w:p>
      <w:pPr>
        <w:pStyle w:val="Heading1"/>
        <w:spacing w:after="140" w:before="320"/>
      </w:pPr>
      <w:r>
        <w:t xml:space="preserve">8. Roles &amp; Responsibilities</w:t>
      </w:r>
    </w:p>
    <w:tbl>
      <w:tblPr>
        <w:tblW w:type="dxa" w:w="1000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4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Engineer (feature owner)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Writes/maintains unit tests for the code they change; keeps the full suite green before merge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QA Engineer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Owns contract-test collection and e2e suite; triages failures by severity; maintains test-data seeding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 Lead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Owns entry/exit-criteria enforcement between levels; approves exceptions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Clinical/Product SME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Reviews policy-transformation test corpus for clinical accuracy; not a code-testing role but gates policy criteria sign-off (RFI 5.3.2)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IBM (this engagement)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Executes this plan using AI-assisted development and testing where the task is Full Automation or AI-Assisted (see Dev Plan workbook's AI-feasibility classification); flags Human-Required items explicitly rather than silently narrowing scope</w:t>
            </w:r>
          </w:p>
        </w:tc>
      </w:tr>
    </w:tbl>
    <w:p>
      <w:pPr>
        <w:pStyle w:val="Heading1"/>
        <w:spacing w:after="140" w:before="320"/>
      </w:pPr>
      <w:r>
        <w:t xml:space="preserve">9. Test Data Management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lower-environment testing uses synthetic data only — the seeded "Maria" persona bundle (tests/seed/maria-bundle.test.ts) and equivalent synthetic providers/payers. No real member PHI is used below the staging backbone.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fixtures are version-controlled alongside the tests that use them, so a failing test's expected data is always reviewable in the same diff as the code change.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Contract tests (Postman) run against a fresh dev-server instance seeded the same way on every run, so results are reproducible.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Before any staging-backbone or production-adjacent testing, a separate data-handling review is recommended to confirm no synthetic-data assumption has silently become a real-data path.</w:t>
      </w:r>
    </w:p>
    <w:p>
      <w:pPr>
        <w:pStyle w:val="Heading1"/>
        <w:spacing w:after="140" w:before="320"/>
      </w:pPr>
      <w:r>
        <w:t xml:space="preserve">10. Risks &amp; Mitigations</w:t>
      </w:r>
    </w:p>
    <w:tbl>
      <w:tblPr>
        <w:tblW w:type="dxa" w:w="1000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3200"/>
        <w:gridCol w:w="2800"/>
        <w:gridCol w:w="4000"/>
      </w:tblGrid>
      <w:tr>
        <w:trPr>
          <w:tblHeader/>
        </w:trPr>
        <w:tc>
          <w:tcPr>
            <w:tcW w:type="dxa" w:w="32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8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0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Payer-to-Payer opt-in consent gate has no automated test enforcing it (Section 5.2)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regression could silently allow export without consent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a guard-level unit test mirroring tests/authz/guard.test.ts's opt-out coverage; treat as a near-term priority, not a someday item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E2E suite is smoke-depth only (5 scenarios, 1 spec file)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regression in an untested UI path reaches later stages before being caught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Expand Playwright coverage per provision as each Dev Plan workstream closes (Section 5), prioritizing Provider Access and Payer-to-Payer next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First-time Inferno conformance run commonly surfaces issues even when unit tests pass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Schedule risk to the Conformance Testing Plan's dated timeline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Already flagged in the Conformance Testing Plan and RFI response; not new, restated here for visibility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formalized manual/exploratory test charter per provision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Accessibility, cross-browser, and UX edge cases have no owner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Recommend a lightweight charter (1-2 pages) per provision before HCA-facing UAT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Automated test counts are cited as evidence in the RFI response and Conformance Testing Plan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If the suite count drifts without updating those documents, IBM would be citing a stale figure to a state evaluator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Re-run and re-verify the count (npm test) before any revision of an HCA-facing document — already the practice used to produce this plan (185 tests confirmed August 8, 2026)</w:t>
            </w:r>
          </w:p>
        </w:tc>
      </w:tr>
    </w:tbl>
    <w:p>
      <w:pPr>
        <w:pStyle w:val="Heading1"/>
        <w:spacing w:after="140" w:before="320"/>
      </w:pPr>
      <w:r>
        <w:t xml:space="preserve">11. Schedule</w:t>
      </w:r>
    </w:p>
    <w:p>
      <w:pPr>
        <w:spacing w:after="160"/>
      </w:pPr>
      <w:r>
        <w:rPr>
          <w:sz w:val="21"/>
          <w:szCs w:val="21"/>
        </w:rPr>
        <w:t xml:space="preserve">This plan runs continuously alongside two dated workbooks already in place, rather than on its own separate timeline: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Development Plan — Gap Closure (CMS-0057-F Conformance Testing Project Plan workbook, "Dev Plan" tabs): as each remaining workstream (Provider Access bulk export, policy monitoring, live backbone integration, documentation) closes, this plan's corresponding "Gap" rows in Section 5 move to "Covered" and new unit/contract tests land with the code.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Standards-Conformance Testing Plan (same workbook, "Project Plan"/"Gantt Chart" tabs): begins once this plan's exit criteria (Section 6) are met for the provisions being tested.</w:t>
      </w:r>
    </w:p>
    <w:p>
      <w:pPr>
        <w:spacing w:after="160"/>
      </w:pPr>
      <w:r>
        <w:rPr>
          <w:sz w:val="21"/>
          <w:szCs w:val="21"/>
        </w:rPr>
        <w:t xml:space="preserve">Recommended immediate next step: close the Payer-to-Payer consent-gate test gap and the e2e coverage gap (Section 10) in parallel with the remaining Dev Plan workstreams, since both are test-plan work rather than new-feature work and do not block on external decisions.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Appendix: Current Automated Test Inventory (as of August 8, 2026)</w:t>
      </w:r>
    </w:p>
    <w:p>
      <w:pPr>
        <w:spacing w:after="160"/>
      </w:pPr>
      <w:r>
        <w:rPr>
          <w:sz w:val="21"/>
          <w:szCs w:val="21"/>
        </w:rPr>
        <w:t xml:space="preserve">185 automated tests passing, zero failing, across 34 suites (32 main-app + 2 standalone SMART app). Verified by direct execution, not carried forward from a prior report.</w:t>
      </w:r>
    </w:p>
    <w:tbl>
      <w:tblPr>
        <w:tblW w:type="dxa" w:w="1000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0D0D0" w:sz="2"/>
          <w:insideV w:val="single" w:color="D0D0D0" w:sz="2"/>
        </w:tblBorders>
      </w:tblPr>
      <w:tblGrid>
        <w:gridCol w:w="5000"/>
        <w:gridCol w:w="1400"/>
        <w:gridCol w:w="3600"/>
      </w:tblGrid>
      <w:tr>
        <w:trPr>
          <w:tblHeader/>
        </w:trPr>
        <w:tc>
          <w:tcPr>
            <w:tcW w:type="dxa" w:w="50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Suite</w:t>
            </w:r>
          </w:p>
        </w:tc>
        <w:tc>
          <w:tcPr>
            <w:tcW w:type="dxa" w:w="14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360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Provision / Area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tests/authz/guard.test.ts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Provider Access — authorization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tests/backbone/config.test.ts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Cross-cutting — backbone config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tests/consent/providerAccessOptOut.test.ts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Provider Access — consent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tests/dtr/questionnaireResponse.test.ts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Prior Auth — DTR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tests/evidence/evidenceRecord.test.ts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Patient Access — evidence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tests/fhir/operationOutcome.test.ts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Cross-cutting — FHIR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tests/fhir/validate.test.ts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Cross-cutting — FHIR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tests/fhir/viewModels.test.ts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Cross-cutting — FHIR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tests/flags/flags.test.ts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Cross-cutting — feature flags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tests/goldenThread/dtrAndIngest.test.ts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Prior Auth — DTR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tests/goldenThread/dtrGenerator.test.ts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Prior Auth — DTR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tests/goldenThread/hardening.test.ts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Cross-cutting — Golden Thread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tests/goldenThread/medicalNecessity.test.ts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Prior Auth — CRD/DTR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tests/goldenThread/orchestrator.test.ts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Prior Auth — CRD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tests/goldenThread/stages.test.ts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Cross-cutting — Golden Thread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tests/goldenThread/workQueueView.test.ts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Cross-cutting — reviewer work queue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tests/identity/matchEngine.test.ts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Provider Access — MPI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tests/identity/resolveIdentity.test.ts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Provider Access — MPI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tests/identity/resolveIdentityWithAudit.test.ts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Provider Access — MPI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tests/middleware/deploymentScope.test.ts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Cross-cutting — deployment scope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tests/networkAdequacy/adequacy.test.ts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Cross-cutting — reporting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tests/networkAdequacy/assistant.test.ts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Cross-cutting — reporting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tests/policy/corpusAccuracy.test.ts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Cross-cutting — policy transformation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tests/policy/criteria.test.ts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Prior Auth — CRD/DTR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tests/policy/goldCarding.test.ts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Cross-cutting — policy transformation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tests/policy/policyEngine.test.ts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Cross-cutting — policy transformation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tests/policy/propensity.test.ts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Cross-cutting — submission-readiness scoring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tests/seed/maria-bundle.test.ts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 data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tests/server/audit.test.ts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Cross-cutting — audit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tests/server/correlation.test.ts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Cross-cutting — audit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tests/workflow/bulkJob.test.ts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Payer-to-Payer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tests/workflow/paMachine.test.ts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Prior Auth — PAS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PA-Standalone-SmartApp/src/test/cdexDocumentReference.test.ts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Prior Auth — DTR (CDex)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PA-Standalone-SmartApp/src/test/ediRoute.test.ts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Prior Auth — PAS (EDI)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/>
      </w:r>
    </w:p>
    <w:p>
      <w:pPr>
        <w:spacing w:after="100"/>
      </w:pPr>
      <w:r>
        <w:rPr>
          <w:b/>
          <w:bCs/>
          <w:sz w:val="21"/>
          <w:szCs w:val="21"/>
        </w:rPr>
        <w:t xml:space="preserve">Also in place (not counted above):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tools/contract/cms0057f.postman_collection.json — 8-request contract-test collection (CDS Hooks Discovery, DTR Package Retrieval, Provider Access Member Match, PAS Submit x2, Bulk Export Start, Reviewer Work Queue, Financial Clearance), run via npm run test:contract.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e2e/golden-thread.spec.ts — Playwright suite, 5 scenarios (CMS hub, Financial Clearance x3, Reviewer Work Queue), run via npm run test:e2e.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2026-08-08T10:57:59.912Z</dcterms:created>
  <dcterms:modified xsi:type="dcterms:W3CDTF">2026-08-08T10:57:59.912Z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