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595959"/>
          <w:sz w:val="24"/>
          <w:szCs w:val="24"/>
          <w:rtl w:val="0"/>
        </w:rPr>
        <w:t xml:space="preserve">UNIVERSIDADE ESTADUAL DE CAMPINAS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595959"/>
          <w:sz w:val="24"/>
          <w:szCs w:val="24"/>
          <w:rtl w:val="0"/>
        </w:rPr>
        <w:t xml:space="preserve">FACULDADE DE TECNOLOGIA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sz w:val="36"/>
          <w:szCs w:val="36"/>
          <w:rtl w:val="0"/>
        </w:rPr>
        <w:t xml:space="preserve">Documento de Especificação</w:t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595959"/>
          <w:sz w:val="32"/>
          <w:szCs w:val="32"/>
          <w:rtl w:val="0"/>
        </w:rPr>
        <w:t xml:space="preserve">Sistema Sapataria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ind w:left="5040" w:firstLine="0"/>
        <w:contextualSpacing w:val="0"/>
        <w:jc w:val="righ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595959"/>
          <w:sz w:val="24"/>
          <w:szCs w:val="24"/>
          <w:rtl w:val="0"/>
        </w:rPr>
        <w:t xml:space="preserve">Trabalho da disciplina de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ind w:left="5040" w:firstLine="0"/>
        <w:contextualSpacing w:val="0"/>
        <w:jc w:val="righ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595959"/>
          <w:sz w:val="24"/>
          <w:szCs w:val="24"/>
          <w:rtl w:val="0"/>
        </w:rPr>
        <w:t xml:space="preserve"> Engenharia de Software II (SI304 B),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ind w:left="5040" w:firstLine="0"/>
        <w:contextualSpacing w:val="0"/>
        <w:jc w:val="righ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595959"/>
          <w:sz w:val="24"/>
          <w:szCs w:val="24"/>
          <w:rtl w:val="0"/>
        </w:rPr>
        <w:t xml:space="preserve">Faculdade de Tecnologia da Unicamp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ind w:left="4320" w:firstLine="0"/>
        <w:contextualSpacing w:val="0"/>
        <w:jc w:val="righ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595959"/>
          <w:sz w:val="24"/>
          <w:szCs w:val="24"/>
          <w:rtl w:val="0"/>
        </w:rPr>
        <w:t xml:space="preserve">Professor: Pedro Ivo Garcia Nunes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595959"/>
          <w:sz w:val="24"/>
          <w:szCs w:val="24"/>
          <w:rtl w:val="0"/>
        </w:rPr>
        <w:t xml:space="preserve">São Paulo – Limeira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>
          <w:rFonts w:ascii="Times" w:cs="Times" w:eastAsia="Times" w:hAnsi="Times"/>
          <w:color w:val="595959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595959"/>
          <w:sz w:val="24"/>
          <w:szCs w:val="24"/>
          <w:rtl w:val="0"/>
        </w:rPr>
        <w:t xml:space="preserve">1º sem/2017</w:t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Histórico de Revisão  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27/05/2017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Criação do documento de especificação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Gabriel Kiciolar Campos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30/05/2017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Diagrama de fluxo de dados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Gabriel Kiciolar Campos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Modelos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200" w:line="276" w:lineRule="auto"/>
        <w:ind w:left="720" w:hanging="360"/>
        <w:contextualSpacing w:val="1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Diagrama de caso de uso</w:t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200" w:line="276" w:lineRule="auto"/>
        <w:ind w:left="720" w:hanging="360"/>
        <w:contextualSpacing w:val="1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Caso de uso textual</w:t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200" w:line="276" w:lineRule="auto"/>
        <w:ind w:left="720" w:hanging="360"/>
        <w:contextualSpacing w:val="1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Diagrama de fluxo de dados</w:t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ind w:left="36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drawing>
          <wp:inline distB="114300" distT="114300" distL="114300" distR="114300">
            <wp:extent cx="6315746" cy="36528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746" cy="3652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ind w:left="360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