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B769" w14:textId="3158383F" w:rsidR="00162E43" w:rsidRDefault="00162E43" w:rsidP="00162E43">
      <w:pPr>
        <w:spacing w:line="360" w:lineRule="auto"/>
        <w:rPr>
          <w:rFonts w:ascii="Times New Roman" w:hAnsi="Times New Roman" w:cs="Times New Roman"/>
          <w:b/>
          <w:bCs/>
        </w:rPr>
      </w:pPr>
      <w:r w:rsidRPr="00162E43">
        <w:rPr>
          <w:rFonts w:ascii="Times New Roman" w:hAnsi="Times New Roman" w:cs="Times New Roman"/>
          <w:b/>
          <w:bCs/>
        </w:rPr>
        <w:t>Patient Consent Statement</w:t>
      </w:r>
    </w:p>
    <w:p w14:paraId="2C189BF2" w14:textId="26F7BEC6" w:rsidR="00162E43" w:rsidRPr="00162E43" w:rsidRDefault="00162E43" w:rsidP="00162E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was a retrospective data analysis study approved by the Memorial Sloan Kettering institutional review board (</w:t>
      </w:r>
      <w:r w:rsidRPr="00162E43">
        <w:rPr>
          <w:rFonts w:ascii="Times New Roman" w:hAnsi="Times New Roman" w:cs="Times New Roman"/>
        </w:rPr>
        <w:t>ID: 16-328</w:t>
      </w:r>
      <w:r>
        <w:rPr>
          <w:rFonts w:ascii="Times New Roman" w:hAnsi="Times New Roman" w:cs="Times New Roman"/>
        </w:rPr>
        <w:t>). The data was obtained with a waiver of informed consent.</w:t>
      </w:r>
    </w:p>
    <w:sectPr w:rsidR="00162E43" w:rsidRPr="0016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43"/>
    <w:rsid w:val="001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4F0"/>
  <w15:chartTrackingRefBased/>
  <w15:docId w15:val="{7FFA3080-EC6B-47D5-BC61-DC9EF7BF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1</cp:revision>
  <dcterms:created xsi:type="dcterms:W3CDTF">2022-01-31T05:15:00Z</dcterms:created>
  <dcterms:modified xsi:type="dcterms:W3CDTF">2022-01-31T05:18:00Z</dcterms:modified>
</cp:coreProperties>
</file>