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A36" w:rsidRDefault="004B1780">
      <w:pPr>
        <w:spacing w:line="360" w:lineRule="auto"/>
        <w:jc w:val="center"/>
        <w:rPr>
          <w:sz w:val="24"/>
          <w:szCs w:val="24"/>
        </w:rPr>
      </w:pPr>
      <w:r>
        <w:rPr>
          <w:sz w:val="24"/>
          <w:szCs w:val="24"/>
        </w:rPr>
        <w:t xml:space="preserve"> UNIVERSIDAD CIENTÍFICA DEL SUR</w:t>
      </w:r>
    </w:p>
    <w:p w:rsidR="00411A36" w:rsidRDefault="00411A36">
      <w:pPr>
        <w:spacing w:line="360" w:lineRule="auto"/>
        <w:jc w:val="center"/>
        <w:rPr>
          <w:sz w:val="24"/>
          <w:szCs w:val="24"/>
        </w:rPr>
      </w:pPr>
    </w:p>
    <w:p w:rsidR="00411A36" w:rsidRDefault="004B1780">
      <w:pPr>
        <w:jc w:val="center"/>
      </w:pPr>
      <w:r>
        <w:rPr>
          <w:noProof/>
        </w:rPr>
        <w:drawing>
          <wp:inline distT="0" distB="0" distL="0" distR="0">
            <wp:extent cx="2009775" cy="8191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09775" cy="819150"/>
                    </a:xfrm>
                    <a:prstGeom prst="rect">
                      <a:avLst/>
                    </a:prstGeom>
                    <a:ln/>
                  </pic:spPr>
                </pic:pic>
              </a:graphicData>
            </a:graphic>
          </wp:inline>
        </w:drawing>
      </w:r>
    </w:p>
    <w:p w:rsidR="00411A36" w:rsidRDefault="00411A36">
      <w:pPr>
        <w:jc w:val="center"/>
      </w:pPr>
    </w:p>
    <w:p w:rsidR="00411A36" w:rsidRDefault="004B1780">
      <w:pPr>
        <w:jc w:val="center"/>
        <w:rPr>
          <w:sz w:val="24"/>
          <w:szCs w:val="24"/>
        </w:rPr>
      </w:pPr>
      <w:r>
        <w:rPr>
          <w:sz w:val="24"/>
          <w:szCs w:val="24"/>
        </w:rPr>
        <w:t xml:space="preserve">CURSO: </w:t>
      </w:r>
    </w:p>
    <w:p w:rsidR="00411A36" w:rsidRDefault="004B1780">
      <w:pPr>
        <w:jc w:val="center"/>
        <w:rPr>
          <w:sz w:val="24"/>
          <w:szCs w:val="24"/>
        </w:rPr>
      </w:pPr>
      <w:r>
        <w:rPr>
          <w:sz w:val="24"/>
          <w:szCs w:val="24"/>
        </w:rPr>
        <w:t>ANÁLISIS DE LA REALIDAD NACIONAL Y AMBIENTAL</w:t>
      </w:r>
    </w:p>
    <w:p w:rsidR="00411A36" w:rsidRDefault="004B1780">
      <w:pPr>
        <w:jc w:val="center"/>
        <w:rPr>
          <w:sz w:val="24"/>
          <w:szCs w:val="24"/>
        </w:rPr>
      </w:pPr>
      <w:r>
        <w:rPr>
          <w:sz w:val="24"/>
          <w:szCs w:val="24"/>
        </w:rPr>
        <w:t xml:space="preserve">Profesor: Giovanni Paolo </w:t>
      </w:r>
      <w:proofErr w:type="spellStart"/>
      <w:r>
        <w:rPr>
          <w:sz w:val="24"/>
          <w:szCs w:val="24"/>
        </w:rPr>
        <w:t>Figari</w:t>
      </w:r>
      <w:proofErr w:type="spellEnd"/>
      <w:r>
        <w:rPr>
          <w:sz w:val="24"/>
          <w:szCs w:val="24"/>
        </w:rPr>
        <w:t xml:space="preserve"> Salas</w:t>
      </w:r>
    </w:p>
    <w:p w:rsidR="00411A36" w:rsidRDefault="004B1780">
      <w:pPr>
        <w:jc w:val="center"/>
        <w:rPr>
          <w:sz w:val="24"/>
          <w:szCs w:val="24"/>
        </w:rPr>
      </w:pPr>
      <w:r>
        <w:rPr>
          <w:sz w:val="24"/>
          <w:szCs w:val="24"/>
        </w:rPr>
        <w:t>Ciclo 2026 - 2</w:t>
      </w:r>
    </w:p>
    <w:p w:rsidR="00411A36" w:rsidRDefault="00411A36">
      <w:pPr>
        <w:jc w:val="center"/>
        <w:rPr>
          <w:sz w:val="24"/>
          <w:szCs w:val="24"/>
        </w:rPr>
      </w:pPr>
    </w:p>
    <w:p w:rsidR="00411A36" w:rsidRDefault="004B1780">
      <w:pPr>
        <w:jc w:val="center"/>
        <w:rPr>
          <w:b/>
          <w:bCs/>
          <w:sz w:val="24"/>
          <w:szCs w:val="24"/>
        </w:rPr>
      </w:pPr>
      <w:r>
        <w:rPr>
          <w:b/>
          <w:bCs/>
          <w:sz w:val="24"/>
          <w:szCs w:val="24"/>
        </w:rPr>
        <w:t>EVALUACIÓN CONTINUA 1</w:t>
      </w:r>
    </w:p>
    <w:p w:rsidR="00411A36" w:rsidRDefault="004B1780">
      <w:pPr>
        <w:jc w:val="center"/>
        <w:rPr>
          <w:b/>
          <w:bCs/>
          <w:sz w:val="24"/>
          <w:szCs w:val="24"/>
        </w:rPr>
      </w:pPr>
      <w:r>
        <w:rPr>
          <w:b/>
          <w:bCs/>
          <w:sz w:val="24"/>
          <w:szCs w:val="24"/>
        </w:rPr>
        <w:t>PROBLEMÁTICA DE LA AGROEXPORTACIÓN EN EL PERÚ:</w:t>
      </w:r>
    </w:p>
    <w:p w:rsidR="00411A36" w:rsidRDefault="004B1780">
      <w:pPr>
        <w:jc w:val="center"/>
        <w:rPr>
          <w:b/>
          <w:bCs/>
          <w:sz w:val="24"/>
          <w:szCs w:val="24"/>
        </w:rPr>
      </w:pPr>
      <w:r>
        <w:rPr>
          <w:b/>
          <w:bCs/>
          <w:sz w:val="24"/>
          <w:szCs w:val="24"/>
        </w:rPr>
        <w:t>IMPACTO EN EL ÁMBITO SOCIOAMBIENTAL</w:t>
      </w:r>
    </w:p>
    <w:p w:rsidR="00411A36" w:rsidRDefault="00411A36">
      <w:pPr>
        <w:jc w:val="center"/>
        <w:rPr>
          <w:sz w:val="24"/>
          <w:szCs w:val="24"/>
        </w:rPr>
      </w:pPr>
    </w:p>
    <w:p w:rsidR="00411A36" w:rsidRDefault="004B1780" w:rsidP="00BD0C3D">
      <w:pPr>
        <w:ind w:left="3108" w:firstLine="720"/>
        <w:rPr>
          <w:sz w:val="24"/>
          <w:szCs w:val="24"/>
        </w:rPr>
      </w:pPr>
      <w:r>
        <w:rPr>
          <w:sz w:val="24"/>
          <w:szCs w:val="24"/>
        </w:rPr>
        <w:t>GRUPO 1:</w:t>
      </w:r>
    </w:p>
    <w:p w:rsidR="00411A36" w:rsidRDefault="00411A36">
      <w:pPr>
        <w:jc w:val="center"/>
        <w:rPr>
          <w:sz w:val="24"/>
          <w:szCs w:val="24"/>
        </w:rPr>
      </w:pPr>
    </w:p>
    <w:p w:rsidR="00411A36" w:rsidRDefault="004B1780">
      <w:pPr>
        <w:spacing w:line="360" w:lineRule="auto"/>
        <w:jc w:val="center"/>
        <w:rPr>
          <w:sz w:val="24"/>
          <w:szCs w:val="24"/>
        </w:rPr>
      </w:pPr>
      <w:r>
        <w:rPr>
          <w:sz w:val="24"/>
          <w:szCs w:val="24"/>
        </w:rPr>
        <w:t xml:space="preserve">100221138 - García </w:t>
      </w:r>
      <w:proofErr w:type="spellStart"/>
      <w:r>
        <w:rPr>
          <w:sz w:val="24"/>
          <w:szCs w:val="24"/>
        </w:rPr>
        <w:t>Mori</w:t>
      </w:r>
      <w:proofErr w:type="spellEnd"/>
      <w:r>
        <w:rPr>
          <w:sz w:val="24"/>
          <w:szCs w:val="24"/>
        </w:rPr>
        <w:t>, Luis Miguel</w:t>
      </w:r>
    </w:p>
    <w:p w:rsidR="00411A36" w:rsidRDefault="004B1780">
      <w:pPr>
        <w:spacing w:line="360" w:lineRule="auto"/>
        <w:jc w:val="center"/>
        <w:rPr>
          <w:sz w:val="24"/>
          <w:szCs w:val="24"/>
        </w:rPr>
      </w:pPr>
      <w:r>
        <w:rPr>
          <w:sz w:val="24"/>
          <w:szCs w:val="24"/>
        </w:rPr>
        <w:t xml:space="preserve">100035063 - García </w:t>
      </w:r>
      <w:proofErr w:type="spellStart"/>
      <w:r>
        <w:rPr>
          <w:sz w:val="24"/>
          <w:szCs w:val="24"/>
        </w:rPr>
        <w:t>Valdera</w:t>
      </w:r>
      <w:proofErr w:type="spellEnd"/>
      <w:r>
        <w:rPr>
          <w:sz w:val="24"/>
          <w:szCs w:val="24"/>
        </w:rPr>
        <w:t>, Enrique</w:t>
      </w:r>
    </w:p>
    <w:p w:rsidR="00411A36" w:rsidRDefault="004B1780">
      <w:pPr>
        <w:spacing w:line="360" w:lineRule="auto"/>
        <w:jc w:val="center"/>
        <w:rPr>
          <w:sz w:val="24"/>
          <w:szCs w:val="24"/>
        </w:rPr>
      </w:pPr>
      <w:r>
        <w:rPr>
          <w:sz w:val="24"/>
          <w:szCs w:val="24"/>
        </w:rPr>
        <w:t xml:space="preserve">100221024 - Marchan Infante, </w:t>
      </w:r>
      <w:proofErr w:type="spellStart"/>
      <w:r>
        <w:rPr>
          <w:sz w:val="24"/>
          <w:szCs w:val="24"/>
        </w:rPr>
        <w:t>Enni</w:t>
      </w:r>
      <w:proofErr w:type="spellEnd"/>
      <w:r>
        <w:rPr>
          <w:sz w:val="24"/>
          <w:szCs w:val="24"/>
        </w:rPr>
        <w:t xml:space="preserve"> Juliana </w:t>
      </w:r>
    </w:p>
    <w:p w:rsidR="00411A36" w:rsidRDefault="004B1780">
      <w:pPr>
        <w:spacing w:line="360" w:lineRule="auto"/>
        <w:jc w:val="center"/>
        <w:rPr>
          <w:sz w:val="24"/>
          <w:szCs w:val="24"/>
        </w:rPr>
      </w:pPr>
      <w:r>
        <w:rPr>
          <w:sz w:val="24"/>
          <w:szCs w:val="24"/>
        </w:rPr>
        <w:t xml:space="preserve">100233029 - </w:t>
      </w:r>
      <w:proofErr w:type="spellStart"/>
      <w:r>
        <w:rPr>
          <w:sz w:val="24"/>
          <w:szCs w:val="24"/>
        </w:rPr>
        <w:t>Rozand</w:t>
      </w:r>
      <w:proofErr w:type="spellEnd"/>
      <w:r>
        <w:rPr>
          <w:sz w:val="24"/>
          <w:szCs w:val="24"/>
        </w:rPr>
        <w:t xml:space="preserve"> Copara, Erick Enrique</w:t>
      </w:r>
    </w:p>
    <w:p w:rsidR="00411A36" w:rsidRDefault="004B1780">
      <w:pPr>
        <w:spacing w:line="360" w:lineRule="auto"/>
        <w:jc w:val="center"/>
        <w:rPr>
          <w:sz w:val="24"/>
          <w:szCs w:val="24"/>
        </w:rPr>
      </w:pPr>
      <w:r>
        <w:rPr>
          <w:sz w:val="24"/>
          <w:szCs w:val="24"/>
        </w:rPr>
        <w:t xml:space="preserve">100228037 - Sedano Reyes, Ricky </w:t>
      </w:r>
      <w:proofErr w:type="spellStart"/>
      <w:r>
        <w:rPr>
          <w:sz w:val="24"/>
          <w:szCs w:val="24"/>
        </w:rPr>
        <w:t>Jhony</w:t>
      </w:r>
      <w:proofErr w:type="spellEnd"/>
    </w:p>
    <w:p w:rsidR="00411A36" w:rsidRDefault="004B1780">
      <w:pPr>
        <w:spacing w:line="360" w:lineRule="auto"/>
        <w:jc w:val="center"/>
        <w:rPr>
          <w:sz w:val="24"/>
          <w:szCs w:val="24"/>
        </w:rPr>
      </w:pPr>
      <w:r>
        <w:rPr>
          <w:sz w:val="24"/>
          <w:szCs w:val="24"/>
        </w:rPr>
        <w:t xml:space="preserve">100228809 - </w:t>
      </w:r>
      <w:proofErr w:type="spellStart"/>
      <w:r>
        <w:rPr>
          <w:sz w:val="24"/>
          <w:szCs w:val="24"/>
        </w:rPr>
        <w:t>Vasquez</w:t>
      </w:r>
      <w:proofErr w:type="spellEnd"/>
      <w:r>
        <w:rPr>
          <w:sz w:val="24"/>
          <w:szCs w:val="24"/>
        </w:rPr>
        <w:t xml:space="preserve"> Morales, Milagros</w:t>
      </w:r>
    </w:p>
    <w:p w:rsidR="00411A36" w:rsidRDefault="00411A36">
      <w:pPr>
        <w:spacing w:before="120" w:after="120" w:line="240" w:lineRule="auto"/>
        <w:jc w:val="center"/>
        <w:rPr>
          <w:b/>
          <w:bCs/>
          <w:sz w:val="24"/>
          <w:szCs w:val="24"/>
        </w:rPr>
      </w:pPr>
    </w:p>
    <w:p w:rsidR="00463E3A" w:rsidRDefault="00463E3A">
      <w:pPr>
        <w:spacing w:before="120" w:after="120" w:line="240" w:lineRule="auto"/>
        <w:jc w:val="center"/>
        <w:rPr>
          <w:b/>
          <w:bCs/>
          <w:sz w:val="24"/>
          <w:szCs w:val="24"/>
        </w:rPr>
      </w:pPr>
    </w:p>
    <w:p w:rsidR="00463E3A" w:rsidRDefault="00463E3A">
      <w:pPr>
        <w:spacing w:before="120" w:after="120" w:line="240" w:lineRule="auto"/>
        <w:jc w:val="center"/>
        <w:rPr>
          <w:sz w:val="24"/>
          <w:szCs w:val="24"/>
        </w:rPr>
      </w:pPr>
    </w:p>
    <w:p w:rsidR="00411A36" w:rsidRDefault="004B1780">
      <w:pPr>
        <w:spacing w:line="360" w:lineRule="auto"/>
        <w:jc w:val="center"/>
        <w:rPr>
          <w:sz w:val="24"/>
          <w:szCs w:val="24"/>
        </w:rPr>
      </w:pPr>
      <w:r>
        <w:rPr>
          <w:sz w:val="24"/>
          <w:szCs w:val="24"/>
        </w:rPr>
        <w:t>Lima – 2026</w:t>
      </w:r>
    </w:p>
    <w:p w:rsidR="00411A36" w:rsidRDefault="004B1780">
      <w:pPr>
        <w:pageBreakBefore/>
        <w:spacing w:after="400" w:line="240" w:lineRule="auto"/>
        <w:jc w:val="center"/>
        <w:rPr>
          <w:sz w:val="24"/>
          <w:szCs w:val="24"/>
        </w:rPr>
      </w:pPr>
      <w:r>
        <w:rPr>
          <w:b/>
          <w:bCs/>
          <w:sz w:val="24"/>
          <w:szCs w:val="24"/>
        </w:rPr>
        <w:lastRenderedPageBreak/>
        <w:t>Índice</w:t>
      </w:r>
    </w:p>
    <w:sdt>
      <w:sdtPr>
        <w:id w:val="-1320841826"/>
        <w:docPartObj>
          <w:docPartGallery w:val="Table of Contents"/>
          <w:docPartUnique/>
        </w:docPartObj>
      </w:sdtPr>
      <w:sdtEndPr/>
      <w:sdtContent>
        <w:p w:rsidR="00411A36" w:rsidRDefault="004B1780">
          <w:pPr>
            <w:widowControl w:val="0"/>
            <w:tabs>
              <w:tab w:val="right" w:pos="12000"/>
            </w:tabs>
            <w:spacing w:before="60" w:after="0" w:line="240" w:lineRule="auto"/>
            <w:rPr>
              <w:b/>
              <w:bCs/>
              <w:color w:val="000000"/>
            </w:rPr>
          </w:pPr>
          <w:r>
            <w:fldChar w:fldCharType="begin"/>
          </w:r>
          <w:r>
            <w:instrText xml:space="preserve"> TOC \h \u \z \t "Heading 1,1,Heading 2,2,"</w:instrText>
          </w:r>
          <w:r>
            <w:fldChar w:fldCharType="separate"/>
          </w:r>
          <w:hyperlink w:anchor="_heading=h.wj2bifywcqu0">
            <w:r>
              <w:rPr>
                <w:b/>
                <w:bCs/>
                <w:color w:val="000000"/>
              </w:rPr>
              <w:t>1. INTRODUCCIÓN</w:t>
            </w:r>
            <w:r>
              <w:rPr>
                <w:b/>
                <w:bCs/>
                <w:color w:val="000000"/>
              </w:rPr>
              <w:tab/>
              <w:t>3</w:t>
            </w:r>
          </w:hyperlink>
        </w:p>
        <w:p w:rsidR="00411A36" w:rsidRDefault="00E85C45">
          <w:pPr>
            <w:widowControl w:val="0"/>
            <w:tabs>
              <w:tab w:val="right" w:pos="12000"/>
            </w:tabs>
            <w:spacing w:before="60" w:after="0" w:line="240" w:lineRule="auto"/>
            <w:rPr>
              <w:b/>
              <w:bCs/>
              <w:color w:val="000000"/>
            </w:rPr>
          </w:pPr>
          <w:hyperlink w:anchor="_heading=h.gv1ngjvo8ljn">
            <w:r w:rsidR="004B1780">
              <w:rPr>
                <w:b/>
                <w:bCs/>
                <w:color w:val="000000"/>
              </w:rPr>
              <w:t>2. DESCRIPCIÓN Y DIAGNÓSTICO DE LA PROBLEMÁTICA</w:t>
            </w:r>
            <w:r w:rsidR="004B1780">
              <w:rPr>
                <w:b/>
                <w:bCs/>
                <w:color w:val="000000"/>
              </w:rPr>
              <w:tab/>
              <w:t>4</w:t>
            </w:r>
          </w:hyperlink>
        </w:p>
        <w:p w:rsidR="00411A36" w:rsidRDefault="00E85C45">
          <w:pPr>
            <w:widowControl w:val="0"/>
            <w:tabs>
              <w:tab w:val="right" w:pos="12000"/>
            </w:tabs>
            <w:spacing w:before="60" w:after="0" w:line="240" w:lineRule="auto"/>
            <w:ind w:left="360"/>
            <w:rPr>
              <w:color w:val="000000"/>
            </w:rPr>
          </w:pPr>
          <w:hyperlink w:anchor="_heading=h.ksvxb9hfppr4">
            <w:r w:rsidR="004B1780">
              <w:rPr>
                <w:color w:val="000000"/>
              </w:rPr>
              <w:t>2.1. Descripción de la problemática</w:t>
            </w:r>
            <w:r w:rsidR="004B1780">
              <w:rPr>
                <w:color w:val="000000"/>
              </w:rPr>
              <w:tab/>
              <w:t>4</w:t>
            </w:r>
          </w:hyperlink>
        </w:p>
        <w:p w:rsidR="00411A36" w:rsidRDefault="00E85C45">
          <w:pPr>
            <w:widowControl w:val="0"/>
            <w:tabs>
              <w:tab w:val="right" w:pos="12000"/>
            </w:tabs>
            <w:spacing w:before="60" w:after="0" w:line="240" w:lineRule="auto"/>
            <w:ind w:left="360"/>
            <w:rPr>
              <w:color w:val="000000"/>
            </w:rPr>
          </w:pPr>
          <w:hyperlink w:anchor="_heading=h.h02bwefpm7z">
            <w:r w:rsidR="004B1780">
              <w:rPr>
                <w:color w:val="000000"/>
              </w:rPr>
              <w:t>2.2. Contexto histórico y social</w:t>
            </w:r>
            <w:r w:rsidR="004B1780">
              <w:rPr>
                <w:color w:val="000000"/>
              </w:rPr>
              <w:tab/>
              <w:t>6</w:t>
            </w:r>
          </w:hyperlink>
        </w:p>
        <w:p w:rsidR="00411A36" w:rsidRDefault="00E85C45">
          <w:pPr>
            <w:widowControl w:val="0"/>
            <w:tabs>
              <w:tab w:val="right" w:pos="12000"/>
            </w:tabs>
            <w:spacing w:before="60" w:after="0" w:line="240" w:lineRule="auto"/>
            <w:ind w:left="360"/>
            <w:rPr>
              <w:color w:val="000000"/>
            </w:rPr>
          </w:pPr>
          <w:hyperlink w:anchor="_heading=h.le82u4aowtty">
            <w:r w:rsidR="004B1780">
              <w:rPr>
                <w:color w:val="000000"/>
              </w:rPr>
              <w:t>2.3. Causas de la problemática (social, económica, política, ambiental)</w:t>
            </w:r>
            <w:r w:rsidR="004B1780">
              <w:rPr>
                <w:color w:val="000000"/>
              </w:rPr>
              <w:tab/>
              <w:t>8</w:t>
            </w:r>
          </w:hyperlink>
        </w:p>
        <w:p w:rsidR="00411A36" w:rsidRDefault="00E85C45">
          <w:pPr>
            <w:widowControl w:val="0"/>
            <w:tabs>
              <w:tab w:val="right" w:pos="12000"/>
            </w:tabs>
            <w:spacing w:before="60" w:after="0" w:line="240" w:lineRule="auto"/>
            <w:ind w:left="360"/>
            <w:rPr>
              <w:color w:val="000000"/>
            </w:rPr>
          </w:pPr>
          <w:hyperlink w:anchor="_heading=h.9wgm1t7g0852">
            <w:r w:rsidR="004B1780">
              <w:rPr>
                <w:color w:val="000000"/>
              </w:rPr>
              <w:t>2.4. Consecuencias de la problemática (social, económica, política, ambiental)</w:t>
            </w:r>
            <w:r w:rsidR="004B1780">
              <w:rPr>
                <w:color w:val="000000"/>
              </w:rPr>
              <w:tab/>
              <w:t>11</w:t>
            </w:r>
          </w:hyperlink>
        </w:p>
        <w:p w:rsidR="00411A36" w:rsidRDefault="00E85C45">
          <w:pPr>
            <w:widowControl w:val="0"/>
            <w:tabs>
              <w:tab w:val="right" w:pos="12000"/>
            </w:tabs>
            <w:spacing w:before="60" w:after="0" w:line="240" w:lineRule="auto"/>
            <w:ind w:left="360"/>
            <w:rPr>
              <w:color w:val="000000"/>
            </w:rPr>
          </w:pPr>
          <w:hyperlink w:anchor="_heading=h.a8hxca7tlx7q">
            <w:r w:rsidR="004B1780">
              <w:rPr>
                <w:color w:val="000000"/>
              </w:rPr>
              <w:t>2.5. Relación entre los tres hechos (semejanzas, diferencias, causas comunes o consecuencias compartidas)</w:t>
            </w:r>
            <w:r w:rsidR="004B1780">
              <w:rPr>
                <w:color w:val="000000"/>
              </w:rPr>
              <w:tab/>
              <w:t>12</w:t>
            </w:r>
          </w:hyperlink>
        </w:p>
        <w:p w:rsidR="00411A36" w:rsidRDefault="00E85C45">
          <w:pPr>
            <w:widowControl w:val="0"/>
            <w:tabs>
              <w:tab w:val="right" w:pos="12000"/>
            </w:tabs>
            <w:spacing w:before="60" w:after="0" w:line="240" w:lineRule="auto"/>
            <w:ind w:left="360"/>
            <w:rPr>
              <w:color w:val="000000"/>
            </w:rPr>
          </w:pPr>
          <w:hyperlink w:anchor="_heading=h.s7b8uqx7692i">
            <w:r w:rsidR="004B1780">
              <w:rPr>
                <w:color w:val="000000"/>
              </w:rPr>
              <w:t>2.6. Relación entre los tres hechos: desafíos territoriales y sostenibilidad</w:t>
            </w:r>
            <w:r w:rsidR="004B1780">
              <w:rPr>
                <w:color w:val="000000"/>
              </w:rPr>
              <w:tab/>
              <w:t>17</w:t>
            </w:r>
          </w:hyperlink>
        </w:p>
        <w:p w:rsidR="00411A36" w:rsidRDefault="00E85C45">
          <w:pPr>
            <w:widowControl w:val="0"/>
            <w:tabs>
              <w:tab w:val="right" w:pos="12000"/>
            </w:tabs>
            <w:spacing w:before="60" w:after="0" w:line="240" w:lineRule="auto"/>
            <w:rPr>
              <w:b/>
              <w:bCs/>
              <w:color w:val="000000"/>
            </w:rPr>
          </w:pPr>
          <w:hyperlink w:anchor="_heading=h.kruemr2qsctd">
            <w:r w:rsidR="004B1780">
              <w:rPr>
                <w:b/>
                <w:bCs/>
                <w:color w:val="000000"/>
              </w:rPr>
              <w:t>3. CONCLUSIONES</w:t>
            </w:r>
            <w:r w:rsidR="004B1780">
              <w:rPr>
                <w:b/>
                <w:bCs/>
                <w:color w:val="000000"/>
              </w:rPr>
              <w:tab/>
              <w:t>18</w:t>
            </w:r>
          </w:hyperlink>
        </w:p>
        <w:p w:rsidR="00411A36" w:rsidRDefault="00E85C45">
          <w:pPr>
            <w:widowControl w:val="0"/>
            <w:tabs>
              <w:tab w:val="right" w:pos="12000"/>
            </w:tabs>
            <w:spacing w:before="60" w:after="0" w:line="240" w:lineRule="auto"/>
            <w:rPr>
              <w:b/>
              <w:bCs/>
              <w:color w:val="000000"/>
            </w:rPr>
          </w:pPr>
          <w:hyperlink w:anchor="_heading=h.dw5rmpd2vcj2">
            <w:r w:rsidR="004B1780">
              <w:rPr>
                <w:b/>
                <w:bCs/>
                <w:color w:val="000000"/>
              </w:rPr>
              <w:t>4. REFERENCIAS</w:t>
            </w:r>
            <w:r w:rsidR="004B1780">
              <w:rPr>
                <w:b/>
                <w:bCs/>
                <w:color w:val="000000"/>
              </w:rPr>
              <w:tab/>
              <w:t>20</w:t>
            </w:r>
          </w:hyperlink>
          <w:r w:rsidR="004B1780">
            <w:fldChar w:fldCharType="end"/>
          </w:r>
        </w:p>
      </w:sdtContent>
    </w:sdt>
    <w:p w:rsidR="00411A36" w:rsidRDefault="004B1780">
      <w:pPr>
        <w:pStyle w:val="Ttulo1"/>
        <w:pageBreakBefore/>
        <w:numPr>
          <w:ilvl w:val="0"/>
          <w:numId w:val="4"/>
        </w:numPr>
        <w:spacing w:before="240" w:after="160" w:line="360" w:lineRule="auto"/>
        <w:ind w:left="360"/>
        <w:rPr>
          <w:sz w:val="24"/>
          <w:szCs w:val="24"/>
        </w:rPr>
      </w:pPr>
      <w:bookmarkStart w:id="0" w:name="_heading=h.wj2bifywcqu0"/>
      <w:bookmarkEnd w:id="0"/>
      <w:r>
        <w:rPr>
          <w:sz w:val="24"/>
          <w:szCs w:val="24"/>
        </w:rPr>
        <w:lastRenderedPageBreak/>
        <w:t>INTRODUCCIÓN</w:t>
      </w:r>
    </w:p>
    <w:p w:rsidR="00411A36" w:rsidRDefault="004B1780">
      <w:pPr>
        <w:spacing w:line="360" w:lineRule="auto"/>
        <w:jc w:val="both"/>
      </w:pPr>
      <w:r>
        <w:t xml:space="preserve">La </w:t>
      </w:r>
      <w:proofErr w:type="spellStart"/>
      <w:r>
        <w:t>agroexportación</w:t>
      </w:r>
      <w:proofErr w:type="spellEnd"/>
      <w:r>
        <w:t xml:space="preserve"> constituye una actividad estratégica para la economía peruana, ya que genera importantes ingresos de divisas por ventas al exterior, atrae inversión privada y contribuye de manera sostenida a la creación de puestos de trabajo en diversas regiones. Sin embargo, su acelerado crecimiento durante las últimas décadas también plantea complejos desafíos </w:t>
      </w:r>
      <w:proofErr w:type="spellStart"/>
      <w:r>
        <w:t>socioambientales</w:t>
      </w:r>
      <w:proofErr w:type="spellEnd"/>
      <w:r>
        <w:t xml:space="preserve"> vinculados con la precariedad e informalidad en las condiciones laborales, las brechas de acceso a infraestructura productiva, el estrés hídrico en la costa, la presión sobre los bosques amazónicos y la vulnerabilidad frente al cambio climático.</w:t>
      </w:r>
    </w:p>
    <w:p w:rsidR="00411A36" w:rsidRDefault="004B1780">
      <w:pPr>
        <w:spacing w:line="360" w:lineRule="auto"/>
        <w:jc w:val="both"/>
      </w:pPr>
      <w:r>
        <w:t xml:space="preserve">Para analizar de manera integral esta problemática </w:t>
      </w:r>
      <w:proofErr w:type="spellStart"/>
      <w:r>
        <w:t>socioambiental</w:t>
      </w:r>
      <w:proofErr w:type="spellEnd"/>
      <w:r>
        <w:t xml:space="preserve"> nacional, el presente informe examina tres hechos representativos: (1) la producción y exportación de café y cacao en la Amazonía peruana (selva alta y baja), (2) la rápida expansión del cultivo de arándanos en los valles e irrigaciones de la costa, y (3) la consolidación y riesgos actuales de la producción de espárragos destinados a los mercados internacionales. El estudio articulado de estos tres casos permite observar cómo una misma actividad primario-exportadora configura oportunidades, asimetrías y riesgos diferenciados según las características sociales, económicas, institucionales y ecológicas de cada territorio.</w:t>
      </w:r>
    </w:p>
    <w:p w:rsidR="00411A36" w:rsidRDefault="004B1780">
      <w:pPr>
        <w:spacing w:line="360" w:lineRule="auto"/>
        <w:jc w:val="both"/>
      </w:pPr>
      <w:r>
        <w:t>La relevancia académica y ciudadana de esta problemática radica en que el incremento sostenido del valor exportado no garantiza, por sí solo, un desarrollo humano ni territorialmente sostenible. Para alcanzar dicho propósito en consonancia con el bien común y la institucionalidad democrática, resulta indispensable que la competitividad comercial se acompañe de empleo digno, una distribución equitativa de los beneficios económicos hacia los pequeños productores y una gestión responsable de los recursos naturales críticos, como el agua subterránea y la cobertura forestal.</w:t>
      </w:r>
    </w:p>
    <w:p w:rsidR="00411A36" w:rsidRDefault="004B1780">
      <w:pPr>
        <w:spacing w:line="360" w:lineRule="auto"/>
        <w:jc w:val="both"/>
      </w:pPr>
      <w:r>
        <w:t xml:space="preserve">En tal sentido, el objetivo de este informe es analizar los tres hechos </w:t>
      </w:r>
      <w:proofErr w:type="spellStart"/>
      <w:r>
        <w:t>socioambientales</w:t>
      </w:r>
      <w:proofErr w:type="spellEnd"/>
      <w:r>
        <w:t xml:space="preserve"> vinculados con la </w:t>
      </w:r>
      <w:proofErr w:type="spellStart"/>
      <w:r>
        <w:t>agroexportación</w:t>
      </w:r>
      <w:proofErr w:type="spellEnd"/>
      <w:r>
        <w:t xml:space="preserve"> peruana, considerando su contexto histórico-social desde los inicios de la República hasta la actualidad, así como sus causas y consecuencias económicas, sociales, políticas y ambientales. Asimismo, este diagnóstico constituye la base analítica del equipo para definir y delimitar el tema del trabajo final del curso, orientado a formular propuestas de mejora que fortalezcan la sostenibilidad del sector agrario en el Perú.</w:t>
      </w:r>
    </w:p>
    <w:p w:rsidR="00411A36" w:rsidRDefault="004B1780">
      <w:pPr>
        <w:pStyle w:val="Ttulo1"/>
        <w:numPr>
          <w:ilvl w:val="0"/>
          <w:numId w:val="4"/>
        </w:numPr>
        <w:spacing w:before="240" w:after="160" w:line="360" w:lineRule="auto"/>
        <w:ind w:left="360"/>
        <w:rPr>
          <w:sz w:val="24"/>
          <w:szCs w:val="24"/>
        </w:rPr>
      </w:pPr>
      <w:bookmarkStart w:id="1" w:name="_heading=h.gv1ngjvo8ljn"/>
      <w:bookmarkEnd w:id="1"/>
      <w:r>
        <w:rPr>
          <w:sz w:val="24"/>
          <w:szCs w:val="24"/>
        </w:rPr>
        <w:lastRenderedPageBreak/>
        <w:t>DESCRIPCIÓN Y DIAGNÓSTICO DE LA PROBLEMÁTICA</w:t>
      </w:r>
    </w:p>
    <w:p w:rsidR="00411A36" w:rsidRDefault="004B1780">
      <w:pPr>
        <w:pStyle w:val="Ttulo2"/>
        <w:spacing w:before="240" w:after="120" w:line="360" w:lineRule="auto"/>
        <w:rPr>
          <w:sz w:val="22"/>
          <w:szCs w:val="22"/>
        </w:rPr>
      </w:pPr>
      <w:bookmarkStart w:id="2" w:name="_heading=h.ksvxb9hfppr4"/>
      <w:bookmarkEnd w:id="2"/>
      <w:r>
        <w:rPr>
          <w:sz w:val="22"/>
          <w:szCs w:val="22"/>
        </w:rPr>
        <w:t>2.1. Descripción de la problemática</w:t>
      </w:r>
    </w:p>
    <w:p w:rsidR="00411A36" w:rsidRDefault="004B1780">
      <w:pPr>
        <w:pStyle w:val="Ttulo3"/>
        <w:spacing w:before="200" w:line="360" w:lineRule="auto"/>
        <w:rPr>
          <w:sz w:val="22"/>
          <w:szCs w:val="22"/>
        </w:rPr>
      </w:pPr>
      <w:r>
        <w:rPr>
          <w:sz w:val="22"/>
          <w:szCs w:val="22"/>
        </w:rPr>
        <w:t>¿En qué consiste el problema?</w:t>
      </w:r>
    </w:p>
    <w:p w:rsidR="00411A36" w:rsidRDefault="004B1780">
      <w:pPr>
        <w:spacing w:line="360" w:lineRule="auto"/>
        <w:jc w:val="both"/>
      </w:pPr>
      <w:r>
        <w:t xml:space="preserve">El aparato productivo del país presenta limitaciones estructurales para generar empleo formal e ingresos suficientes para toda la población. En ese escenario, la </w:t>
      </w:r>
      <w:proofErr w:type="spellStart"/>
      <w:r>
        <w:t>agroexportación</w:t>
      </w:r>
      <w:proofErr w:type="spellEnd"/>
      <w:r>
        <w:t xml:space="preserve"> se ha consolidado como una fuente primordial de empleo rural y de divisas; no obstante, su expansión enfrenta severos problemas estructurales y </w:t>
      </w:r>
      <w:proofErr w:type="spellStart"/>
      <w:r>
        <w:t>socioambientales</w:t>
      </w:r>
      <w:proofErr w:type="spellEnd"/>
      <w:r>
        <w:t xml:space="preserve"> que comprometen su sostenibilidad en el mediano y largo plazo.</w:t>
      </w:r>
    </w:p>
    <w:p w:rsidR="00411A36" w:rsidRDefault="004B1780">
      <w:pPr>
        <w:spacing w:line="360" w:lineRule="auto"/>
        <w:jc w:val="both"/>
      </w:pPr>
      <w:r>
        <w:t>En primer lugar, destaca el déficit de infraestructura pública y logística. En diversas zonas productoras, las vías de comunicación se encuentran en mal estado para el traslado oportuno de productos perecibles, los sistemas de riego tecnificado y de tratamiento de aguas son insuficientes, y existen carencias de plantas de almacenamiento y cadenas de frío, todo lo cual eleva los costos logísticos y merma la competitividad de los pequeños agricultores. A ello se suma la creciente variabilidad climática, que altera los rendimientos agrícolas, desfasa los calendarios de floración y cosecha, y ocasiona cuantiosas pérdidas económicas.</w:t>
      </w:r>
    </w:p>
    <w:p w:rsidR="00411A36" w:rsidRDefault="004B1780">
      <w:pPr>
        <w:spacing w:line="360" w:lineRule="auto"/>
        <w:jc w:val="both"/>
      </w:pPr>
      <w:r>
        <w:t>En el ámbito social, una proporción mayoritaria del empleo agroexportador es de carácter temporal o estacional, al depender de las campañas de siembra y cosecha, y demanda predominantemente mano de obra no calificada con remuneraciones ajustadas al mínimo legal. Esta estacionalidad genera inestabilidad en los ingresos familiares durante los meses fuera de campaña y, periódicamente, desemboca en conflictos laborales y protestas sociales en demanda de mejores condiciones salariales y de trabajo.</w:t>
      </w:r>
    </w:p>
    <w:p w:rsidR="00411A36" w:rsidRDefault="004B1780">
      <w:pPr>
        <w:spacing w:line="360" w:lineRule="auto"/>
        <w:jc w:val="both"/>
      </w:pPr>
      <w:r>
        <w:t>En el ámbito ambiental, el uso intensivo de recursos hídricos superficiales y subterráneos en zonas áridas de la costa, junto con la ampliación de la frontera agrícola sin una adecuada planificación territorial en la selva, incrementa la presión sobre ecosistemas frágiles. Por consiguiente, el problema central consiste en cómo sostener la competitividad agroexportadora sin agotar el capital natural ni vulnerar el bienestar de las poblaciones rurales.</w:t>
      </w:r>
    </w:p>
    <w:p w:rsidR="00411A36" w:rsidRDefault="004B1780">
      <w:pPr>
        <w:pStyle w:val="Ttulo3"/>
        <w:spacing w:before="200" w:line="360" w:lineRule="auto"/>
        <w:rPr>
          <w:sz w:val="22"/>
          <w:szCs w:val="22"/>
        </w:rPr>
      </w:pPr>
      <w:r>
        <w:rPr>
          <w:sz w:val="22"/>
          <w:szCs w:val="22"/>
        </w:rPr>
        <w:t>¿A quiénes afecta?</w:t>
      </w:r>
    </w:p>
    <w:p w:rsidR="00411A36" w:rsidRDefault="004B1780">
      <w:pPr>
        <w:spacing w:line="360" w:lineRule="auto"/>
        <w:jc w:val="both"/>
      </w:pPr>
      <w:r>
        <w:t xml:space="preserve">La problemática involucra y afecta de forma diferenciada a pequeños y medianos productores agrícolas, trabajadores asalariados del campo y plantas de empaque, </w:t>
      </w:r>
      <w:r>
        <w:lastRenderedPageBreak/>
        <w:t>empresas agroexportadoras, comunidades rurales y consumidores, así como a las entidades estatales encargadas de promover el desarrollo agrario, fiscalizar los derechos laborales y regular el uso de los recursos naturales.</w:t>
      </w:r>
    </w:p>
    <w:p w:rsidR="00411A36" w:rsidRDefault="004B1780">
      <w:pPr>
        <w:spacing w:line="360" w:lineRule="auto"/>
        <w:jc w:val="both"/>
      </w:pPr>
      <w:r>
        <w:t>En el caso del café y el cacao, cultivados principalmente en zonas de selva alta y baja, los actores más vulnerables son las familias de pequeños productores y sus cooperativas. Si bien los precios internacionales y la demanda externa representan una oportunidad económica —e incluso han constituido históricamente una alternativa lícita frente al cultivo ilegal de hoja de coca—, estos agricultores enfrentan serias barreras de transporte, acceso a crédito, asistencia técnica, titulación y geolocalización de predios.</w:t>
      </w:r>
    </w:p>
    <w:p w:rsidR="00411A36" w:rsidRDefault="004B1780">
      <w:pPr>
        <w:spacing w:line="360" w:lineRule="auto"/>
        <w:jc w:val="both"/>
      </w:pPr>
      <w:r>
        <w:t>En el caso de los arándanos, producidos intensivamente en la franja costera, su auge ha dinamizado el empleo formal por campaña y las exportaciones gracias a la alta inversión privada, el manejo genético y el acceso a mercados externos. Sin embargo, en los valles costeros sometidos a estrés hídrico, la concentración del acceso al agua genera tensiones con las poblaciones locales y los pequeños agricultores tradicionales.</w:t>
      </w:r>
    </w:p>
    <w:p w:rsidR="00411A36" w:rsidRDefault="004B1780">
      <w:pPr>
        <w:spacing w:line="360" w:lineRule="auto"/>
        <w:jc w:val="both"/>
      </w:pPr>
      <w:r>
        <w:t>En el caso de los espárragos, desarrollados principalmente en la costa norte y centro-sur, la actividad sostiene miles de puestos de trabajo, pero tanto los productores como los trabajadores se ven expuestos al agotamiento de los acuíferos, el alza de los costos de insumos y los eventos climáticos extremos. Actualmente, la Comisión Multisectorial encargada del Estudio Nacional del Fenómeno El Niño mantiene el estado de alerta de El Niño Costero (Comisión Multisectorial encargada del Estudio Nacional del Fenómeno El Niño [ENFEN], 2026), lo que representa una amenaza directa para los cultivos y la infraestructura vial.</w:t>
      </w:r>
    </w:p>
    <w:p w:rsidR="00411A36" w:rsidRDefault="004B1780">
      <w:pPr>
        <w:pStyle w:val="Ttulo3"/>
        <w:spacing w:before="200" w:line="360" w:lineRule="auto"/>
        <w:rPr>
          <w:sz w:val="22"/>
          <w:szCs w:val="22"/>
        </w:rPr>
      </w:pPr>
      <w:r>
        <w:rPr>
          <w:sz w:val="22"/>
          <w:szCs w:val="22"/>
        </w:rPr>
        <w:t>¿Dónde se manifiesta?</w:t>
      </w:r>
    </w:p>
    <w:p w:rsidR="00411A36" w:rsidRDefault="004B1780">
      <w:pPr>
        <w:spacing w:line="360" w:lineRule="auto"/>
        <w:jc w:val="both"/>
      </w:pPr>
      <w:r>
        <w:t xml:space="preserve">La problemática se manifiesta en </w:t>
      </w:r>
      <w:proofErr w:type="spellStart"/>
      <w:r>
        <w:t>macrorregiones</w:t>
      </w:r>
      <w:proofErr w:type="spellEnd"/>
      <w:r>
        <w:t xml:space="preserve"> con condiciones geográficas y ecológicas contrastantes. El café y el cacao se concentran en la vertiente oriental andina y la cuenca amazónica, destacando regiones como San Martín, Junín, Cajamarca, Amazonas y Loreto (Ministerio de Comercio Exterior y Turismo [MINCETUR], 2026). Por su parte, los arándanos se cultivan primordialmente en los valles e irrigaciones costeras de La Libertad, Lambayeque e Ica (Ministerio de Desarrollo Agrario y Riego [MIDAGRI], 2026), mientras que los espárragos mantienen su eje productivo en La Libertad e Ica.</w:t>
      </w:r>
    </w:p>
    <w:p w:rsidR="00411A36" w:rsidRDefault="004B1780">
      <w:pPr>
        <w:spacing w:line="360" w:lineRule="auto"/>
        <w:jc w:val="both"/>
      </w:pPr>
      <w:r>
        <w:t xml:space="preserve">Esta distribución territorial evidencia que el modelo agroexportador peruano opera sobre ecosistemas con disponibilidades hídricas y estructuras agrarias radicalmente distintas, por </w:t>
      </w:r>
      <w:r>
        <w:lastRenderedPageBreak/>
        <w:t>lo que las políticas públicas de regulación ambiental, infraestructura y formalización laboral requieren un enfoque territorialmente diferenciado.</w:t>
      </w:r>
    </w:p>
    <w:p w:rsidR="00411A36" w:rsidRDefault="004B1780">
      <w:pPr>
        <w:pStyle w:val="Ttulo3"/>
        <w:spacing w:before="200" w:line="360" w:lineRule="auto"/>
        <w:rPr>
          <w:sz w:val="22"/>
          <w:szCs w:val="22"/>
        </w:rPr>
      </w:pPr>
      <w:r>
        <w:rPr>
          <w:sz w:val="22"/>
          <w:szCs w:val="22"/>
        </w:rPr>
        <w:t>¿Cuál es su situación actual en el Perú?</w:t>
      </w:r>
    </w:p>
    <w:p w:rsidR="00411A36" w:rsidRDefault="004B1780">
      <w:pPr>
        <w:spacing w:line="360" w:lineRule="auto"/>
        <w:jc w:val="both"/>
      </w:pPr>
      <w:r>
        <w:t xml:space="preserve">En la actualidad, el sector exhibe cifras macroeconómicas récord, pero acompañadas de crecientes alertas </w:t>
      </w:r>
      <w:proofErr w:type="spellStart"/>
      <w:r>
        <w:t>socioambientales</w:t>
      </w:r>
      <w:proofErr w:type="spellEnd"/>
      <w:r>
        <w:t xml:space="preserve">. Según el MIDAGRI (2026), durante el año 2025 las exportaciones peruanas de arándanos frescos alcanzaron aproximadamente US$ 2 457 millones, con un volumen de 373 514 toneladas, consolidando al Perú como primer exportador mundial. Asimismo, el MINCETUR (2026) reportó que las </w:t>
      </w:r>
      <w:proofErr w:type="spellStart"/>
      <w:r>
        <w:t>agroexportaciones</w:t>
      </w:r>
      <w:proofErr w:type="spellEnd"/>
      <w:r>
        <w:t xml:space="preserve"> regionales crecieron 18,5 % en 2025, impulsadas por el notable desempeño de San Martín, Cajamarca y Junín en los envíos de café y cacao.</w:t>
      </w:r>
    </w:p>
    <w:p w:rsidR="00411A36" w:rsidRDefault="004B1780">
      <w:pPr>
        <w:spacing w:line="360" w:lineRule="auto"/>
        <w:jc w:val="both"/>
      </w:pPr>
      <w:r>
        <w:t xml:space="preserve">No obstante, esta evolución favorable enfrenta riesgos inminentes en 2026. El estado de alerta de El Niño Costero (ENFEN, 2026) amenaza el rendimiento fisiológico de los cultivos, la </w:t>
      </w:r>
      <w:proofErr w:type="spellStart"/>
      <w:r>
        <w:t>transitabilidad</w:t>
      </w:r>
      <w:proofErr w:type="spellEnd"/>
      <w:r>
        <w:t xml:space="preserve"> de las carreteras y la continuidad de los jornales agrícolas. A ello se añaden las nuevas exigencias ambientales de la Unión Europea contra la deforestación, el descenso sostenido de las aguas subterráneas en Ica y la persistencia de brechas laborales. En consecuencia, el desafío actual del Perú no radica únicamente en incrementar los volúmenes exportados, sino en asegurar que dicha actividad genere bienestar social y equilibrio ecológico duraderos.</w:t>
      </w:r>
    </w:p>
    <w:p w:rsidR="00411A36" w:rsidRDefault="004B1780">
      <w:pPr>
        <w:pStyle w:val="Ttulo2"/>
        <w:spacing w:before="240" w:after="120" w:line="360" w:lineRule="auto"/>
        <w:rPr>
          <w:sz w:val="22"/>
          <w:szCs w:val="22"/>
        </w:rPr>
      </w:pPr>
      <w:bookmarkStart w:id="3" w:name="_heading=h.h02bwefpm7z"/>
      <w:bookmarkEnd w:id="3"/>
      <w:r>
        <w:rPr>
          <w:sz w:val="22"/>
          <w:szCs w:val="22"/>
        </w:rPr>
        <w:t>2.2. Contexto histórico y social</w:t>
      </w:r>
    </w:p>
    <w:p w:rsidR="00411A36" w:rsidRDefault="004B1780">
      <w:pPr>
        <w:pStyle w:val="Ttulo3"/>
        <w:spacing w:before="200" w:line="360" w:lineRule="auto"/>
        <w:rPr>
          <w:sz w:val="22"/>
          <w:szCs w:val="22"/>
        </w:rPr>
      </w:pPr>
      <w:r>
        <w:rPr>
          <w:sz w:val="22"/>
          <w:szCs w:val="22"/>
        </w:rPr>
        <w:t>¿Cuáles son los antecedentes históricos desde los inicios de la República?</w:t>
      </w:r>
    </w:p>
    <w:p w:rsidR="00411A36" w:rsidRDefault="004B1780">
      <w:pPr>
        <w:spacing w:line="360" w:lineRule="auto"/>
        <w:jc w:val="both"/>
      </w:pPr>
      <w:r>
        <w:t xml:space="preserve">La inserción del agro peruano en el comercio internacional y las tensiones </w:t>
      </w:r>
      <w:proofErr w:type="spellStart"/>
      <w:r>
        <w:t>socioambientales</w:t>
      </w:r>
      <w:proofErr w:type="spellEnd"/>
      <w:r>
        <w:t xml:space="preserve"> derivadas del uso de la tierra y del agua tienen raíces profundas que se remontan a los inicios de la vida republicana. Tras la independencia en el siglo XIX y durante la primera mitad del siglo XX, el Perú consolidó un modelo primario-exportador sustentado en grandes haciendas costeras dedicadas al cultivo de caña de azúcar (en la costa norte) y algodón (en la costa central y sur, como Ica), mientras que en la Amazonía se experimentaron ciclos extractivos como la fiebre del caucho y la progresiva colonización de la selva alta para el cultivo de café y cacao. Aquel modelo oligárquico generó importantes divisas, pero se apoyó en una fuerte concentración de la propiedad agraria y de los derechos de riego, así como en regímenes laborales precarizados.</w:t>
      </w:r>
    </w:p>
    <w:p w:rsidR="00411A36" w:rsidRDefault="004B1780">
      <w:pPr>
        <w:spacing w:line="360" w:lineRule="auto"/>
        <w:jc w:val="both"/>
      </w:pPr>
      <w:r>
        <w:lastRenderedPageBreak/>
        <w:t xml:space="preserve">A fines de la década de 1960, la Reforma Agraria de 1969 (Decreto Ley N.° 17716) buscó transformar radicalmente esa estructura de tenencia de la tierra mediante la expropiación de los latifundios y la creación de cooperativas agrarias. Sin embargo, la falta de soporte técnico, capital de trabajo y gestión empresarial, sumada a los controles de precios, debilitó la productividad del sector. Posteriormente, durante la década de 1980, el país estuvo inmerso en un modelo de economía cerrada e </w:t>
      </w:r>
      <w:proofErr w:type="spellStart"/>
      <w:r>
        <w:t>hiperregulada</w:t>
      </w:r>
      <w:proofErr w:type="spellEnd"/>
      <w:r>
        <w:t>, caracterizado por controles cambiarios y severas restricciones al comercio exterior. Esta rigidez macroeconómica, agravada por la hiperinflación y la devastación provocada por el conflicto armado interno y la violencia terrorista, desarticuló la infraestructura rural, provocó el desplazamiento forzado de comunidades campesinas y paralizó el desarrollo de la agricultura comercial.</w:t>
      </w:r>
    </w:p>
    <w:p w:rsidR="00411A36" w:rsidRDefault="004B1780">
      <w:pPr>
        <w:pStyle w:val="Ttulo3"/>
        <w:spacing w:before="200" w:line="360" w:lineRule="auto"/>
        <w:rPr>
          <w:sz w:val="22"/>
          <w:szCs w:val="22"/>
        </w:rPr>
      </w:pPr>
      <w:r>
        <w:rPr>
          <w:sz w:val="22"/>
          <w:szCs w:val="22"/>
        </w:rPr>
        <w:t>¿Cómo ha evolucionado la problemática desde la apertura de los años 90 hasta la actualidad?</w:t>
      </w:r>
    </w:p>
    <w:p w:rsidR="00411A36" w:rsidRDefault="004B1780">
      <w:pPr>
        <w:spacing w:line="360" w:lineRule="auto"/>
        <w:jc w:val="both"/>
      </w:pPr>
      <w:r>
        <w:t>El escenario cambió sustancialmente en la década de 1990 mediante la implementación de reformas estructurales de liberalización comercial, la adopción de un tipo de cambio libre, la pacificación nacional y el fomento a la inversión privada en tierras eriazas. Este nuevo marco institucional se consolidó en la década de 2000 con la promulgación de la Ley de Promoción del Sector Agrario (Ley N.° 27360), la ejecución de grandes proyectos de irrigación costera y la suscripción de Tratados de Libre Comercio (TLC) con Estados Unidos, la Unión Europea y países asiáticos, lo que dio inicio al denominado «boom agroexportador» liderado inicialmente por el espárrago y, en la década de 2010, por las uvas, paltas y arándanos (Guevara Lezama, 2025; Muñoz, 2016).</w:t>
      </w:r>
    </w:p>
    <w:p w:rsidR="00411A36" w:rsidRDefault="004B1780">
      <w:pPr>
        <w:spacing w:line="360" w:lineRule="auto"/>
        <w:jc w:val="both"/>
      </w:pPr>
      <w:r>
        <w:t>En la década de 2020, la pandemia de la COVID-19 y el paro agrario de diciembre de 2020 pusieron en evidencia las fracturas sociales acumuladas detrás del éxito exportador, llevando a la derogatoria de la Ley N.° 27360 y abriendo un intenso debate político que derivó recientemente en la nueva Ley Agraria N.° 32434 de 2025 (Rojas, 2025). Asimismo, las anomalías climáticas de 2023 y 2026 han demostrado la vulnerabilidad productiva del sector. Como resultado de esta trayectoria histórica, la expansión agroexportadora actual presenta efectos ambivalentes en cuatro dimensiones:</w:t>
      </w:r>
    </w:p>
    <w:p w:rsidR="00411A36" w:rsidRDefault="004B1780">
      <w:pPr>
        <w:numPr>
          <w:ilvl w:val="0"/>
          <w:numId w:val="1"/>
        </w:numPr>
        <w:spacing w:before="60" w:after="140" w:line="360" w:lineRule="auto"/>
        <w:jc w:val="both"/>
      </w:pPr>
      <w:r>
        <w:rPr>
          <w:b/>
          <w:bCs/>
        </w:rPr>
        <w:t xml:space="preserve">Dimensión económica: </w:t>
      </w:r>
      <w:r>
        <w:t xml:space="preserve">El sector constituye un motor de las economías regionales y una fuente clave de divisas, ejemplificado por los US$ 2 457 millones exportados en arándanos durante 2025 (MIDAGRI, 2026). No obstante, este dinamismo coexiste con la fragilidad de los pequeños productores de café y cacao, quienes </w:t>
      </w:r>
      <w:r>
        <w:lastRenderedPageBreak/>
        <w:t>enfrentan barreras de acceso a financiamiento, tecnología y comercialización directa frente a la volatilidad de los mercados externos.</w:t>
      </w:r>
    </w:p>
    <w:p w:rsidR="00411A36" w:rsidRDefault="004B1780">
      <w:pPr>
        <w:numPr>
          <w:ilvl w:val="0"/>
          <w:numId w:val="1"/>
        </w:numPr>
        <w:spacing w:before="60" w:after="140" w:line="360" w:lineRule="auto"/>
        <w:jc w:val="both"/>
      </w:pPr>
      <w:r>
        <w:rPr>
          <w:b/>
          <w:bCs/>
        </w:rPr>
        <w:t xml:space="preserve">Dimensión social y laboral: </w:t>
      </w:r>
      <w:r>
        <w:t>Si bien la actividad genera miles de puestos de trabajo en campo, selección, empaque y transporte, persiste el reto de garantizar empleos estables, remuneraciones dignas y seguridad laboral, problemática que ha llevado al Ministerio de Trabajo y Promoción del Empleo (MTPE, 2026) a instalar mesas técnicas para la formalización agraria. Paralelamente, la desigual distribución del agua en regiones áridas como Ica afecta la subsistencia de los pequeños agricultores frente al avance de las grandes corporaciones (Torres &amp; Tuesta, 2025).</w:t>
      </w:r>
    </w:p>
    <w:p w:rsidR="00411A36" w:rsidRDefault="004B1780">
      <w:pPr>
        <w:numPr>
          <w:ilvl w:val="0"/>
          <w:numId w:val="1"/>
        </w:numPr>
        <w:spacing w:before="60" w:after="140" w:line="360" w:lineRule="auto"/>
        <w:jc w:val="both"/>
      </w:pPr>
      <w:r>
        <w:rPr>
          <w:b/>
          <w:bCs/>
        </w:rPr>
        <w:t xml:space="preserve">Dimensión política y de gobernanza: </w:t>
      </w:r>
      <w:r>
        <w:t xml:space="preserve">El acelerado crecimiento productivo ha desbordado con frecuencia la capacidad reguladora y fiscalizadora del Estado. En valles como Ica, la perforación de pozos informales y la extracción no autorizada en acuíferos en veda evidencian debilidades institucionales en la gobernanza hídrica (Guevara Lezama, 2025; Torres &amp; Tuesta, 2025), incrementando la conflictividad </w:t>
      </w:r>
      <w:proofErr w:type="spellStart"/>
      <w:r>
        <w:t>socioambiental</w:t>
      </w:r>
      <w:proofErr w:type="spellEnd"/>
      <w:r>
        <w:t>.</w:t>
      </w:r>
    </w:p>
    <w:p w:rsidR="00411A36" w:rsidRDefault="004B1780">
      <w:pPr>
        <w:numPr>
          <w:ilvl w:val="0"/>
          <w:numId w:val="1"/>
        </w:numPr>
        <w:spacing w:before="60" w:after="140" w:line="360" w:lineRule="auto"/>
        <w:jc w:val="both"/>
      </w:pPr>
      <w:r>
        <w:rPr>
          <w:b/>
          <w:bCs/>
        </w:rPr>
        <w:t xml:space="preserve">Dimensión ambiental: </w:t>
      </w:r>
      <w:r>
        <w:t xml:space="preserve">La presión intensiva sobre cuencas y bosques exige un ordenamiento territorial urgente. Mientras en la costa la </w:t>
      </w:r>
      <w:proofErr w:type="spellStart"/>
      <w:r>
        <w:t>agroexportación</w:t>
      </w:r>
      <w:proofErr w:type="spellEnd"/>
      <w:r>
        <w:t xml:space="preserve"> de espárragos y arándanos sobreexplota las reservas hídricas subterráneas (Muñoz, 2016; </w:t>
      </w:r>
      <w:proofErr w:type="spellStart"/>
      <w:r>
        <w:t>Pronti</w:t>
      </w:r>
      <w:proofErr w:type="spellEnd"/>
      <w:r>
        <w:t xml:space="preserve"> et al., 2024), en la Amazonía el avance desordenado de cultivos comerciales ha ocasionado episodios graves de pérdida forestal, como el caso de </w:t>
      </w:r>
      <w:proofErr w:type="spellStart"/>
      <w:r>
        <w:t>Tamshiyacu</w:t>
      </w:r>
      <w:proofErr w:type="spellEnd"/>
      <w:r>
        <w:t xml:space="preserve"> en Loreto, donde se deforestaron cerca de 2 380 hectáreas de bosque primario para plantaciones intensivas de cacao (</w:t>
      </w:r>
      <w:proofErr w:type="spellStart"/>
      <w:r>
        <w:t>Finer</w:t>
      </w:r>
      <w:proofErr w:type="spellEnd"/>
      <w:r>
        <w:t xml:space="preserve"> et al., 2020).</w:t>
      </w:r>
    </w:p>
    <w:p w:rsidR="00411A36" w:rsidRDefault="004B1780">
      <w:pPr>
        <w:spacing w:line="360" w:lineRule="auto"/>
        <w:jc w:val="both"/>
      </w:pPr>
      <w:r>
        <w:t xml:space="preserve">En síntesis, la evolución histórica de la </w:t>
      </w:r>
      <w:proofErr w:type="spellStart"/>
      <w:r>
        <w:t>agroexportación</w:t>
      </w:r>
      <w:proofErr w:type="spellEnd"/>
      <w:r>
        <w:t xml:space="preserve"> peruana demuestra cómo el tránsito desde el modelo hacendario republicano y el proteccionismo de los años ochenta hacia la apertura global contemporánea impulsó un crecimiento económico sin precedentes, pero manteniendo pendientes los desafíos de equidad social, fortaleza institucional y sostenibilidad ecológica.</w:t>
      </w:r>
    </w:p>
    <w:p w:rsidR="00411A36" w:rsidRDefault="004B1780">
      <w:pPr>
        <w:pStyle w:val="Ttulo2"/>
        <w:spacing w:before="240" w:after="120" w:line="360" w:lineRule="auto"/>
        <w:rPr>
          <w:sz w:val="22"/>
          <w:szCs w:val="22"/>
        </w:rPr>
      </w:pPr>
      <w:bookmarkStart w:id="4" w:name="_heading=h.le82u4aowtty"/>
      <w:bookmarkEnd w:id="4"/>
      <w:r>
        <w:rPr>
          <w:sz w:val="22"/>
          <w:szCs w:val="22"/>
        </w:rPr>
        <w:t>2.3. Causas de la problemática (social, económica, política, ambiental)</w:t>
      </w:r>
    </w:p>
    <w:p w:rsidR="00411A36" w:rsidRDefault="004B1780">
      <w:pPr>
        <w:spacing w:line="360" w:lineRule="auto"/>
        <w:jc w:val="both"/>
      </w:pPr>
      <w:r>
        <w:t xml:space="preserve">La configuración de esta problemática </w:t>
      </w:r>
      <w:proofErr w:type="spellStart"/>
      <w:r>
        <w:t>socioambiental</w:t>
      </w:r>
      <w:proofErr w:type="spellEnd"/>
      <w:r>
        <w:t xml:space="preserve"> responde a una interacción de factores estructurales. En la costa peruana, caracterizada por su aridez desértica, la combinación histórica de desempleo, informalidad y déficit de servicios públicos encontró en la </w:t>
      </w:r>
      <w:proofErr w:type="spellStart"/>
      <w:r>
        <w:t>agroexportación</w:t>
      </w:r>
      <w:proofErr w:type="spellEnd"/>
      <w:r>
        <w:t xml:space="preserve"> una vía para dinamizar la inversión y el trabajo; sin embargo, al </w:t>
      </w:r>
      <w:r>
        <w:lastRenderedPageBreak/>
        <w:t>estructurarse sobre una alta demanda de mano de obra estacional y un uso intensivo del agua subterránea, se generaron las bases para recurrentes tensiones laborales e hídricas. En la selva, por su parte, pese a contar con abundancia hídrica y suelos aptos para cultivos permanentes, el aislamiento vial y la escasa presencia estatal han limitado la tecnificación de las familias cafetaleras y cacaoteras. A continuación, se detallan las causas específicas en sus cuatro dimensiones:</w:t>
      </w:r>
    </w:p>
    <w:p w:rsidR="00411A36" w:rsidRDefault="004B1780">
      <w:pPr>
        <w:pStyle w:val="Ttulo3"/>
        <w:spacing w:before="200" w:line="360" w:lineRule="auto"/>
        <w:rPr>
          <w:sz w:val="22"/>
          <w:szCs w:val="22"/>
        </w:rPr>
      </w:pPr>
      <w:r>
        <w:rPr>
          <w:sz w:val="22"/>
          <w:szCs w:val="22"/>
        </w:rPr>
        <w:t>Causas económicas</w:t>
      </w:r>
    </w:p>
    <w:p w:rsidR="00411A36" w:rsidRDefault="004B1780">
      <w:pPr>
        <w:spacing w:line="360" w:lineRule="auto"/>
        <w:jc w:val="both"/>
      </w:pPr>
      <w:r>
        <w:t>Una de las principales causas económicas radica en la forma de inserción subordinada y altamente competitiva del agro peruano en las cadenas globales de valor, cuyas exigencias de volumen, estandarización, precios, certificaciones y ventanas comerciales condicionan las decisiones productivas locales. La apertura comercial y los tratados de libre comercio ampliaron el acceso a mercados internacionales, pero también acentuaron la asimetría entre las grandes empresas agroindustriales —con acceso a capital financiero, tierras irrigadas y logística integrada— y los pequeños productores familiares que dependen de intermediarios.</w:t>
      </w:r>
    </w:p>
    <w:p w:rsidR="00411A36" w:rsidRDefault="004B1780">
      <w:pPr>
        <w:spacing w:line="360" w:lineRule="auto"/>
        <w:jc w:val="both"/>
      </w:pPr>
      <w:r>
        <w:t xml:space="preserve">La magnitud macroeconómica de este modelo se refleja en los reportes oficiales del Ministerio de Comercio Exterior y Turismo (MINCETUR, 2025): al cierre de 2024, las </w:t>
      </w:r>
      <w:proofErr w:type="spellStart"/>
      <w:r>
        <w:t>agroexportaciones</w:t>
      </w:r>
      <w:proofErr w:type="spellEnd"/>
      <w:r>
        <w:t xml:space="preserve"> peruanas alcanzaron un récord de US$ 12 784 millones (un crecimiento de 22,1 % respecto de 2023), lideradas por los arándanos con US$ 2 299 millones; tendencia que continuó en 2025 cuando dicho fruto superó los US$ 2 457 millones (MIDAGRI, 2026). Sin embargo, la priorización de la rentabilidad de corto plazo y la reducción de costos operativos han incentivado la externalización de los costos ambientales (uso de agua y suelo) y la contención de los costos salariales.</w:t>
      </w:r>
    </w:p>
    <w:p w:rsidR="00411A36" w:rsidRDefault="004B1780">
      <w:pPr>
        <w:pStyle w:val="Ttulo3"/>
        <w:spacing w:before="200" w:line="360" w:lineRule="auto"/>
        <w:rPr>
          <w:sz w:val="22"/>
          <w:szCs w:val="22"/>
        </w:rPr>
      </w:pPr>
      <w:r>
        <w:rPr>
          <w:sz w:val="22"/>
          <w:szCs w:val="22"/>
        </w:rPr>
        <w:t>Causas sociales</w:t>
      </w:r>
    </w:p>
    <w:p w:rsidR="00411A36" w:rsidRDefault="004B1780">
      <w:pPr>
        <w:spacing w:line="360" w:lineRule="auto"/>
        <w:jc w:val="both"/>
      </w:pPr>
      <w:r>
        <w:t xml:space="preserve">En el ámbito social, las causas se originan en las profundas brechas de educación técnica rural, la alta tasa de informalidad agraria y la asimetría en las relaciones laborales entre empleadores y trabajadores del campo. La estructura productiva agroexportadora demanda grandes contingentes de trabajadores únicamente durante los meses de cosecha y empaque, lo que origina regímenes de contratación temporal, alta rotación laboral y limitada capacidad de organización sindical. Asimismo, en las zonas productoras de café y cacao de la selva alta, el bajo nivel de </w:t>
      </w:r>
      <w:proofErr w:type="spellStart"/>
      <w:r>
        <w:t>asociatividad</w:t>
      </w:r>
      <w:proofErr w:type="spellEnd"/>
      <w:r>
        <w:t xml:space="preserve"> —donde solo tres de cada diez caficultores pertenecen a una cooperativa u organización (Agraria.pe, 2026a)— reduce su capacidad </w:t>
      </w:r>
      <w:r>
        <w:lastRenderedPageBreak/>
        <w:t>de negociación e impide que los beneficios del comercio exterior se traduzcan en servicios básicos y bienestar para las familias rurales.</w:t>
      </w:r>
    </w:p>
    <w:p w:rsidR="00411A36" w:rsidRDefault="004B1780">
      <w:pPr>
        <w:pStyle w:val="Ttulo3"/>
        <w:spacing w:before="200" w:line="360" w:lineRule="auto"/>
        <w:rPr>
          <w:sz w:val="22"/>
          <w:szCs w:val="22"/>
        </w:rPr>
      </w:pPr>
      <w:r>
        <w:rPr>
          <w:sz w:val="22"/>
          <w:szCs w:val="22"/>
        </w:rPr>
        <w:t>Causas políticas e institucionales</w:t>
      </w:r>
    </w:p>
    <w:p w:rsidR="00411A36" w:rsidRDefault="004B1780">
      <w:pPr>
        <w:spacing w:line="360" w:lineRule="auto"/>
        <w:jc w:val="both"/>
      </w:pPr>
      <w:r>
        <w:t xml:space="preserve">La dimensión política e institucional comprende la debilidad fiscalizadora del Estado peruano, la fragmentación de competencias entre los niveles de gobierno (nacional, regional y local) y el diseño de políticas tributarias y agrarias que no han condicionado los incentivos económicos al cumplimiento de metas </w:t>
      </w:r>
      <w:proofErr w:type="spellStart"/>
      <w:r>
        <w:t>socioambientales</w:t>
      </w:r>
      <w:proofErr w:type="spellEnd"/>
      <w:r>
        <w:t>. Aunque el país cuenta con la Ley de Recursos Hídricos, la Ley Forestal y de Fauna Silvestre y normativas laborales, su aplicación efectiva en el territorio es deficitaria.</w:t>
      </w:r>
    </w:p>
    <w:p w:rsidR="00411A36" w:rsidRDefault="004B1780">
      <w:pPr>
        <w:spacing w:line="360" w:lineRule="auto"/>
        <w:jc w:val="both"/>
      </w:pPr>
      <w:r>
        <w:t>Ejemplo de ello es la insuficiente capacidad de la Autoridad Nacional del Agua (ANA) para impedir la perforación de pozos clandestinos en acuíferos declarados en veda en Ica (Guevara Lezama, 2025; Torres &amp; Tuesta, 2025), así como la demora del Estado en completar el catastro y la geolocalización de predios cafetaleros y cacaoteros en la Amazonía (Agraria.pe, 2026b). Del mismo modo, la promulgación de marcos promocionales como la antigua Ley N.° 27360 y la reciente Ley N.° 32434 (Rojas, 2025) ha priorizado las exoneraciones tributarias sin establecer salvaguardas hídricas ni mecanismos eficaces de formalización para la pequeña agricultura.</w:t>
      </w:r>
    </w:p>
    <w:p w:rsidR="00411A36" w:rsidRDefault="004B1780">
      <w:pPr>
        <w:pStyle w:val="Ttulo3"/>
        <w:spacing w:before="200" w:line="360" w:lineRule="auto"/>
        <w:rPr>
          <w:sz w:val="22"/>
          <w:szCs w:val="22"/>
        </w:rPr>
      </w:pPr>
      <w:r>
        <w:rPr>
          <w:sz w:val="22"/>
          <w:szCs w:val="22"/>
        </w:rPr>
        <w:t>Causas ambientales</w:t>
      </w:r>
    </w:p>
    <w:p w:rsidR="00411A36" w:rsidRDefault="004B1780">
      <w:pPr>
        <w:spacing w:line="360" w:lineRule="auto"/>
        <w:jc w:val="both"/>
      </w:pPr>
      <w:r>
        <w:t xml:space="preserve">Las causas ambientales provienen de la implantación de modelos agrícolas intensivos sin respetar la capacidad de carga ni la vocación ecológica de los ecosistemas receptores, sumada a la creciente incidencia del cambio climático y del Fenómeno El Niño. En la costa peruana, la causa directa del estrés hídrico es el establecimiento de extensos monocultivos de alta demanda de agua (como el espárrago y el arándano) sobre valles desérticos cuyas tasas de extracción subterránea superan ampliamente la recarga natural de las cuencas hidrográficas (Muñoz, 2016; </w:t>
      </w:r>
      <w:proofErr w:type="spellStart"/>
      <w:r>
        <w:t>Pronti</w:t>
      </w:r>
      <w:proofErr w:type="spellEnd"/>
      <w:r>
        <w:t xml:space="preserve"> et al., 2024).</w:t>
      </w:r>
    </w:p>
    <w:p w:rsidR="00411A36" w:rsidRDefault="004B1780">
      <w:pPr>
        <w:spacing w:line="360" w:lineRule="auto"/>
        <w:jc w:val="both"/>
      </w:pPr>
      <w:r>
        <w:t>Por su parte, en la región amazónica, la causa ambiental principal es el cambio de uso de suelo sin zonificación ecológica y económica (ZEE) y la tala de bosques primarios o secundarios para instalar nuevas parcelas agrícolas. Aunque el café y el cacao pueden manejarse de forma sostenible mediante sistemas agroforestales bajo sombra, la falta de asistencia técnica y la incursión de proyectos agroindustriales intensivos sin evaluación ambiental previa han actuado como motores directos de deforestación (</w:t>
      </w:r>
      <w:proofErr w:type="spellStart"/>
      <w:r>
        <w:t>Finer</w:t>
      </w:r>
      <w:proofErr w:type="spellEnd"/>
      <w:r>
        <w:t xml:space="preserve"> et al., 2020; Flores Tenorio, 2026).</w:t>
      </w:r>
    </w:p>
    <w:p w:rsidR="00411A36" w:rsidRDefault="004B1780">
      <w:pPr>
        <w:pStyle w:val="Ttulo2"/>
        <w:spacing w:before="240" w:after="120" w:line="360" w:lineRule="auto"/>
        <w:rPr>
          <w:sz w:val="22"/>
          <w:szCs w:val="22"/>
        </w:rPr>
      </w:pPr>
      <w:bookmarkStart w:id="5" w:name="_heading=h.9wgm1t7g0852"/>
      <w:bookmarkEnd w:id="5"/>
      <w:r>
        <w:rPr>
          <w:sz w:val="22"/>
          <w:szCs w:val="22"/>
        </w:rPr>
        <w:lastRenderedPageBreak/>
        <w:t>2.4. Consecuencias de la problemática (social, económica, política, ambiental)</w:t>
      </w:r>
    </w:p>
    <w:p w:rsidR="00411A36" w:rsidRDefault="004B1780">
      <w:pPr>
        <w:spacing w:line="360" w:lineRule="auto"/>
        <w:jc w:val="both"/>
      </w:pPr>
      <w:r>
        <w:t xml:space="preserve">La persistencia de las causas descritas genera impactos directos y diferenciados sobre la economía nacional, el tejido social rural, la gobernabilidad democrática y la estabilidad de los ecosistemas peruanos. Si bien la </w:t>
      </w:r>
      <w:proofErr w:type="spellStart"/>
      <w:r>
        <w:t>agroexportación</w:t>
      </w:r>
      <w:proofErr w:type="spellEnd"/>
      <w:r>
        <w:t xml:space="preserve"> impulsa el producto bruto interno agrario, sus externalidades negativas configuran un escenario de vulnerabilidad que se manifiesta en las siguientes consecuencias:</w:t>
      </w:r>
    </w:p>
    <w:p w:rsidR="00411A36" w:rsidRDefault="004B1780">
      <w:pPr>
        <w:pStyle w:val="Ttulo3"/>
        <w:spacing w:before="200" w:line="360" w:lineRule="auto"/>
        <w:rPr>
          <w:sz w:val="22"/>
          <w:szCs w:val="22"/>
        </w:rPr>
      </w:pPr>
      <w:r>
        <w:rPr>
          <w:sz w:val="22"/>
          <w:szCs w:val="22"/>
        </w:rPr>
        <w:t>Consecuencias económicas</w:t>
      </w:r>
    </w:p>
    <w:p w:rsidR="00411A36" w:rsidRDefault="004B1780">
      <w:pPr>
        <w:spacing w:line="360" w:lineRule="auto"/>
        <w:jc w:val="both"/>
      </w:pPr>
      <w:r>
        <w:t xml:space="preserve">En el plano económico, se produce un crecimiento dual y vulnerable. Por un lado, se generan cuantiosos ingresos por exportaciones y se dinamizan las cadenas logísticas regionales, tal como lo evidencian los US$ 2 457 millones generados por los arándanos en 2025 (MIDAGRI, 2026) y los más de US$ 1 700 millones alcanzados por las exportaciones de café (Agraria.pe, 2026a). Sin embargo, como consecuencia de la dependencia climática y externa, los choques térmicos provocan caídas abruptas en los volúmenes de producción —como la reducción de 25 % en los envíos de arándano y espárrago durante El Niño de 2023 (Agraria.pe, 2024a; Basurto et al., 2024)— y una desaceleración general del sector en 2026 (León Carrasco, 2026b). Además, los pequeños productores de café y cacao asumen sobrecostos financieros para adecuarse a las exigencias de trazabilidad internacional, corriendo el riesgo de quedar excluidos de mercados </w:t>
      </w:r>
      <w:proofErr w:type="spellStart"/>
      <w:r>
        <w:t>premium</w:t>
      </w:r>
      <w:proofErr w:type="spellEnd"/>
      <w:r>
        <w:t xml:space="preserve"> como el europeo (Agraria.pe, 2026b; Flores Tenorio, 2026).</w:t>
      </w:r>
    </w:p>
    <w:p w:rsidR="00411A36" w:rsidRDefault="004B1780">
      <w:pPr>
        <w:pStyle w:val="Ttulo3"/>
        <w:spacing w:before="200" w:line="360" w:lineRule="auto"/>
        <w:rPr>
          <w:sz w:val="22"/>
          <w:szCs w:val="22"/>
        </w:rPr>
      </w:pPr>
      <w:r>
        <w:rPr>
          <w:sz w:val="22"/>
          <w:szCs w:val="22"/>
        </w:rPr>
        <w:t>Consecuencias sociales</w:t>
      </w:r>
    </w:p>
    <w:p w:rsidR="00411A36" w:rsidRDefault="004B1780">
      <w:pPr>
        <w:spacing w:line="360" w:lineRule="auto"/>
        <w:jc w:val="both"/>
      </w:pPr>
      <w:r>
        <w:t xml:space="preserve">En el ámbito social, las consecuencias se traducen en precarización estacional de los ingresos familiares, conflictividad laboral y acentuación de las desigualdades en el acceso a recursos vitales. La reducción de las cosechas por factores climáticos disminuye directamente el número de jornales disponibles para los trabajadores eventuales de la costa. Frente a la persistencia de la informalidad y las brechas salariales, el Ministerio de Trabajo y Promoción del Empleo (MTPE, 2026) tuvo que instalar una mesa de trabajo multisectorial para promover el trabajo decente en las cadenas agroexportadoras. Asimismo, en el valle de Ica, el acaparamiento del recurso hídrico perjudica directamente a los pequeños agricultores locales y a las poblaciones urbanas, quienes enfrentan racionamientos de agua potable y la pérdida de sus cultivos de </w:t>
      </w:r>
      <w:proofErr w:type="spellStart"/>
      <w:r>
        <w:t>panllevar</w:t>
      </w:r>
      <w:proofErr w:type="spellEnd"/>
      <w:r>
        <w:t xml:space="preserve"> mientras las grandes explotaciones continúan operando (</w:t>
      </w:r>
      <w:proofErr w:type="spellStart"/>
      <w:r>
        <w:t>Pronti</w:t>
      </w:r>
      <w:proofErr w:type="spellEnd"/>
      <w:r>
        <w:t xml:space="preserve"> et al., 2024; Torres &amp; Tuesta, 2025).</w:t>
      </w:r>
    </w:p>
    <w:p w:rsidR="00411A36" w:rsidRDefault="004B1780">
      <w:pPr>
        <w:pStyle w:val="Ttulo3"/>
        <w:spacing w:before="200" w:line="360" w:lineRule="auto"/>
        <w:rPr>
          <w:sz w:val="22"/>
          <w:szCs w:val="22"/>
        </w:rPr>
      </w:pPr>
      <w:r>
        <w:rPr>
          <w:sz w:val="22"/>
          <w:szCs w:val="22"/>
        </w:rPr>
        <w:lastRenderedPageBreak/>
        <w:t>Consecuencias políticas</w:t>
      </w:r>
    </w:p>
    <w:p w:rsidR="00411A36" w:rsidRDefault="004B1780">
      <w:pPr>
        <w:spacing w:line="360" w:lineRule="auto"/>
        <w:jc w:val="both"/>
      </w:pPr>
      <w:r>
        <w:t xml:space="preserve">En la esfera política, la problemática erosiona la legitimidad institucional del Estado y multiplica los conflictos </w:t>
      </w:r>
      <w:proofErr w:type="spellStart"/>
      <w:r>
        <w:t>socioambientales</w:t>
      </w:r>
      <w:proofErr w:type="spellEnd"/>
      <w:r>
        <w:t xml:space="preserve"> por el agua, la tierra y el régimen tributario-laboral. La incapacidad gubernamental para detener la extracción ilegal de agua subterránea en Ica a pesar de las vedas oficiales (Guevara Lezama, 2025; Torres &amp; Tuesta, 2025) demuestra una fractura entre la norma institucional y la realidad ciudadana. Del mismo modo, la aprobación de la nueva Ley Agraria N.° 32434 —que restituye una tasa reducida de 15 % de impuesto a la renta hasta 2035 con un costo fiscal estimado en cerca de S/ 20 000 millones (Agraria.pe, 2024c; Rojas, 2025)— ha reavivado la polarización política entre gremios empresariales, sindicatos agrarios y especialistas en políticas públicas.</w:t>
      </w:r>
    </w:p>
    <w:p w:rsidR="00411A36" w:rsidRDefault="004B1780">
      <w:pPr>
        <w:pStyle w:val="Ttulo3"/>
        <w:spacing w:before="200" w:line="360" w:lineRule="auto"/>
        <w:rPr>
          <w:sz w:val="22"/>
          <w:szCs w:val="22"/>
        </w:rPr>
      </w:pPr>
      <w:r>
        <w:rPr>
          <w:sz w:val="22"/>
          <w:szCs w:val="22"/>
        </w:rPr>
        <w:t>Consecuencias ambientales</w:t>
      </w:r>
    </w:p>
    <w:p w:rsidR="00411A36" w:rsidRDefault="004B1780">
      <w:pPr>
        <w:spacing w:line="360" w:lineRule="auto"/>
        <w:jc w:val="both"/>
      </w:pPr>
      <w:r>
        <w:t xml:space="preserve">Las consecuencias ambientales se manifiestan en una degradación severa de recursos naturales estratégicos tanto en la costa como en la Amazonía. En los valles costeros de Ica, </w:t>
      </w:r>
      <w:proofErr w:type="spellStart"/>
      <w:r>
        <w:t>Villacurí</w:t>
      </w:r>
      <w:proofErr w:type="spellEnd"/>
      <w:r>
        <w:t xml:space="preserve"> y Lanchas, la extracción intensiva para sostener los cultivos de espárrago y arándano ha provocado el descenso continuo del nivel freático a un ritmo de hasta 1,5 metros por año, conduciendo al agotamiento hidrogeológico del acuífero, la intrusión salina y la desertificación de suelos agrícolas (Guevara Lezama, 2025; Muñoz, 2016; </w:t>
      </w:r>
      <w:proofErr w:type="spellStart"/>
      <w:r>
        <w:t>Pronti</w:t>
      </w:r>
      <w:proofErr w:type="spellEnd"/>
      <w:r>
        <w:t xml:space="preserve"> et al., 2024).</w:t>
      </w:r>
    </w:p>
    <w:p w:rsidR="00411A36" w:rsidRDefault="004B1780">
      <w:pPr>
        <w:spacing w:line="360" w:lineRule="auto"/>
        <w:jc w:val="both"/>
      </w:pPr>
      <w:r>
        <w:t xml:space="preserve">En contrapartida, en los territorios amazónicos, la consecuencia más crítica es la fragmentación del bosque tropical, la pérdida de biodiversidad y la emisión de gases de efecto invernadero por el cambio de uso del suelo. Casos emblemáticos como la deforestación masiva de 2 380 hectáreas de bosque primario en </w:t>
      </w:r>
      <w:proofErr w:type="spellStart"/>
      <w:r>
        <w:t>Tamshiyacu</w:t>
      </w:r>
      <w:proofErr w:type="spellEnd"/>
      <w:r>
        <w:t xml:space="preserve"> (Loreto) para el cultivo de cacao (</w:t>
      </w:r>
      <w:proofErr w:type="spellStart"/>
      <w:r>
        <w:t>Finer</w:t>
      </w:r>
      <w:proofErr w:type="spellEnd"/>
      <w:r>
        <w:t xml:space="preserve"> et al., 2020), junto con el riesgo de que miles de parcelas cafetaleras no </w:t>
      </w:r>
      <w:proofErr w:type="spellStart"/>
      <w:r>
        <w:t>geolocalizadas</w:t>
      </w:r>
      <w:proofErr w:type="spellEnd"/>
      <w:r>
        <w:t xml:space="preserve"> continúen expandiéndose sobre áreas boscosas (Agraria.pe, 2026b), evidencian un impacto ecológico que compromete los servicios </w:t>
      </w:r>
      <w:proofErr w:type="spellStart"/>
      <w:r>
        <w:t>ecosistémicos</w:t>
      </w:r>
      <w:proofErr w:type="spellEnd"/>
      <w:r>
        <w:t xml:space="preserve"> de la cuenca amazónica.</w:t>
      </w:r>
    </w:p>
    <w:p w:rsidR="00411A36" w:rsidRDefault="004B1780">
      <w:pPr>
        <w:pStyle w:val="Ttulo2"/>
        <w:spacing w:before="240" w:after="120" w:line="360" w:lineRule="auto"/>
        <w:rPr>
          <w:sz w:val="22"/>
          <w:szCs w:val="22"/>
        </w:rPr>
      </w:pPr>
      <w:bookmarkStart w:id="6" w:name="_heading=h.a8hxca7tlx7q"/>
      <w:bookmarkEnd w:id="6"/>
      <w:r>
        <w:rPr>
          <w:sz w:val="22"/>
          <w:szCs w:val="22"/>
        </w:rPr>
        <w:t>2.5. Relación entre los tres hechos (semejanzas, diferencias, causas comunes o consecuencias compartidas)</w:t>
      </w:r>
    </w:p>
    <w:p w:rsidR="00411A36" w:rsidRDefault="004B1780">
      <w:pPr>
        <w:spacing w:line="360" w:lineRule="auto"/>
        <w:jc w:val="both"/>
      </w:pPr>
      <w:r>
        <w:t xml:space="preserve">Los tres hechos analizados pertenecen a la misma actividad económica, pero responden a modelos productivos y territoriales diferenciados. Mientras el café y el cacao de la selva alta se sustentan en la economía familiar de miles de pequeños parceleros, el arándano y el espárrago de la costa son liderados por medianas y grandes empresas capitalizadas que </w:t>
      </w:r>
      <w:r>
        <w:lastRenderedPageBreak/>
        <w:t>producen en el desierto mediante riego tecnificado. Al contrastarlos, se observa que comparten el mismo motor económico —la demanda internacional— y debilidades estructurales comunes, variando el recurso natural presionado y la distribución de los beneficios. La Tabla 1 sintetiza esta comparación.</w:t>
      </w:r>
    </w:p>
    <w:p w:rsidR="00411A36" w:rsidRDefault="004B1780">
      <w:pPr>
        <w:keepNext/>
        <w:spacing w:before="160" w:after="40" w:line="240" w:lineRule="auto"/>
      </w:pPr>
      <w:r>
        <w:rPr>
          <w:b/>
          <w:bCs/>
        </w:rPr>
        <w:t>Tabla 1</w:t>
      </w:r>
    </w:p>
    <w:p w:rsidR="00411A36" w:rsidRDefault="004B1780">
      <w:pPr>
        <w:keepNext/>
        <w:spacing w:after="120" w:line="240" w:lineRule="auto"/>
      </w:pPr>
      <w:r>
        <w:rPr>
          <w:i/>
          <w:iCs/>
        </w:rPr>
        <w:t xml:space="preserve">Comparación de los tres hechos </w:t>
      </w:r>
      <w:proofErr w:type="spellStart"/>
      <w:r>
        <w:rPr>
          <w:i/>
          <w:iCs/>
        </w:rPr>
        <w:t>socioambientales</w:t>
      </w:r>
      <w:proofErr w:type="spellEnd"/>
      <w:r>
        <w:rPr>
          <w:i/>
          <w:iCs/>
        </w:rPr>
        <w:t xml:space="preserve"> analizados</w:t>
      </w:r>
    </w:p>
    <w:tbl>
      <w:tblPr>
        <w:tblStyle w:val="a"/>
        <w:tblW w:w="8838" w:type="dxa"/>
        <w:jc w:val="center"/>
        <w:tblInd w:w="0" w:type="dxa"/>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38"/>
        <w:gridCol w:w="2400"/>
        <w:gridCol w:w="2400"/>
        <w:gridCol w:w="2400"/>
      </w:tblGrid>
      <w:tr w:rsidR="00411A36">
        <w:trPr>
          <w:cantSplit/>
          <w:tblHeader/>
          <w:jc w:val="center"/>
        </w:trPr>
        <w:tc>
          <w:tcPr>
            <w:tcW w:w="1638" w:type="dxa"/>
            <w:tcBorders>
              <w:bottom w:val="single" w:sz="8" w:space="0" w:color="000000"/>
            </w:tcBorders>
            <w:shd w:val="clear" w:color="auto" w:fill="F2F2F2"/>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Aspecto</w:t>
            </w:r>
          </w:p>
        </w:tc>
        <w:tc>
          <w:tcPr>
            <w:tcW w:w="2400" w:type="dxa"/>
            <w:tcBorders>
              <w:bottom w:val="single" w:sz="8" w:space="0" w:color="000000"/>
            </w:tcBorders>
            <w:shd w:val="clear" w:color="auto" w:fill="F2F2F2"/>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Café y cacao (selva alta)</w:t>
            </w:r>
          </w:p>
        </w:tc>
        <w:tc>
          <w:tcPr>
            <w:tcW w:w="2400" w:type="dxa"/>
            <w:tcBorders>
              <w:bottom w:val="single" w:sz="8" w:space="0" w:color="000000"/>
            </w:tcBorders>
            <w:shd w:val="clear" w:color="auto" w:fill="F2F2F2"/>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Arándano (costa)</w:t>
            </w:r>
          </w:p>
        </w:tc>
        <w:tc>
          <w:tcPr>
            <w:tcW w:w="2400" w:type="dxa"/>
            <w:tcBorders>
              <w:bottom w:val="single" w:sz="8" w:space="0" w:color="000000"/>
            </w:tcBorders>
            <w:shd w:val="clear" w:color="auto" w:fill="F2F2F2"/>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Espárrago (costa)</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Regiones principales</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San Martín, Junín y Cajamarca</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La Libertad, Lambayeque e Ica</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Ica y La Libertad (75 % del volumen exportado en 2023)</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Quién produce</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Familias: el 85 % trabaja de 1 a 5 ha y solo 3 de cada 10 están asociadas</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Empresas con alta inversión y riego tecnificado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Empresas agroexportadoras de distinto tamaño</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Recurso natural presionado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Bosque amazónico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Agua en zonas desérticas (en Ica, el acuífero)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Acuífero del valle de Ica</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Riesgo climático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Desfase en la floración del café y del cacao (2026)</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Calor que retrasa la floración; caída de 25 % del volumen en 2023</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Floración en el mismo periodo que el arándano; caída de 25 % del volumen en 2023</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Dependencia externa</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Reglamento europeo contra la deforestación (UE 2023/1115)</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Perú abastece cerca de 1 de cada 3 arándanos frescos vendidos en EE. UU.</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EE. UU. compra el 65 % del valor exportado (enero a julio de 2026)</w:t>
            </w:r>
          </w:p>
        </w:tc>
      </w:tr>
      <w:tr w:rsidR="00411A36">
        <w:trPr>
          <w:cantSplit/>
          <w:jc w:val="center"/>
        </w:trPr>
        <w:tc>
          <w:tcPr>
            <w:tcW w:w="1638" w:type="dxa"/>
            <w:tcMar>
              <w:top w:w="80" w:type="dxa"/>
              <w:left w:w="100" w:type="dxa"/>
              <w:bottom w:w="80" w:type="dxa"/>
              <w:right w:w="100" w:type="dxa"/>
            </w:tcMar>
          </w:tcPr>
          <w:p w:rsidR="00411A36" w:rsidRDefault="004B1780">
            <w:pPr>
              <w:spacing w:after="0" w:line="260" w:lineRule="auto"/>
              <w:rPr>
                <w:b/>
                <w:bCs/>
                <w:sz w:val="20"/>
                <w:szCs w:val="20"/>
              </w:rPr>
            </w:pPr>
            <w:r>
              <w:rPr>
                <w:b/>
                <w:bCs/>
                <w:sz w:val="20"/>
                <w:szCs w:val="20"/>
              </w:rPr>
              <w:t>Tipo de empleo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Trabajo familiar; el ingreso depende del precio internacional</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Asalariado y por campaña, bajo el régimen laboral agrario</w:t>
            </w:r>
          </w:p>
        </w:tc>
        <w:tc>
          <w:tcPr>
            <w:tcW w:w="2400" w:type="dxa"/>
            <w:tcMar>
              <w:top w:w="80" w:type="dxa"/>
              <w:left w:w="100" w:type="dxa"/>
              <w:bottom w:w="80" w:type="dxa"/>
              <w:right w:w="100" w:type="dxa"/>
            </w:tcMar>
          </w:tcPr>
          <w:p w:rsidR="00411A36" w:rsidRDefault="004B1780">
            <w:pPr>
              <w:spacing w:after="0" w:line="260" w:lineRule="auto"/>
              <w:rPr>
                <w:sz w:val="20"/>
                <w:szCs w:val="20"/>
              </w:rPr>
            </w:pPr>
            <w:r>
              <w:rPr>
                <w:sz w:val="20"/>
                <w:szCs w:val="20"/>
              </w:rPr>
              <w:t>Asalariado y por campaña, bajo el régimen laboral agrario</w:t>
            </w:r>
          </w:p>
        </w:tc>
      </w:tr>
    </w:tbl>
    <w:p w:rsidR="00411A36" w:rsidRDefault="004B1780">
      <w:pPr>
        <w:spacing w:before="80" w:after="200" w:line="280" w:lineRule="auto"/>
        <w:jc w:val="both"/>
      </w:pPr>
      <w:r>
        <w:rPr>
          <w:i/>
          <w:iCs/>
        </w:rPr>
        <w:t xml:space="preserve">Nota. </w:t>
      </w:r>
      <w:r>
        <w:t xml:space="preserve">Elaboración propia con base en Agraria.pe (2024a, 2024b, 2026a, 2026b), Basurto et al. (2024), Guevara Lezama (2025), León Carrasco (2026a), MIDAGRI (2026), MINCETUR (2026) y </w:t>
      </w:r>
      <w:proofErr w:type="spellStart"/>
      <w:r>
        <w:t>Samon</w:t>
      </w:r>
      <w:proofErr w:type="spellEnd"/>
      <w:r>
        <w:t xml:space="preserve"> Ros (2026).</w:t>
      </w:r>
    </w:p>
    <w:p w:rsidR="00411A36" w:rsidRDefault="004B1780">
      <w:pPr>
        <w:pStyle w:val="Ttulo3"/>
        <w:spacing w:before="200" w:line="360" w:lineRule="auto"/>
        <w:rPr>
          <w:sz w:val="22"/>
          <w:szCs w:val="22"/>
        </w:rPr>
      </w:pPr>
      <w:r>
        <w:rPr>
          <w:sz w:val="22"/>
          <w:szCs w:val="22"/>
        </w:rPr>
        <w:t>2.5.1. Semejanzas</w:t>
      </w:r>
    </w:p>
    <w:p w:rsidR="00411A36" w:rsidRDefault="004B1780">
      <w:pPr>
        <w:spacing w:line="360" w:lineRule="auto"/>
        <w:jc w:val="both"/>
      </w:pPr>
      <w:r>
        <w:rPr>
          <w:b/>
          <w:bCs/>
        </w:rPr>
        <w:t xml:space="preserve">Alta dependencia de compradores y regulaciones externas. </w:t>
      </w:r>
      <w:r>
        <w:t xml:space="preserve">Los tres cultivos se destinan mayoritariamente al mercado exterior, por lo que las decisiones regulatorias y comerciales de otros países inciden directamente en los territorios locales. Entre enero y julio de 2026, Estados Unidos adquirió el 65 % del valor del espárrago fresco exportado por el Perú (León Carrasco, 2026a), país que además abastece cerca de uno de cada tres </w:t>
      </w:r>
      <w:r>
        <w:lastRenderedPageBreak/>
        <w:t>arándanos frescos consumidos en el mercado estadounidense (</w:t>
      </w:r>
      <w:proofErr w:type="spellStart"/>
      <w:r>
        <w:t>Samon</w:t>
      </w:r>
      <w:proofErr w:type="spellEnd"/>
      <w:r>
        <w:t xml:space="preserve"> Ros, 2026). Por su parte, el café y el cacao dependen estrechamente de la Unión Europea, bloque que mediante el Reglamento (UE) 2023/1115 exige acreditar que la producción esté 100 % libre de deforestación y cuente con geolocalización verificable (Flores Tenorio, 2026).</w:t>
      </w:r>
    </w:p>
    <w:p w:rsidR="00411A36" w:rsidRDefault="004B1780">
      <w:pPr>
        <w:spacing w:line="360" w:lineRule="auto"/>
        <w:jc w:val="both"/>
      </w:pPr>
      <w:r>
        <w:rPr>
          <w:b/>
          <w:bCs/>
        </w:rPr>
        <w:t xml:space="preserve">Alta vulnerabilidad frente a anomalías climáticas. </w:t>
      </w:r>
      <w:r>
        <w:t>Durante El Niño Costero de 2023, el volumen exportado de arándano cayó un 25 % debido al incremento térmico de hasta 5 °C por encima del promedio normal (</w:t>
      </w:r>
      <w:proofErr w:type="spellStart"/>
      <w:r>
        <w:t>Samon</w:t>
      </w:r>
      <w:proofErr w:type="spellEnd"/>
      <w:r>
        <w:t xml:space="preserve"> Ros, 2026), y el volumen de espárrago fresco se redujo en la misma proporción a causa del estrés por calor, lluvias e incidencia de plagas (Agraria.pe, 2024a). Como explican Basurto et al. (2024) en la revista Moneda del BCRP, ambos cultivos comparten un periodo crítico de floración entre marzo y julio que coincidió con el pico de anomalías térmicas en la costa norte. En 2026, este riesgo se reactiva con la alerta oficial de El Niño Costero (ENFEN, 2026), registrándose ya una contracción de 1,5 % en la campaña de arándanos entre mayo y octubre (León Carrasco, 2026c) y desfases en la floración de café y cacao en la selva (Agraria.pe, 2026b).</w:t>
      </w:r>
    </w:p>
    <w:p w:rsidR="00411A36" w:rsidRDefault="004B1780">
      <w:pPr>
        <w:spacing w:line="360" w:lineRule="auto"/>
        <w:jc w:val="both"/>
      </w:pPr>
      <w:r>
        <w:rPr>
          <w:b/>
          <w:bCs/>
        </w:rPr>
        <w:t xml:space="preserve">Presión intensiva sobre un recurso natural de lenta recuperación. </w:t>
      </w:r>
      <w:r>
        <w:t xml:space="preserve">En el valle de Ica —eje exportador de espárrago y arándano—, los acuíferos de Ica, </w:t>
      </w:r>
      <w:proofErr w:type="spellStart"/>
      <w:r>
        <w:t>Villacurí</w:t>
      </w:r>
      <w:proofErr w:type="spellEnd"/>
      <w:r>
        <w:t xml:space="preserve"> y Lanchas descienden hasta 1,5 metros por año pese a las declaratorias de veda (Guevara Lezama, 2025). En la Amazonía, el recurso comprometido es el bosque primario: tanto la normativa europea (Flores Tenorio, 2026) como los antecedentes de deforestación masiva en </w:t>
      </w:r>
      <w:proofErr w:type="spellStart"/>
      <w:r>
        <w:t>Tamshiyacu</w:t>
      </w:r>
      <w:proofErr w:type="spellEnd"/>
      <w:r>
        <w:t xml:space="preserve"> (</w:t>
      </w:r>
      <w:proofErr w:type="spellStart"/>
      <w:r>
        <w:t>Finer</w:t>
      </w:r>
      <w:proofErr w:type="spellEnd"/>
      <w:r>
        <w:t xml:space="preserve"> et al., 2020) demuestran que el crecimiento sin control degrada ecosistemas cuya regeneración toma décadas.</w:t>
      </w:r>
    </w:p>
    <w:p w:rsidR="00411A36" w:rsidRDefault="004B1780">
      <w:pPr>
        <w:pStyle w:val="Ttulo3"/>
        <w:spacing w:before="200" w:line="360" w:lineRule="auto"/>
        <w:rPr>
          <w:sz w:val="22"/>
          <w:szCs w:val="22"/>
        </w:rPr>
      </w:pPr>
      <w:r>
        <w:rPr>
          <w:sz w:val="22"/>
          <w:szCs w:val="22"/>
        </w:rPr>
        <w:t>2.5.2. Diferencias</w:t>
      </w:r>
    </w:p>
    <w:p w:rsidR="00411A36" w:rsidRDefault="004B1780">
      <w:pPr>
        <w:spacing w:line="360" w:lineRule="auto"/>
        <w:jc w:val="both"/>
      </w:pPr>
      <w:r>
        <w:rPr>
          <w:b/>
          <w:bCs/>
        </w:rPr>
        <w:t xml:space="preserve">Estructura de propiedad y distribución del ingreso. </w:t>
      </w:r>
      <w:r>
        <w:t xml:space="preserve">En la cadena del café participan más de 223 mil familias productoras; el 85 % conduce parcelas pequeñas de entre 1 y 5 hectáreas y apenas tres de cada diez se encuentran asociadas (Agraria.pe, 2026a). En contraste, en la </w:t>
      </w:r>
      <w:proofErr w:type="spellStart"/>
      <w:r>
        <w:t>agroexportación</w:t>
      </w:r>
      <w:proofErr w:type="spellEnd"/>
      <w:r>
        <w:t xml:space="preserve"> costera predomina la concentración empresarial: solo 18 grandes empresas concentran cerca de la mitad del empleo formal del sector (Agraria.pe, 2024c). De este modo, mientras en la selva el riesgo productivo y comercial recae directamente sobre la economía familiar campesina, en la costa la tensión principal se configura entre el capital corporativo y los trabajadores asalariados por campaña.</w:t>
      </w:r>
    </w:p>
    <w:p w:rsidR="00411A36" w:rsidRDefault="004B1780">
      <w:pPr>
        <w:spacing w:line="360" w:lineRule="auto"/>
        <w:jc w:val="both"/>
      </w:pPr>
      <w:r>
        <w:rPr>
          <w:b/>
          <w:bCs/>
        </w:rPr>
        <w:t xml:space="preserve">Naturaleza opuesta del recurso ecológico en riesgo. </w:t>
      </w:r>
      <w:r>
        <w:t xml:space="preserve">Mientras en la costa el factor limitante es la escasez absoluta de agua y el agotamiento subterráneo, en la selva el </w:t>
      </w:r>
      <w:r>
        <w:lastRenderedPageBreak/>
        <w:t xml:space="preserve">recurso hídrico es abundante pero el ecosistema amenazado es la cobertura boscosa y la biodiversidad. Por ello, los instrumentos de gestión ambiental deben ser específicos: control </w:t>
      </w:r>
      <w:proofErr w:type="spellStart"/>
      <w:r>
        <w:t>piezométrico</w:t>
      </w:r>
      <w:proofErr w:type="spellEnd"/>
      <w:r>
        <w:t>, recarga hídrica y fiscalización de pozos en el litoral; y zonificación forestal, sistemas agroforestales y geolocalización satelital en la Amazonía.</w:t>
      </w:r>
    </w:p>
    <w:p w:rsidR="00411A36" w:rsidRDefault="004B1780">
      <w:pPr>
        <w:spacing w:line="360" w:lineRule="auto"/>
        <w:jc w:val="both"/>
      </w:pPr>
      <w:r>
        <w:rPr>
          <w:b/>
          <w:bCs/>
        </w:rPr>
        <w:t xml:space="preserve">Etapa del ciclo productivo entre los cultivos costeños. </w:t>
      </w:r>
      <w:r>
        <w:t xml:space="preserve">Aunque el arándano y el espárrago comparten territorio en La Libertad e Ica —regiones que concentraron el 75 % del espárrago exportado (Agraria.pe, 2024b) y lideran los envíos de </w:t>
      </w:r>
      <w:proofErr w:type="spellStart"/>
      <w:r>
        <w:t>berries</w:t>
      </w:r>
      <w:proofErr w:type="spellEnd"/>
      <w:r>
        <w:t xml:space="preserve"> (MIDAGRI, 2026)—, atraviesan fases distintas. El arándano es el cultivo estrella en plena expansión (US$ 2 457 millones en 2025), mientras que el espárrago es un cultivo maduro que sostiene sus ingresos por el alza del precio internacional antes que por volumen: entre enero y julio de 2026 su valor exportado creció 6,85 %, pero su volumen exportado cayó 6,69 % (León Carrasco, 2026a). La crisis hídrica generada durante el auge esparraguero en Ica constituye una alerta directa frente a la actual expansión del arándano (Guevara Lezama, 2025; Muñoz, 2016; </w:t>
      </w:r>
      <w:proofErr w:type="spellStart"/>
      <w:r>
        <w:t>Pronti</w:t>
      </w:r>
      <w:proofErr w:type="spellEnd"/>
      <w:r>
        <w:t xml:space="preserve"> et al., 2024).</w:t>
      </w:r>
    </w:p>
    <w:p w:rsidR="00411A36" w:rsidRDefault="004B1780">
      <w:pPr>
        <w:pStyle w:val="Ttulo3"/>
        <w:spacing w:before="200" w:line="360" w:lineRule="auto"/>
        <w:rPr>
          <w:sz w:val="22"/>
          <w:szCs w:val="22"/>
        </w:rPr>
      </w:pPr>
      <w:r>
        <w:rPr>
          <w:sz w:val="22"/>
          <w:szCs w:val="22"/>
        </w:rPr>
        <w:t>2.5.3. Causas comunes</w:t>
      </w:r>
    </w:p>
    <w:p w:rsidR="00411A36" w:rsidRDefault="004B1780">
      <w:pPr>
        <w:spacing w:line="360" w:lineRule="auto"/>
        <w:jc w:val="both"/>
      </w:pPr>
      <w:r>
        <w:rPr>
          <w:b/>
          <w:bCs/>
        </w:rPr>
        <w:t xml:space="preserve">Un modelo impulsado por la demanda externa y regímenes promocionales asimétricos. </w:t>
      </w:r>
      <w:r>
        <w:t xml:space="preserve">Durante más de dos décadas, la </w:t>
      </w:r>
      <w:proofErr w:type="spellStart"/>
      <w:r>
        <w:t>agroexportación</w:t>
      </w:r>
      <w:proofErr w:type="spellEnd"/>
      <w:r>
        <w:t xml:space="preserve"> gozó de una tasa reducida de impuesto a la renta y beneficios laborales diferenciados bajo la Ley N.° 27360, derogada en diciembre de 2020 tras intensas protestas sociales (Agraria.pe, 2024c). No obstante, en 2025 se promulgó la Ley N.° 32434, que restituye una tasa preferencial de 15 % de impuesto a la renta para las empresas agrarias —incluidas las grandes corporaciones— durante el periodo 2026-2035 (Rojas, 2025). Aunque la norma contempla incentivos para la </w:t>
      </w:r>
      <w:proofErr w:type="spellStart"/>
      <w:r>
        <w:t>asociatividad</w:t>
      </w:r>
      <w:proofErr w:type="spellEnd"/>
      <w:r>
        <w:t xml:space="preserve"> de pequeños productores, exige una formalización previa que resulta difícil de alcanzar cuando el 70 % de los caficultores permanece desarticulado (Agraria.pe, 2026a; Rojas, 2025).</w:t>
      </w:r>
    </w:p>
    <w:p w:rsidR="00411A36" w:rsidRDefault="004B1780">
      <w:pPr>
        <w:spacing w:line="360" w:lineRule="auto"/>
        <w:jc w:val="both"/>
      </w:pPr>
      <w:r>
        <w:rPr>
          <w:b/>
          <w:bCs/>
        </w:rPr>
        <w:t xml:space="preserve">Debilidad institucional en la regulación y fiscalización estatal. </w:t>
      </w:r>
      <w:r>
        <w:t xml:space="preserve">En los tres hechos se constata un Estado que reacciona tardíamente: en Ica los acuíferos continúan descendiendo pese a las vedas legales (Guevara Lezama, 2025); en la Amazonía aún falta </w:t>
      </w:r>
      <w:proofErr w:type="spellStart"/>
      <w:r>
        <w:t>geolocalizar</w:t>
      </w:r>
      <w:proofErr w:type="spellEnd"/>
      <w:r>
        <w:t xml:space="preserve"> cerca de 160 mil predios (el 40 % de los 400 mil polígonos requeridos) para cumplir con la Unión Europea (Agraria.pe, 2026b); y en el ámbito laboral, la reciente instalación de mesas de formalización en 2026 confirma que la precariedad sigue vigente (MTPE, 2026).</w:t>
      </w:r>
    </w:p>
    <w:p w:rsidR="00411A36" w:rsidRDefault="004B1780">
      <w:pPr>
        <w:pStyle w:val="Ttulo3"/>
        <w:spacing w:before="200" w:line="360" w:lineRule="auto"/>
        <w:rPr>
          <w:sz w:val="22"/>
          <w:szCs w:val="22"/>
        </w:rPr>
      </w:pPr>
      <w:r>
        <w:rPr>
          <w:sz w:val="22"/>
          <w:szCs w:val="22"/>
        </w:rPr>
        <w:lastRenderedPageBreak/>
        <w:t>2.5.4. Consecuencias compartidas</w:t>
      </w:r>
    </w:p>
    <w:p w:rsidR="00411A36" w:rsidRDefault="004B1780">
      <w:pPr>
        <w:spacing w:line="360" w:lineRule="auto"/>
        <w:jc w:val="both"/>
      </w:pPr>
      <w:r>
        <w:rPr>
          <w:b/>
          <w:bCs/>
        </w:rPr>
        <w:t xml:space="preserve">Distribución desigual de los beneficios y de los costos climáticos. </w:t>
      </w:r>
      <w:r>
        <w:t xml:space="preserve">Cuando eventos como El Niño contraen la oferta agrícola, el incremento de los precios internacionales suele compensar los ingresos de las empresas exportadoras: en 2023 el espárrago perdió 25 % de </w:t>
      </w:r>
      <w:proofErr w:type="gramStart"/>
      <w:r>
        <w:t>volumen</w:t>
      </w:r>
      <w:proofErr w:type="gramEnd"/>
      <w:r>
        <w:t xml:space="preserve"> pero su valor exportado aumentó 5 % (Agraria.pe, 2024a), y el precio promedio del arándano se elevó cerca de 75 % (</w:t>
      </w:r>
      <w:proofErr w:type="spellStart"/>
      <w:r>
        <w:t>Samon</w:t>
      </w:r>
      <w:proofErr w:type="spellEnd"/>
      <w:r>
        <w:t xml:space="preserve"> Ros, 2026). Por el contrario, una menor cosecha se traduce inmediatamente en menos semanas de contratación para los obreros agrícolas de la costa y en pérdidas directas de subsistencia para las familias productoras de la selva.</w:t>
      </w:r>
    </w:p>
    <w:p w:rsidR="00411A36" w:rsidRDefault="004B1780">
      <w:pPr>
        <w:spacing w:line="360" w:lineRule="auto"/>
        <w:jc w:val="both"/>
      </w:pPr>
      <w:r>
        <w:rPr>
          <w:b/>
          <w:bCs/>
        </w:rPr>
        <w:t xml:space="preserve">Traslado de los costos de transición ecológica hacia el eslabón más débil. </w:t>
      </w:r>
      <w:r>
        <w:t>En la cadena del café y el cacao, diversas cooperativas evalúan redirigir sus ventas hacia mercados de Asia y Norteamérica debido a que el cumplimiento del reglamento europeo contra la deforestación les impone costos de certificación y geolocalización que no siempre son compensados en el precio final (Agraria.pe, 2026b; Flores Tenorio, 2026).</w:t>
      </w:r>
    </w:p>
    <w:p w:rsidR="00411A36" w:rsidRDefault="004B1780">
      <w:pPr>
        <w:spacing w:line="360" w:lineRule="auto"/>
        <w:jc w:val="both"/>
      </w:pPr>
      <w:r>
        <w:rPr>
          <w:b/>
          <w:bCs/>
        </w:rPr>
        <w:t xml:space="preserve">Creciente fragilidad macroeconómica del sector en su conjunto. </w:t>
      </w:r>
      <w:r>
        <w:t xml:space="preserve">Tras haber crecido 18,5 % en 2025 (MINCETUR, 2026), el valor total de las </w:t>
      </w:r>
      <w:proofErr w:type="spellStart"/>
      <w:r>
        <w:t>agroexportaciones</w:t>
      </w:r>
      <w:proofErr w:type="spellEnd"/>
      <w:r>
        <w:t xml:space="preserve"> peruanas aumentó apenas 1,9 % entre enero y agosto de 2026, concentrando el 10,8 % de las exportaciones totales del país (León Carrasco, 2026b). </w:t>
      </w:r>
      <w:proofErr w:type="spellStart"/>
      <w:r>
        <w:t>Esta</w:t>
      </w:r>
      <w:proofErr w:type="spellEnd"/>
      <w:r>
        <w:t xml:space="preserve"> marcada desaceleración en pleno desarrollo de El Niño Costero evidencia que la vulnerabilidad climática y ecológica ya condiciona el desempeño global del modelo agroexportador.</w:t>
      </w:r>
    </w:p>
    <w:p w:rsidR="00411A36" w:rsidRDefault="004B1780">
      <w:pPr>
        <w:pStyle w:val="Ttulo3"/>
        <w:spacing w:before="200" w:line="360" w:lineRule="auto"/>
        <w:rPr>
          <w:sz w:val="22"/>
          <w:szCs w:val="22"/>
        </w:rPr>
      </w:pPr>
      <w:r>
        <w:rPr>
          <w:sz w:val="22"/>
          <w:szCs w:val="22"/>
        </w:rPr>
        <w:t>2.5.5. Síntesis</w:t>
      </w:r>
    </w:p>
    <w:p w:rsidR="00411A36" w:rsidRDefault="004B1780">
      <w:pPr>
        <w:spacing w:line="360" w:lineRule="auto"/>
        <w:jc w:val="both"/>
      </w:pPr>
      <w:r>
        <w:t xml:space="preserve">Los tres hechos revelan un mismo patrón estructural expresado en distintos territorios: la </w:t>
      </w:r>
      <w:proofErr w:type="spellStart"/>
      <w:r>
        <w:t>agroexportación</w:t>
      </w:r>
      <w:proofErr w:type="spellEnd"/>
      <w:r>
        <w:t xml:space="preserve"> peruana se expande aceleradamente mientras dispone de un recurso natural explotable (agua subterránea en el desierto costero o suelo forestal en la Amazonía) y de un mercado externo favorable, pero la debilidad institucional del Estado impide conservar la base ecológica y distribuir equitativamente la riqueza generada. Mientras el café y el cacao comprometen el bosque amazónico y su acceso al mercado europeo, el arándano y el espárrago agotan los acuíferos costeros y exponen el empleo rural a los embates climáticos.</w:t>
      </w:r>
    </w:p>
    <w:p w:rsidR="00411A36" w:rsidRDefault="004B1780">
      <w:pPr>
        <w:pStyle w:val="Ttulo2"/>
        <w:spacing w:before="240" w:after="120" w:line="360" w:lineRule="auto"/>
        <w:rPr>
          <w:sz w:val="22"/>
          <w:szCs w:val="22"/>
        </w:rPr>
      </w:pPr>
      <w:bookmarkStart w:id="7" w:name="_heading=h.s7b8uqx7692i"/>
      <w:bookmarkEnd w:id="7"/>
      <w:r>
        <w:rPr>
          <w:sz w:val="22"/>
          <w:szCs w:val="22"/>
        </w:rPr>
        <w:lastRenderedPageBreak/>
        <w:t>2.6. Relación entre los tres hechos: desafíos territoriales y sostenibilidad</w:t>
      </w:r>
    </w:p>
    <w:p w:rsidR="00411A36" w:rsidRDefault="004B1780">
      <w:pPr>
        <w:spacing w:line="360" w:lineRule="auto"/>
        <w:jc w:val="both"/>
      </w:pPr>
      <w:r>
        <w:t xml:space="preserve">Desde una perspectiva propositiva y de gestión territorial, la articulación de los tres casos demuestra que la </w:t>
      </w:r>
      <w:proofErr w:type="spellStart"/>
      <w:r>
        <w:t>agroexportación</w:t>
      </w:r>
      <w:proofErr w:type="spellEnd"/>
      <w:r>
        <w:t xml:space="preserve"> peruana posee un alto potencial para impulsar el crecimiento económico, la generación de empleo descentralizado y la integración comercial del país; sin embargo, su viabilidad futura exige políticas diferenciadas según la realidad </w:t>
      </w:r>
      <w:proofErr w:type="spellStart"/>
      <w:r>
        <w:t>socioecológica</w:t>
      </w:r>
      <w:proofErr w:type="spellEnd"/>
      <w:r>
        <w:t xml:space="preserve"> de cada </w:t>
      </w:r>
      <w:proofErr w:type="spellStart"/>
      <w:r>
        <w:t>macrorregión</w:t>
      </w:r>
      <w:proofErr w:type="spellEnd"/>
      <w:r>
        <w:t>.</w:t>
      </w:r>
    </w:p>
    <w:p w:rsidR="00411A36" w:rsidRDefault="004B1780">
      <w:pPr>
        <w:spacing w:line="360" w:lineRule="auto"/>
        <w:jc w:val="both"/>
      </w:pPr>
      <w:r>
        <w:t xml:space="preserve">En los territorios amazónicos productores de café y cacao, la prioridad estratégica consiste en elevar la productividad por hectárea existente, acelerar el catastro y la geolocalización satelital de los predios familiares y consolidar sistemas agroforestales que aseguren el cumplimiento del Reglamento (UE) 2023/1115 sin expandir la frontera agrícola sobre los bosques primarios (Agraria.pe, 2026b; Flores Tenorio, 2026). Por su parte, en los valles costeros productores de arándanos, resulta imperativo supeditar cualquier ampliación de áreas de cultivo a balances hídricos reales, proyectos de recarga artificial de acuíferos, desalinización y fiscalización estricta de pozos subterráneos (Guevara Lezama, 2025; MIDAGRI, 2026). Asimismo, en las zonas productoras de espárragos, es indispensable fortalecer la infraestructura de defensa ribereña, drenaje agrícola y reconversión hacia variedades más </w:t>
      </w:r>
      <w:proofErr w:type="spellStart"/>
      <w:r>
        <w:t>resilientes</w:t>
      </w:r>
      <w:proofErr w:type="spellEnd"/>
      <w:r>
        <w:t xml:space="preserve"> frente al estrés térmico de El Niño Costero (Basurto et al., 2024; ENFEN, 2026).</w:t>
      </w:r>
    </w:p>
    <w:p w:rsidR="00411A36" w:rsidRDefault="004B1780">
      <w:pPr>
        <w:spacing w:line="360" w:lineRule="auto"/>
        <w:jc w:val="both"/>
      </w:pPr>
      <w:r>
        <w:t>De manera transversal, los tres hechos comparten la urgencia de dignificar el trabajo agrario mediante la supervisión efectiva de los derechos laborales y la seguridad social (MTPE, 2026), cerrar las brechas de infraestructura vial y cadena de frío, y democratizar el acceso a la innovación tecnológica y al crédito para los pequeños productores asociados.</w:t>
      </w:r>
    </w:p>
    <w:p w:rsidR="00411A36" w:rsidRDefault="004B1780">
      <w:pPr>
        <w:spacing w:line="360" w:lineRule="auto"/>
        <w:jc w:val="both"/>
      </w:pPr>
      <w:r>
        <w:t xml:space="preserve">En consecuencia, este diagnóstico integral permite al equipo definir como eje para el trabajo final del curso la necesidad de transitar desde un modelo agroexportador extractivo hacia uno de gobernanza </w:t>
      </w:r>
      <w:proofErr w:type="spellStart"/>
      <w:r>
        <w:t>socioambiental</w:t>
      </w:r>
      <w:proofErr w:type="spellEnd"/>
      <w:r>
        <w:t xml:space="preserve"> sostenible, en el que las normas institucionales, la inversión empresarial y la participación ciudadana converjan en la protección de las cuencas hidrográficas, la conservación de los bosques amazónicos y el bienestar digno de las poblaciones rurales del Perú.</w:t>
      </w:r>
    </w:p>
    <w:p w:rsidR="00411A36" w:rsidRDefault="004B1780">
      <w:pPr>
        <w:pStyle w:val="Ttulo1"/>
        <w:pageBreakBefore/>
        <w:numPr>
          <w:ilvl w:val="0"/>
          <w:numId w:val="4"/>
        </w:numPr>
        <w:spacing w:before="240" w:after="160" w:line="360" w:lineRule="auto"/>
        <w:ind w:left="360"/>
        <w:rPr>
          <w:sz w:val="24"/>
          <w:szCs w:val="24"/>
        </w:rPr>
      </w:pPr>
      <w:bookmarkStart w:id="8" w:name="_heading=h.kruemr2qsctd"/>
      <w:bookmarkEnd w:id="8"/>
      <w:r>
        <w:rPr>
          <w:sz w:val="24"/>
          <w:szCs w:val="24"/>
        </w:rPr>
        <w:lastRenderedPageBreak/>
        <w:t>CONCLUSIONES</w:t>
      </w:r>
    </w:p>
    <w:p w:rsidR="00411A36" w:rsidRDefault="004B1780">
      <w:pPr>
        <w:numPr>
          <w:ilvl w:val="0"/>
          <w:numId w:val="3"/>
        </w:numPr>
        <w:spacing w:before="60" w:after="140" w:line="360" w:lineRule="auto"/>
        <w:jc w:val="both"/>
      </w:pPr>
      <w:r>
        <w:rPr>
          <w:b/>
          <w:bCs/>
        </w:rPr>
        <w:t xml:space="preserve">Impacto económico ambivalente del modelo agroexportador: </w:t>
      </w:r>
      <w:r>
        <w:t xml:space="preserve">La </w:t>
      </w:r>
      <w:proofErr w:type="spellStart"/>
      <w:r>
        <w:t>agroexportación</w:t>
      </w:r>
      <w:proofErr w:type="spellEnd"/>
      <w:r>
        <w:t xml:space="preserve"> se ha consolidado como un pilar macroeconómico del Perú al generar récords de divisas (US$ 12 784 millones en 2024 y un crecimiento regional de 18,5 % en 2025), atraer inversión privada y dinamizar el empleo. Sin embargo, su crecimiento presenta fuertes asimetrías sociales y costos ambientales que demuestran que el éxito comercial externo no garantiza, por sí solo, el desarrollo sostenible de los territorios productores.</w:t>
      </w:r>
    </w:p>
    <w:p w:rsidR="00411A36" w:rsidRDefault="004B1780">
      <w:pPr>
        <w:numPr>
          <w:ilvl w:val="0"/>
          <w:numId w:val="3"/>
        </w:numPr>
        <w:spacing w:before="60" w:after="140" w:line="360" w:lineRule="auto"/>
        <w:jc w:val="both"/>
      </w:pPr>
      <w:r>
        <w:rPr>
          <w:b/>
          <w:bCs/>
        </w:rPr>
        <w:t xml:space="preserve">Crisis hídrica y sobreexplotación de acuíferos en la costa: </w:t>
      </w:r>
      <w:r>
        <w:t xml:space="preserve">La expansión intensiva de cultivos de exportación como el espárrago y el arándano ha logrado transformar zonas desérticas de La Libertad, Lambayeque e Ica en polos altamente productivos, pero a costa de una extracción de agua subterránea que supera la recarga natural. El descenso de hasta 1,5 metros anuales en los acuíferos de Ica y la proliferación de pozos informales generan estrés hídrico y conflictos </w:t>
      </w:r>
      <w:proofErr w:type="spellStart"/>
      <w:r>
        <w:t>socioambientales</w:t>
      </w:r>
      <w:proofErr w:type="spellEnd"/>
      <w:r>
        <w:t xml:space="preserve"> que perjudican a los pequeños agricultores y a las poblaciones locales.</w:t>
      </w:r>
    </w:p>
    <w:p w:rsidR="00411A36" w:rsidRDefault="004B1780">
      <w:pPr>
        <w:numPr>
          <w:ilvl w:val="0"/>
          <w:numId w:val="3"/>
        </w:numPr>
        <w:spacing w:before="60" w:after="140" w:line="360" w:lineRule="auto"/>
        <w:jc w:val="both"/>
      </w:pPr>
      <w:r>
        <w:rPr>
          <w:b/>
          <w:bCs/>
        </w:rPr>
        <w:t xml:space="preserve">Oportunidades, deforestación y retos de trazabilidad en la Amazonía: </w:t>
      </w:r>
      <w:r>
        <w:t xml:space="preserve">En la selva alta y baja, el café y el cacao constituyen el sustento de más de 223 mil familias y han representado históricamente una alternativa económica viable frente al cultivo ilícito de la hoja de coca. No obstante, su desarrollo sostenible exige frenar la deforestación (evitando casos críticos como el de </w:t>
      </w:r>
      <w:proofErr w:type="spellStart"/>
      <w:r>
        <w:t>Tamshiyacu</w:t>
      </w:r>
      <w:proofErr w:type="spellEnd"/>
      <w:r>
        <w:t xml:space="preserve">) y superar las brechas de </w:t>
      </w:r>
      <w:proofErr w:type="spellStart"/>
      <w:r>
        <w:t>asociatividad</w:t>
      </w:r>
      <w:proofErr w:type="spellEnd"/>
      <w:r>
        <w:t xml:space="preserve"> y geolocalización de predios (donde aún falta cubrir el 40 % de polígonos) para no perder el acceso al mercado de la Unión Europea.</w:t>
      </w:r>
    </w:p>
    <w:p w:rsidR="00411A36" w:rsidRDefault="004B1780">
      <w:pPr>
        <w:numPr>
          <w:ilvl w:val="0"/>
          <w:numId w:val="3"/>
        </w:numPr>
        <w:spacing w:before="60" w:after="140" w:line="360" w:lineRule="auto"/>
        <w:jc w:val="both"/>
      </w:pPr>
      <w:r>
        <w:rPr>
          <w:b/>
          <w:bCs/>
        </w:rPr>
        <w:t xml:space="preserve">Alta vulnerabilidad frente al Fenómeno El Niño y al cambio climático: </w:t>
      </w:r>
      <w:r>
        <w:t xml:space="preserve">Los tres hechos analizados evidencian una marcada fragilidad climática. Así como El Niño Costero de 2023 redujo en 25 % los volúmenes exportados de arándano y espárrago por anomalías térmicas durante su etapa de floración, el actual estado de alerta de El Niño Costero en 2026 ya provoca desfases fenológicos y explica la desaceleración de las </w:t>
      </w:r>
      <w:proofErr w:type="spellStart"/>
      <w:r>
        <w:t>agroexportaciones</w:t>
      </w:r>
      <w:proofErr w:type="spellEnd"/>
      <w:r>
        <w:t xml:space="preserve"> (1,9 % entre enero y agosto de 2026), amenazando la infraestructura vial y la estabilidad de los ingresos rurales.</w:t>
      </w:r>
    </w:p>
    <w:p w:rsidR="00411A36" w:rsidRDefault="004B1780">
      <w:pPr>
        <w:numPr>
          <w:ilvl w:val="0"/>
          <w:numId w:val="3"/>
        </w:numPr>
        <w:spacing w:before="60" w:after="140" w:line="360" w:lineRule="auto"/>
        <w:jc w:val="both"/>
      </w:pPr>
      <w:r>
        <w:rPr>
          <w:b/>
          <w:bCs/>
        </w:rPr>
        <w:t xml:space="preserve">Estacionalidad laboral y demandas de ciudadanía social: </w:t>
      </w:r>
      <w:r>
        <w:t xml:space="preserve">Aunque el sector genera un alto volumen de puestos de trabajo, predomina la contratación temporal </w:t>
      </w:r>
      <w:r>
        <w:lastRenderedPageBreak/>
        <w:t>por campaña y la demanda de mano de obra no calificada en la costa, así como la informalidad familiar en la selva. Esta precariedad explica el surgimiento periódico de protestas sociales por mejores remuneraciones y condiciones laborales dignas, evidenciando que los incentivos tributarios estatales (como la Ley N.° 27360 y la actual Ley N.° 32434) deben articularse con mecanismos efectivos de formalización y derechos laborales.</w:t>
      </w:r>
    </w:p>
    <w:p w:rsidR="00411A36" w:rsidRDefault="004B1780">
      <w:pPr>
        <w:numPr>
          <w:ilvl w:val="0"/>
          <w:numId w:val="3"/>
        </w:numPr>
        <w:spacing w:before="60" w:after="140" w:line="360" w:lineRule="auto"/>
        <w:jc w:val="both"/>
      </w:pPr>
      <w:r>
        <w:rPr>
          <w:b/>
          <w:bCs/>
        </w:rPr>
        <w:t xml:space="preserve">Necesidad de fortalecer la gobernanza pública y la infraestructura territorial: </w:t>
      </w:r>
      <w:r>
        <w:t xml:space="preserve">Finalmente, se concluye que consolidar a la </w:t>
      </w:r>
      <w:proofErr w:type="spellStart"/>
      <w:r>
        <w:t>agroexportación</w:t>
      </w:r>
      <w:proofErr w:type="spellEnd"/>
      <w:r>
        <w:t xml:space="preserve"> como un verdadero motor de desarrollo sostenible exige una acción coordinada entre el Estado (MIDAGRI, MINCETUR, MTPE, ANA y gobiernos regionales), las empresas y las cooperativas agrarias. Resulta prioritario cerrar las brechas de infraestructura vial y de riego, fiscalizar rigurosamente el uso del agua subterránea y la conservación de los bosques, e impulsar la capacitación técnica y la adaptación climática en beneficio del bien común.</w:t>
      </w:r>
    </w:p>
    <w:p w:rsidR="00411A36" w:rsidRDefault="004B1780">
      <w:pPr>
        <w:pStyle w:val="Ttulo1"/>
        <w:pageBreakBefore/>
        <w:numPr>
          <w:ilvl w:val="0"/>
          <w:numId w:val="4"/>
        </w:numPr>
        <w:spacing w:before="240" w:after="160" w:line="360" w:lineRule="auto"/>
        <w:ind w:left="360"/>
        <w:rPr>
          <w:sz w:val="24"/>
          <w:szCs w:val="24"/>
        </w:rPr>
      </w:pPr>
      <w:bookmarkStart w:id="9" w:name="_heading=h.dw5rmpd2vcj2"/>
      <w:bookmarkEnd w:id="9"/>
      <w:r>
        <w:rPr>
          <w:sz w:val="24"/>
          <w:szCs w:val="24"/>
        </w:rPr>
        <w:lastRenderedPageBreak/>
        <w:t>REFERENCIAS</w:t>
      </w:r>
    </w:p>
    <w:p w:rsidR="00411A36" w:rsidRDefault="004B1780">
      <w:pPr>
        <w:spacing w:line="360" w:lineRule="auto"/>
        <w:ind w:left="720" w:hanging="720"/>
      </w:pPr>
      <w:r>
        <w:t xml:space="preserve">Agraria.pe. (2024a, 5 de febrero). </w:t>
      </w:r>
      <w:r>
        <w:rPr>
          <w:i/>
          <w:iCs/>
        </w:rPr>
        <w:t>El mayor precio del espárrago permitió cerrar el 2023 en positivo</w:t>
      </w:r>
      <w:r>
        <w:t xml:space="preserve">. </w:t>
      </w:r>
      <w:hyperlink r:id="rId9">
        <w:r>
          <w:rPr>
            <w:color w:val="0563C1"/>
            <w:u w:val="single"/>
          </w:rPr>
          <w:t>https://agraria.pe/noticias/el-mayor-precio-del-esparrago-permitio-cerrar-el-2023-en-pos-34656</w:t>
        </w:r>
      </w:hyperlink>
    </w:p>
    <w:p w:rsidR="00411A36" w:rsidRDefault="004B1780">
      <w:pPr>
        <w:spacing w:line="360" w:lineRule="auto"/>
        <w:ind w:left="720" w:hanging="720"/>
      </w:pPr>
      <w:r>
        <w:t xml:space="preserve">Agraria.pe. (2024b, 8 de febrero). </w:t>
      </w:r>
      <w:r>
        <w:rPr>
          <w:i/>
          <w:iCs/>
        </w:rPr>
        <w:t>Ica y La Libertad concentraron el 75% del volumen de espárragos frescos exportados por Perú en 2023</w:t>
      </w:r>
      <w:r>
        <w:t xml:space="preserve">. </w:t>
      </w:r>
      <w:hyperlink r:id="rId10">
        <w:r>
          <w:rPr>
            <w:color w:val="0563C1"/>
            <w:u w:val="single"/>
          </w:rPr>
          <w:t>https://agraria.pe/noticias/ica-y-la-libertad-concentraron-el-75-del-volumen-de-esparrag-34705</w:t>
        </w:r>
      </w:hyperlink>
    </w:p>
    <w:p w:rsidR="00411A36" w:rsidRDefault="004B1780">
      <w:pPr>
        <w:spacing w:line="360" w:lineRule="auto"/>
        <w:ind w:left="720" w:hanging="720"/>
      </w:pPr>
      <w:r>
        <w:t xml:space="preserve">Agraria.pe. (2024c, 2 de diciembre). </w:t>
      </w:r>
      <w:r>
        <w:rPr>
          <w:i/>
          <w:iCs/>
        </w:rPr>
        <w:t>Eduardo Zegarra: dictamen de nueva ley agraria perjudicaría al fisco con cerca de S/20.000 millones</w:t>
      </w:r>
      <w:r>
        <w:t xml:space="preserve">. </w:t>
      </w:r>
      <w:hyperlink r:id="rId11">
        <w:r>
          <w:rPr>
            <w:color w:val="0563C1"/>
            <w:u w:val="single"/>
          </w:rPr>
          <w:t>https://agraria.pe/noticias/eduardo-zegarra-dictamen-de-nueva-ley-agraria-perjudicaria-a-37853</w:t>
        </w:r>
      </w:hyperlink>
    </w:p>
    <w:p w:rsidR="00411A36" w:rsidRDefault="004B1780">
      <w:pPr>
        <w:spacing w:line="360" w:lineRule="auto"/>
        <w:ind w:left="720" w:hanging="720"/>
      </w:pPr>
      <w:r>
        <w:t xml:space="preserve">Agraria.pe. (2026a, 11 de febrero). </w:t>
      </w:r>
      <w:r>
        <w:rPr>
          <w:i/>
          <w:iCs/>
        </w:rPr>
        <w:t>Exportaciones peruanas de café sumaron más de US$ 1.700 millones en 2025</w:t>
      </w:r>
      <w:r>
        <w:t xml:space="preserve">. </w:t>
      </w:r>
      <w:hyperlink r:id="rId12">
        <w:r>
          <w:rPr>
            <w:color w:val="0563C1"/>
            <w:u w:val="single"/>
          </w:rPr>
          <w:t>https://agraria.pe/noticias/exportaciones-peruanas-de-cafe-sumaron-mas-de-us-1-700-millo-41648</w:t>
        </w:r>
      </w:hyperlink>
    </w:p>
    <w:p w:rsidR="00411A36" w:rsidRDefault="004B1780">
      <w:pPr>
        <w:spacing w:line="360" w:lineRule="auto"/>
        <w:ind w:left="720" w:hanging="720"/>
      </w:pPr>
      <w:r>
        <w:t xml:space="preserve">Agraria.pe. (2026b, 23 de octubre). </w:t>
      </w:r>
      <w:r>
        <w:rPr>
          <w:i/>
          <w:iCs/>
        </w:rPr>
        <w:t xml:space="preserve">Contrarreloj: 160 mil predios de café aún no son </w:t>
      </w:r>
      <w:proofErr w:type="spellStart"/>
      <w:r>
        <w:rPr>
          <w:i/>
          <w:iCs/>
        </w:rPr>
        <w:t>geolocalizados</w:t>
      </w:r>
      <w:proofErr w:type="spellEnd"/>
      <w:r>
        <w:rPr>
          <w:i/>
          <w:iCs/>
        </w:rPr>
        <w:t xml:space="preserve"> como exige la UE</w:t>
      </w:r>
      <w:r>
        <w:t xml:space="preserve">. </w:t>
      </w:r>
      <w:hyperlink r:id="rId13">
        <w:r>
          <w:rPr>
            <w:color w:val="0563C1"/>
            <w:u w:val="single"/>
          </w:rPr>
          <w:t>https://agraria.pe/noticias/contrarreloj-160-mil-predios-de-cafe-aun-no-son-geolocalizad-43334</w:t>
        </w:r>
      </w:hyperlink>
    </w:p>
    <w:p w:rsidR="00411A36" w:rsidRDefault="004B1780">
      <w:pPr>
        <w:spacing w:line="360" w:lineRule="auto"/>
        <w:ind w:left="720" w:hanging="720"/>
      </w:pPr>
      <w:r>
        <w:t xml:space="preserve">Basurto, S., Berrocal, A., &amp; Pérez, G. (2024). El efecto del Fenómeno El Niño sobre el índice de precios de los productos de </w:t>
      </w:r>
      <w:proofErr w:type="spellStart"/>
      <w:r>
        <w:t>agroexportación</w:t>
      </w:r>
      <w:proofErr w:type="spellEnd"/>
      <w:r>
        <w:t xml:space="preserve">. </w:t>
      </w:r>
      <w:r>
        <w:rPr>
          <w:i/>
          <w:iCs/>
        </w:rPr>
        <w:t>Revista Moneda</w:t>
      </w:r>
      <w:r>
        <w:t xml:space="preserve">, (198), 77–84. </w:t>
      </w:r>
      <w:hyperlink r:id="rId14">
        <w:r>
          <w:rPr>
            <w:color w:val="0563C1"/>
            <w:u w:val="single"/>
          </w:rPr>
          <w:t>https://www.bcrp.gob.pe/docs/Publicaciones/Revista-Moneda/moneda-198/moneda-198-12.pdf</w:t>
        </w:r>
      </w:hyperlink>
    </w:p>
    <w:p w:rsidR="00411A36" w:rsidRDefault="004B1780">
      <w:pPr>
        <w:spacing w:line="360" w:lineRule="auto"/>
        <w:ind w:left="720" w:hanging="720"/>
      </w:pPr>
      <w:r>
        <w:t xml:space="preserve">Comisión Multisectorial encargada del Estudio Nacional del Fenómeno El Niño. (2026, 16 de octubre). </w:t>
      </w:r>
      <w:r>
        <w:rPr>
          <w:i/>
          <w:iCs/>
        </w:rPr>
        <w:t>Comunicado Oficial ENFEN N.° 18-2026</w:t>
      </w:r>
      <w:r>
        <w:t xml:space="preserve">. </w:t>
      </w:r>
      <w:hyperlink r:id="rId15">
        <w:r>
          <w:rPr>
            <w:color w:val="0563C1"/>
            <w:u w:val="single"/>
          </w:rPr>
          <w:t>https://enfen.imarpe.gob.pe/</w:t>
        </w:r>
      </w:hyperlink>
    </w:p>
    <w:p w:rsidR="00411A36" w:rsidRDefault="004B1780">
      <w:pPr>
        <w:spacing w:line="360" w:lineRule="auto"/>
        <w:ind w:left="720" w:hanging="720"/>
      </w:pPr>
      <w:proofErr w:type="spellStart"/>
      <w:r>
        <w:t>Finer</w:t>
      </w:r>
      <w:proofErr w:type="spellEnd"/>
      <w:r>
        <w:t xml:space="preserve">, M., Mamani, N., Suarez, D., &amp; Balbuena, H. (2020, 25 de noviembre). </w:t>
      </w:r>
      <w:r>
        <w:rPr>
          <w:i/>
          <w:iCs/>
        </w:rPr>
        <w:t xml:space="preserve">MAAP #128: Caso </w:t>
      </w:r>
      <w:proofErr w:type="spellStart"/>
      <w:r>
        <w:rPr>
          <w:i/>
          <w:iCs/>
        </w:rPr>
        <w:t>Tamshiyacu</w:t>
      </w:r>
      <w:proofErr w:type="spellEnd"/>
      <w:r>
        <w:rPr>
          <w:i/>
          <w:iCs/>
        </w:rPr>
        <w:t>, 7 años después de la masiva deforestación en la Amazonía peruana</w:t>
      </w:r>
      <w:r>
        <w:t xml:space="preserve">. </w:t>
      </w:r>
      <w:proofErr w:type="spellStart"/>
      <w:r>
        <w:t>Monitoring</w:t>
      </w:r>
      <w:proofErr w:type="spellEnd"/>
      <w:r>
        <w:t xml:space="preserve"> of </w:t>
      </w:r>
      <w:proofErr w:type="spellStart"/>
      <w:r>
        <w:t>the</w:t>
      </w:r>
      <w:proofErr w:type="spellEnd"/>
      <w:r>
        <w:t xml:space="preserve"> </w:t>
      </w:r>
      <w:proofErr w:type="spellStart"/>
      <w:r>
        <w:t>Andean</w:t>
      </w:r>
      <w:proofErr w:type="spellEnd"/>
      <w:r>
        <w:t xml:space="preserve"> Amazon Project (MAAP). </w:t>
      </w:r>
      <w:hyperlink r:id="rId16">
        <w:r>
          <w:rPr>
            <w:color w:val="0563C1"/>
            <w:u w:val="single"/>
          </w:rPr>
          <w:t>https://www.maapprogram.org/es/tamshiyacu-cacao/</w:t>
        </w:r>
      </w:hyperlink>
    </w:p>
    <w:p w:rsidR="00411A36" w:rsidRDefault="004B1780">
      <w:pPr>
        <w:spacing w:line="360" w:lineRule="auto"/>
        <w:ind w:left="720" w:hanging="720"/>
      </w:pPr>
      <w:r>
        <w:t xml:space="preserve">Flores Tenorio, P. A. (2026). Café peruano libre de deforestación: desafíos y oportunidades en el mercado europeo. </w:t>
      </w:r>
      <w:proofErr w:type="spellStart"/>
      <w:r>
        <w:rPr>
          <w:i/>
          <w:iCs/>
        </w:rPr>
        <w:t>Journal</w:t>
      </w:r>
      <w:proofErr w:type="spellEnd"/>
      <w:r>
        <w:rPr>
          <w:i/>
          <w:iCs/>
        </w:rPr>
        <w:t xml:space="preserve"> of Business, 17</w:t>
      </w:r>
      <w:r>
        <w:t xml:space="preserve">(1), 5–31. </w:t>
      </w:r>
      <w:hyperlink r:id="rId17">
        <w:r>
          <w:rPr>
            <w:color w:val="0563C1"/>
            <w:u w:val="single"/>
          </w:rPr>
          <w:t>https://doi.org/10.21678/jb.2026.2498</w:t>
        </w:r>
      </w:hyperlink>
    </w:p>
    <w:p w:rsidR="00411A36" w:rsidRDefault="004B1780">
      <w:pPr>
        <w:spacing w:line="360" w:lineRule="auto"/>
        <w:ind w:left="720" w:hanging="720"/>
      </w:pPr>
      <w:r>
        <w:lastRenderedPageBreak/>
        <w:t xml:space="preserve">Guevara Lezama, A. G. (2025). </w:t>
      </w:r>
      <w:r>
        <w:rPr>
          <w:i/>
          <w:iCs/>
        </w:rPr>
        <w:t xml:space="preserve">Crisis hídrica y </w:t>
      </w:r>
      <w:proofErr w:type="spellStart"/>
      <w:r>
        <w:rPr>
          <w:i/>
          <w:iCs/>
        </w:rPr>
        <w:t>agroexportación</w:t>
      </w:r>
      <w:proofErr w:type="spellEnd"/>
      <w:r>
        <w:rPr>
          <w:i/>
          <w:iCs/>
        </w:rPr>
        <w:t xml:space="preserve"> en Ica: impacto del TLC con EE. UU. en la gestión del agua</w:t>
      </w:r>
      <w:r>
        <w:t xml:space="preserve"> [Tesis de maestría, Pontificia Universidad Católica del Perú]. Repositorio Institucional PUCP. </w:t>
      </w:r>
      <w:hyperlink r:id="rId18">
        <w:r>
          <w:rPr>
            <w:color w:val="0563C1"/>
            <w:u w:val="single"/>
          </w:rPr>
          <w:t>http://hdl.handle.net/20.500.12404/32469</w:t>
        </w:r>
      </w:hyperlink>
    </w:p>
    <w:p w:rsidR="00411A36" w:rsidRDefault="004B1780">
      <w:pPr>
        <w:spacing w:line="360" w:lineRule="auto"/>
        <w:ind w:left="720" w:hanging="720"/>
      </w:pPr>
      <w:r>
        <w:t xml:space="preserve">León Carrasco, J. C. (2026a, 3 de septiembre). </w:t>
      </w:r>
      <w:r>
        <w:rPr>
          <w:i/>
          <w:iCs/>
        </w:rPr>
        <w:t>Exportaciones peruanas de espárragos frescos aumentan en valor 6.85% a julio de 2026</w:t>
      </w:r>
      <w:r>
        <w:t xml:space="preserve">. Agraria.pe. </w:t>
      </w:r>
      <w:hyperlink r:id="rId19">
        <w:r>
          <w:rPr>
            <w:color w:val="0563C1"/>
            <w:u w:val="single"/>
          </w:rPr>
          <w:t>https://agraria.pe/noticias/exportaciones-peruanas-de-esparragos-frescos-aumentan-en-val-43004</w:t>
        </w:r>
      </w:hyperlink>
    </w:p>
    <w:p w:rsidR="00411A36" w:rsidRDefault="004B1780">
      <w:pPr>
        <w:spacing w:line="360" w:lineRule="auto"/>
        <w:ind w:left="720" w:hanging="720"/>
      </w:pPr>
      <w:r>
        <w:t xml:space="preserve">León Carrasco, J. C. (2026b, 7 de octubre). </w:t>
      </w:r>
      <w:proofErr w:type="spellStart"/>
      <w:r>
        <w:rPr>
          <w:i/>
          <w:iCs/>
        </w:rPr>
        <w:t>Agroexportaciones</w:t>
      </w:r>
      <w:proofErr w:type="spellEnd"/>
      <w:r>
        <w:rPr>
          <w:i/>
          <w:iCs/>
        </w:rPr>
        <w:t xml:space="preserve"> concentraron el 10.8% del total de las exportaciones peruanas a agosto del 2026</w:t>
      </w:r>
      <w:r>
        <w:t xml:space="preserve">. Agraria.pe. </w:t>
      </w:r>
      <w:hyperlink r:id="rId20">
        <w:r>
          <w:rPr>
            <w:color w:val="0563C1"/>
            <w:u w:val="single"/>
          </w:rPr>
          <w:t>https://agraria.pe/noticias/agroexportaciones-concentraron-el-10-8-del-total-de-las-expo-43241</w:t>
        </w:r>
      </w:hyperlink>
    </w:p>
    <w:p w:rsidR="00411A36" w:rsidRDefault="004B1780">
      <w:pPr>
        <w:spacing w:line="360" w:lineRule="auto"/>
        <w:ind w:left="720" w:hanging="720"/>
      </w:pPr>
      <w:r>
        <w:t xml:space="preserve">León Carrasco, J. C. (2026c, 26 de octubre). </w:t>
      </w:r>
      <w:r>
        <w:rPr>
          <w:i/>
          <w:iCs/>
        </w:rPr>
        <w:t>Exportaciones de arándanos frescos registran caída por los efectos de El Niño</w:t>
      </w:r>
      <w:r>
        <w:t xml:space="preserve">. Agraria.pe. </w:t>
      </w:r>
      <w:hyperlink r:id="rId21">
        <w:r>
          <w:rPr>
            <w:color w:val="0563C1"/>
            <w:u w:val="single"/>
          </w:rPr>
          <w:t>https://agraria.pe/noticias/exportaciones-de-arandanos-frescos-registran-caida-por-los-e-43341</w:t>
        </w:r>
      </w:hyperlink>
    </w:p>
    <w:p w:rsidR="00411A36" w:rsidRDefault="004B1780">
      <w:pPr>
        <w:spacing w:line="360" w:lineRule="auto"/>
        <w:ind w:left="720" w:hanging="720"/>
      </w:pPr>
      <w:r>
        <w:t xml:space="preserve">Ministerio de Comercio Exterior y Turismo. (2025, 10 de febrero). </w:t>
      </w:r>
      <w:proofErr w:type="spellStart"/>
      <w:r>
        <w:rPr>
          <w:i/>
          <w:iCs/>
        </w:rPr>
        <w:t>Agroexportaciones</w:t>
      </w:r>
      <w:proofErr w:type="spellEnd"/>
      <w:r>
        <w:rPr>
          <w:i/>
          <w:iCs/>
        </w:rPr>
        <w:t xml:space="preserve"> peruanas superan su máximo valor histórico y alcanzan los US$ 12 784 millones</w:t>
      </w:r>
      <w:r>
        <w:t xml:space="preserve">. Plataforma Digital Única del Estado Peruano. </w:t>
      </w:r>
      <w:hyperlink r:id="rId22">
        <w:r>
          <w:rPr>
            <w:color w:val="0563C1"/>
            <w:u w:val="single"/>
          </w:rPr>
          <w:t>https://www.gob.pe/institucion/mincetur/noticias/1107369-agroexportaciones-peruanas-superan-su-maximo-valor-historico-y-alcanzan-los-us-12-784-millones</w:t>
        </w:r>
      </w:hyperlink>
    </w:p>
    <w:p w:rsidR="00411A36" w:rsidRDefault="004B1780">
      <w:pPr>
        <w:spacing w:line="360" w:lineRule="auto"/>
        <w:ind w:left="720" w:hanging="720"/>
      </w:pPr>
      <w:r>
        <w:t xml:space="preserve">Ministerio de Comercio Exterior y Turismo. (2026, 5 de febrero). </w:t>
      </w:r>
      <w:r>
        <w:rPr>
          <w:i/>
          <w:iCs/>
        </w:rPr>
        <w:t>Exportaciones regionales cierran el 2025 con US$ 77 mil millones y crecen el doble de lo registrado por Lima y el Callao</w:t>
      </w:r>
      <w:r>
        <w:t xml:space="preserve">. Plataforma Digital Única del Estado Peruano. </w:t>
      </w:r>
      <w:hyperlink r:id="rId23">
        <w:r>
          <w:rPr>
            <w:color w:val="0563C1"/>
            <w:u w:val="single"/>
          </w:rPr>
          <w:t>https://www.gob.pe/institucion/mincetur/noticias/1351179-mincetur-exportaciones-regionales-cierran-el-2025-con-us-77-mil-millones-y-crecen-el-doble-de-lo-registrado-por-lima-y-el-callao</w:t>
        </w:r>
      </w:hyperlink>
    </w:p>
    <w:p w:rsidR="00411A36" w:rsidRDefault="004B1780">
      <w:pPr>
        <w:spacing w:line="360" w:lineRule="auto"/>
        <w:ind w:left="720" w:hanging="720"/>
      </w:pPr>
      <w:r>
        <w:t xml:space="preserve">Ministerio de Desarrollo Agrario y Riego. (2026, 16 de febrero). </w:t>
      </w:r>
      <w:r>
        <w:rPr>
          <w:i/>
          <w:iCs/>
        </w:rPr>
        <w:t>MIDAGRI: Perú consolida su liderazgo mundial en arándanos y supera los USD 2,400 millones en ventas durante el 2025</w:t>
      </w:r>
      <w:r>
        <w:t xml:space="preserve">. Plataforma Digital Única del Estado Peruano. </w:t>
      </w:r>
      <w:hyperlink r:id="rId24">
        <w:r>
          <w:rPr>
            <w:color w:val="0563C1"/>
            <w:u w:val="single"/>
          </w:rPr>
          <w:t>https://www.gob.pe/institucion/midagri/noticias/1354335-midagri-peru-consolida-su-</w:t>
        </w:r>
        <w:r>
          <w:rPr>
            <w:color w:val="0563C1"/>
            <w:u w:val="single"/>
          </w:rPr>
          <w:lastRenderedPageBreak/>
          <w:t>liderazgo-mundial-en-arandanos-y-supera-los-us-2-400-millones-en-ventas-durante-el-2025</w:t>
        </w:r>
      </w:hyperlink>
    </w:p>
    <w:p w:rsidR="00411A36" w:rsidRDefault="004B1780">
      <w:pPr>
        <w:spacing w:line="360" w:lineRule="auto"/>
        <w:ind w:left="720" w:hanging="720"/>
      </w:pPr>
      <w:r>
        <w:t xml:space="preserve">Ministerio de Trabajo y Promoción del Empleo. (2026, 5 de mayo). </w:t>
      </w:r>
      <w:r>
        <w:rPr>
          <w:i/>
          <w:iCs/>
        </w:rPr>
        <w:t xml:space="preserve">MTPE instala mesa de trabajo para promover la formalización en la </w:t>
      </w:r>
      <w:proofErr w:type="spellStart"/>
      <w:r>
        <w:rPr>
          <w:i/>
          <w:iCs/>
        </w:rPr>
        <w:t>agroexportación</w:t>
      </w:r>
      <w:proofErr w:type="spellEnd"/>
      <w:r>
        <w:t xml:space="preserve">. Plataforma Digital Única del Estado Peruano. </w:t>
      </w:r>
      <w:hyperlink r:id="rId25">
        <w:r>
          <w:rPr>
            <w:color w:val="0563C1"/>
            <w:u w:val="single"/>
          </w:rPr>
          <w:t>https://www.gob.pe/institucion/mtpe/noticias/1387685-mtpe-instala-mesa-de-trabajo-para-promover-la-formalizacion-en-la-agroexportacion</w:t>
        </w:r>
      </w:hyperlink>
    </w:p>
    <w:p w:rsidR="00411A36" w:rsidRDefault="004B1780">
      <w:pPr>
        <w:spacing w:line="360" w:lineRule="auto"/>
        <w:ind w:left="720" w:hanging="720"/>
      </w:pPr>
      <w:r>
        <w:t xml:space="preserve">Muñoz, I. (2016). Agro-exportación y sobreexplotación del acuífero de Ica en Perú. </w:t>
      </w:r>
      <w:proofErr w:type="spellStart"/>
      <w:r>
        <w:rPr>
          <w:i/>
          <w:iCs/>
        </w:rPr>
        <w:t>Anthropologica</w:t>
      </w:r>
      <w:proofErr w:type="spellEnd"/>
      <w:r>
        <w:rPr>
          <w:i/>
          <w:iCs/>
        </w:rPr>
        <w:t>, 34</w:t>
      </w:r>
      <w:r>
        <w:t xml:space="preserve">(37), 115–138. </w:t>
      </w:r>
      <w:hyperlink r:id="rId26">
        <w:r>
          <w:rPr>
            <w:color w:val="0563C1"/>
            <w:u w:val="single"/>
          </w:rPr>
          <w:t>https://revistas.pucp.edu.pe/index.php/anthropologica/es/article/view/14834/16548</w:t>
        </w:r>
      </w:hyperlink>
    </w:p>
    <w:p w:rsidR="00411A36" w:rsidRDefault="004B1780">
      <w:pPr>
        <w:spacing w:line="360" w:lineRule="auto"/>
        <w:ind w:left="720" w:hanging="720"/>
      </w:pPr>
      <w:proofErr w:type="spellStart"/>
      <w:r>
        <w:t>Pronti</w:t>
      </w:r>
      <w:proofErr w:type="spellEnd"/>
      <w:r>
        <w:t xml:space="preserve">, A., Zegarra, E., Rey Vicario, D., &amp; Graves, A. (2024). Global </w:t>
      </w:r>
      <w:proofErr w:type="spellStart"/>
      <w:r>
        <w:t>exports</w:t>
      </w:r>
      <w:proofErr w:type="spellEnd"/>
      <w:r>
        <w:t xml:space="preserve"> </w:t>
      </w:r>
      <w:proofErr w:type="spellStart"/>
      <w:r>
        <w:t>draining</w:t>
      </w:r>
      <w:proofErr w:type="spellEnd"/>
      <w:r>
        <w:t xml:space="preserve"> local </w:t>
      </w:r>
      <w:proofErr w:type="spellStart"/>
      <w:r>
        <w:t>water</w:t>
      </w:r>
      <w:proofErr w:type="spellEnd"/>
      <w:r>
        <w:t xml:space="preserve"> </w:t>
      </w:r>
      <w:proofErr w:type="spellStart"/>
      <w:r>
        <w:t>resources</w:t>
      </w:r>
      <w:proofErr w:type="spellEnd"/>
      <w:r>
        <w:t xml:space="preserve">: </w:t>
      </w:r>
      <w:proofErr w:type="spellStart"/>
      <w:r>
        <w:t>Land</w:t>
      </w:r>
      <w:proofErr w:type="spellEnd"/>
      <w:r>
        <w:t xml:space="preserve"> </w:t>
      </w:r>
      <w:proofErr w:type="spellStart"/>
      <w:r>
        <w:t>concentration</w:t>
      </w:r>
      <w:proofErr w:type="spellEnd"/>
      <w:r>
        <w:t xml:space="preserve">, </w:t>
      </w:r>
      <w:proofErr w:type="spellStart"/>
      <w:r>
        <w:t>food</w:t>
      </w:r>
      <w:proofErr w:type="spellEnd"/>
      <w:r>
        <w:t xml:space="preserve"> </w:t>
      </w:r>
      <w:proofErr w:type="spellStart"/>
      <w:r>
        <w:t>exports</w:t>
      </w:r>
      <w:proofErr w:type="spellEnd"/>
      <w:r>
        <w:t xml:space="preserve"> and </w:t>
      </w:r>
      <w:proofErr w:type="spellStart"/>
      <w:r>
        <w:t>water</w:t>
      </w:r>
      <w:proofErr w:type="spellEnd"/>
      <w:r>
        <w:t xml:space="preserve"> </w:t>
      </w:r>
      <w:proofErr w:type="spellStart"/>
      <w:r>
        <w:t>grabbing</w:t>
      </w:r>
      <w:proofErr w:type="spellEnd"/>
      <w:r>
        <w:t xml:space="preserve"> in </w:t>
      </w:r>
      <w:proofErr w:type="spellStart"/>
      <w:r>
        <w:t>the</w:t>
      </w:r>
      <w:proofErr w:type="spellEnd"/>
      <w:r>
        <w:t xml:space="preserve"> Ica Valley (</w:t>
      </w:r>
      <w:proofErr w:type="spellStart"/>
      <w:r>
        <w:t>Peru</w:t>
      </w:r>
      <w:proofErr w:type="spellEnd"/>
      <w:r>
        <w:t xml:space="preserve">). </w:t>
      </w:r>
      <w:proofErr w:type="spellStart"/>
      <w:r>
        <w:rPr>
          <w:i/>
          <w:iCs/>
        </w:rPr>
        <w:t>World</w:t>
      </w:r>
      <w:proofErr w:type="spellEnd"/>
      <w:r>
        <w:rPr>
          <w:i/>
          <w:iCs/>
        </w:rPr>
        <w:t xml:space="preserve"> </w:t>
      </w:r>
      <w:proofErr w:type="spellStart"/>
      <w:r>
        <w:rPr>
          <w:i/>
          <w:iCs/>
        </w:rPr>
        <w:t>Development</w:t>
      </w:r>
      <w:proofErr w:type="spellEnd"/>
      <w:r>
        <w:rPr>
          <w:i/>
          <w:iCs/>
        </w:rPr>
        <w:t>, 177</w:t>
      </w:r>
      <w:r>
        <w:t xml:space="preserve">, Artículo 106528. </w:t>
      </w:r>
      <w:hyperlink r:id="rId27">
        <w:r>
          <w:rPr>
            <w:color w:val="0563C1"/>
            <w:u w:val="single"/>
          </w:rPr>
          <w:t>https://grade.org.pe/publicaciones/global-exports-draining-local-water-resources-land-concentration-food-exports-and-water-grabbing-in-the-ica-valley-peru/</w:t>
        </w:r>
      </w:hyperlink>
    </w:p>
    <w:p w:rsidR="00411A36" w:rsidRDefault="004B1780">
      <w:pPr>
        <w:spacing w:line="360" w:lineRule="auto"/>
        <w:ind w:left="720" w:hanging="720"/>
      </w:pPr>
      <w:r>
        <w:t xml:space="preserve">Rojas, I. (2025, 26 de octubre). </w:t>
      </w:r>
      <w:r>
        <w:rPr>
          <w:i/>
          <w:iCs/>
        </w:rPr>
        <w:t>Ley N.° 32434: ¿Qué beneficios plantea la nueva ley agraria para los productores en Perú?</w:t>
      </w:r>
      <w:r>
        <w:t xml:space="preserve"> </w:t>
      </w:r>
      <w:proofErr w:type="spellStart"/>
      <w:r>
        <w:t>LexLatin</w:t>
      </w:r>
      <w:proofErr w:type="spellEnd"/>
      <w:r>
        <w:t xml:space="preserve">. </w:t>
      </w:r>
      <w:hyperlink r:id="rId28">
        <w:r>
          <w:rPr>
            <w:color w:val="0563C1"/>
            <w:u w:val="single"/>
          </w:rPr>
          <w:t>https://lexlatin.com/reportajes/ley-32434-agraria-beneficios-peru</w:t>
        </w:r>
      </w:hyperlink>
    </w:p>
    <w:p w:rsidR="00411A36" w:rsidRDefault="004B1780">
      <w:pPr>
        <w:spacing w:line="360" w:lineRule="auto"/>
        <w:ind w:left="720" w:hanging="720"/>
      </w:pPr>
      <w:proofErr w:type="spellStart"/>
      <w:r>
        <w:t>Samon</w:t>
      </w:r>
      <w:proofErr w:type="spellEnd"/>
      <w:r>
        <w:t xml:space="preserve"> Ros, C. (2026, 30 de julio). </w:t>
      </w:r>
      <w:r>
        <w:rPr>
          <w:i/>
          <w:iCs/>
        </w:rPr>
        <w:t>El Niño amenaza los arándanos de Perú y podría disparar los precios en todo el mundo</w:t>
      </w:r>
      <w:r>
        <w:t xml:space="preserve">. </w:t>
      </w:r>
      <w:proofErr w:type="spellStart"/>
      <w:r>
        <w:t>Bloomberg</w:t>
      </w:r>
      <w:proofErr w:type="spellEnd"/>
      <w:r>
        <w:t xml:space="preserve"> Línea. </w:t>
      </w:r>
      <w:hyperlink r:id="rId29">
        <w:r>
          <w:rPr>
            <w:color w:val="0563C1"/>
            <w:u w:val="single"/>
          </w:rPr>
          <w:t>https://www.bloomberglinea.com/latinoamerica/peru/el-nino-amenaza-los-arandanos-de-peru-y-podria-disparar-los-precios-en-todo-el-mundo/</w:t>
        </w:r>
      </w:hyperlink>
    </w:p>
    <w:p w:rsidR="00411A36" w:rsidRDefault="004B1780">
      <w:pPr>
        <w:spacing w:line="360" w:lineRule="auto"/>
        <w:ind w:left="720" w:hanging="720"/>
      </w:pPr>
      <w:r>
        <w:t xml:space="preserve">Torres, F., &amp; Tuesta, P. (2025, 29 de octubre). </w:t>
      </w:r>
      <w:r>
        <w:rPr>
          <w:i/>
          <w:iCs/>
        </w:rPr>
        <w:t>Las frutas de la sed: el negocio que agota el agua de Ica para exportar al mundo</w:t>
      </w:r>
      <w:r>
        <w:t xml:space="preserve">. Salud con Lupa. </w:t>
      </w:r>
      <w:hyperlink r:id="rId30">
        <w:r>
          <w:rPr>
            <w:color w:val="0563C1"/>
            <w:u w:val="single"/>
          </w:rPr>
          <w:t>https://saludconlupa.com/medio-ambiente/las-frutas-de-la-sed-el-negocio-que-agota-el-agua-de-ica-para-exportar-al-mundo/</w:t>
        </w:r>
      </w:hyperlink>
      <w:bookmarkStart w:id="10" w:name="_GoBack"/>
      <w:bookmarkEnd w:id="10"/>
    </w:p>
    <w:p w:rsidR="00411A36" w:rsidRDefault="00463E3A" w:rsidP="00463E3A">
      <w:pPr>
        <w:spacing w:before="240" w:line="360" w:lineRule="auto"/>
      </w:pPr>
      <w:r>
        <w:rPr>
          <w:b/>
          <w:bCs/>
          <w:sz w:val="24"/>
          <w:szCs w:val="24"/>
        </w:rPr>
        <w:t xml:space="preserve">ENLACE DEL BLOG: </w:t>
      </w:r>
      <w:hyperlink r:id="rId31" w:history="1">
        <w:r>
          <w:rPr>
            <w:rStyle w:val="Hipervnculo"/>
            <w:color w:val="0563C1"/>
            <w:sz w:val="24"/>
            <w:szCs w:val="24"/>
          </w:rPr>
          <w:t>https://blog-realidad-nacional-ucsur.netlify.app/</w:t>
        </w:r>
      </w:hyperlink>
    </w:p>
    <w:sectPr w:rsidR="00411A36">
      <w:headerReference w:type="default" r:id="rId3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C45" w:rsidRDefault="00E85C45">
      <w:pPr>
        <w:spacing w:after="0" w:line="240" w:lineRule="auto"/>
      </w:pPr>
      <w:r>
        <w:separator/>
      </w:r>
    </w:p>
  </w:endnote>
  <w:endnote w:type="continuationSeparator" w:id="0">
    <w:p w:rsidR="00E85C45" w:rsidRDefault="00E8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B8F4D9EE-E1EB-491B-9F11-76D0BD89DBB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2" w:fontKey="{42A46D10-836D-420C-83D6-1DD362D745D3}"/>
  </w:font>
  <w:font w:name="Calibri">
    <w:panose1 w:val="020F0502020204030204"/>
    <w:charset w:val="00"/>
    <w:family w:val="swiss"/>
    <w:pitch w:val="variable"/>
    <w:sig w:usb0="E4002EFF" w:usb1="C000247B" w:usb2="00000009" w:usb3="00000000" w:csb0="000001FF" w:csb1="00000000"/>
    <w:embedRegular r:id="rId3" w:fontKey="{C0C48CBD-91D7-4C5F-ABD6-0900618EA60A}"/>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C45" w:rsidRDefault="00E85C45">
      <w:pPr>
        <w:spacing w:after="0" w:line="240" w:lineRule="auto"/>
      </w:pPr>
      <w:r>
        <w:separator/>
      </w:r>
    </w:p>
  </w:footnote>
  <w:footnote w:type="continuationSeparator" w:id="0">
    <w:p w:rsidR="00E85C45" w:rsidRDefault="00E85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A36" w:rsidRDefault="004B1780">
    <w:pPr>
      <w:pBdr>
        <w:bottom w:val="single" w:sz="6" w:space="4" w:color="808080"/>
      </w:pBdr>
      <w:tabs>
        <w:tab w:val="center" w:pos="4419"/>
        <w:tab w:val="right" w:pos="8838"/>
        <w:tab w:val="right" w:pos="8838"/>
      </w:tabs>
      <w:spacing w:after="0" w:line="240" w:lineRule="auto"/>
    </w:pPr>
    <w:r>
      <w:rPr>
        <w:color w:val="404040"/>
        <w:sz w:val="18"/>
        <w:szCs w:val="18"/>
      </w:rPr>
      <w:t>Universidad Científica del Sur – Análisis de la Realidad Nacional y Ambiental</w:t>
    </w:r>
    <w:r>
      <w:rPr>
        <w:color w:val="404040"/>
        <w:sz w:val="18"/>
        <w:szCs w:val="18"/>
      </w:rPr>
      <w:tab/>
    </w:r>
    <w:r>
      <w:rPr>
        <w:color w:val="404040"/>
        <w:sz w:val="18"/>
        <w:szCs w:val="18"/>
      </w:rPr>
      <w:fldChar w:fldCharType="begin"/>
    </w:r>
    <w:r>
      <w:rPr>
        <w:color w:val="404040"/>
        <w:sz w:val="18"/>
        <w:szCs w:val="18"/>
      </w:rPr>
      <w:instrText>PAGE</w:instrText>
    </w:r>
    <w:r>
      <w:rPr>
        <w:color w:val="404040"/>
        <w:sz w:val="18"/>
        <w:szCs w:val="18"/>
      </w:rPr>
      <w:fldChar w:fldCharType="separate"/>
    </w:r>
    <w:r w:rsidR="00463E3A">
      <w:rPr>
        <w:noProof/>
        <w:color w:val="404040"/>
        <w:sz w:val="18"/>
        <w:szCs w:val="18"/>
      </w:rPr>
      <w:t>22</w:t>
    </w:r>
    <w:r>
      <w:rPr>
        <w:color w:val="404040"/>
        <w:sz w:val="18"/>
        <w:szCs w:val="1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D0B9E"/>
    <w:multiLevelType w:val="multilevel"/>
    <w:tmpl w:val="9BC44B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32F1525"/>
    <w:multiLevelType w:val="multilevel"/>
    <w:tmpl w:val="E6F61D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EB4475"/>
    <w:multiLevelType w:val="multilevel"/>
    <w:tmpl w:val="F762ED4A"/>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4E3533C"/>
    <w:multiLevelType w:val="multilevel"/>
    <w:tmpl w:val="E034B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E35C9F"/>
    <w:multiLevelType w:val="multilevel"/>
    <w:tmpl w:val="10AE4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A36"/>
    <w:rsid w:val="00411A36"/>
    <w:rsid w:val="00463E3A"/>
    <w:rsid w:val="004B1780"/>
    <w:rsid w:val="00BD0C3D"/>
    <w:rsid w:val="00E85C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2831"/>
  <w15:docId w15:val="{440C13AC-6B08-4E0E-86AF-033EED59C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PE" w:eastAsia="es-P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072173D"/>
    <w:pPr>
      <w:ind w:left="720"/>
      <w:contextualSpacing/>
    </w:pPr>
  </w:style>
  <w:style w:type="character" w:styleId="Hipervnculo">
    <w:name w:val="Hyperlink"/>
    <w:basedOn w:val="Fuentedeprrafopredeter"/>
    <w:uiPriority w:val="99"/>
    <w:unhideWhenUsed/>
    <w:rsid w:val="00DA079D"/>
    <w:rPr>
      <w:color w:val="0563C1" w:themeColor="hyperlink"/>
      <w:u w:val="single"/>
    </w:rPr>
  </w:style>
  <w:style w:type="character" w:customStyle="1" w:styleId="UnresolvedMention">
    <w:name w:val="Unresolved Mention"/>
    <w:basedOn w:val="Fuentedeprrafopredeter"/>
    <w:uiPriority w:val="99"/>
    <w:semiHidden/>
    <w:unhideWhenUsed/>
    <w:rsid w:val="00DA079D"/>
    <w:rPr>
      <w:color w:val="605E5C"/>
      <w:shd w:val="clear" w:color="auto" w:fill="E1DFDD"/>
    </w:rPr>
  </w:style>
  <w:style w:type="character" w:styleId="Hipervnculovisitado">
    <w:name w:val="FollowedHyperlink"/>
    <w:basedOn w:val="Fuentedeprrafopredeter"/>
    <w:uiPriority w:val="99"/>
    <w:semiHidden/>
    <w:unhideWhenUsed/>
    <w:rsid w:val="00FE59B6"/>
    <w:rPr>
      <w:color w:val="954F72" w:themeColor="followedHyperlink"/>
      <w:u w:val="single"/>
    </w:rPr>
  </w:style>
  <w:style w:type="character" w:styleId="Textodelmarcadordeposicin">
    <w:name w:val="Placeholder Text"/>
    <w:basedOn w:val="Fuentedeprrafopredeter"/>
    <w:uiPriority w:val="99"/>
    <w:semiHidden/>
    <w:rsid w:val="000A33E9"/>
    <w:rPr>
      <w:color w:val="666666"/>
    </w:rPr>
  </w:style>
  <w:style w:type="character" w:customStyle="1" w:styleId="math-inline">
    <w:name w:val="math-inline"/>
    <w:basedOn w:val="Fuentedeprrafopredeter"/>
    <w:rsid w:val="0046487A"/>
  </w:style>
  <w:style w:type="character" w:customStyle="1" w:styleId="citation-228">
    <w:name w:val="citation-228"/>
    <w:basedOn w:val="Fuentedeprrafopredeter"/>
    <w:rsid w:val="0046487A"/>
  </w:style>
  <w:style w:type="paragraph" w:styleId="Encabezado">
    <w:name w:val="header"/>
    <w:basedOn w:val="Normal"/>
    <w:link w:val="EncabezadoCar"/>
    <w:uiPriority w:val="99"/>
    <w:unhideWhenUsed/>
    <w:rsid w:val="00436FD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6FDF"/>
  </w:style>
  <w:style w:type="paragraph" w:styleId="Piedepgina">
    <w:name w:val="footer"/>
    <w:basedOn w:val="Normal"/>
    <w:link w:val="PiedepginaCar"/>
    <w:uiPriority w:val="99"/>
    <w:unhideWhenUsed/>
    <w:rsid w:val="00436FD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6FDF"/>
  </w:style>
  <w:style w:type="paragraph" w:styleId="Subttulo">
    <w:name w:val="Subtitle"/>
    <w:basedOn w:val="Normal"/>
    <w:next w:val="Normal"/>
    <w:pPr>
      <w:keepNext/>
      <w:keepLines/>
      <w:spacing w:before="360" w:after="80"/>
    </w:pPr>
    <w:rPr>
      <w:i/>
      <w:iCs/>
      <w:color w:val="666666"/>
      <w:sz w:val="48"/>
      <w:szCs w:val="48"/>
    </w:rPr>
  </w:style>
  <w:style w:type="table" w:customStyle="1" w:styleId="a">
    <w:basedOn w:val="TableNormal0"/>
    <w:tblPr>
      <w:tblStyleRowBandSize w:val="1"/>
      <w:tblStyleColBandSize w:val="1"/>
      <w:tblCellMar>
        <w:top w:w="60" w:type="dxa"/>
        <w:bottom w:w="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graria.pe/noticias/contrarreloj-160-mil-predios-de-cafe-aun-no-son-geolocalizad-43334" TargetMode="External"/><Relationship Id="rId18" Type="http://schemas.openxmlformats.org/officeDocument/2006/relationships/hyperlink" Target="http://hdl.handle.net/20.500.12404/32469" TargetMode="External"/><Relationship Id="rId26" Type="http://schemas.openxmlformats.org/officeDocument/2006/relationships/hyperlink" Target="https://revistas.pucp.edu.pe/index.php/anthropologica/es/article/view/14834/16548" TargetMode="External"/><Relationship Id="rId3" Type="http://schemas.openxmlformats.org/officeDocument/2006/relationships/styles" Target="styles.xml"/><Relationship Id="rId21" Type="http://schemas.openxmlformats.org/officeDocument/2006/relationships/hyperlink" Target="https://agraria.pe/noticias/exportaciones-de-arandanos-frescos-registran-caida-por-los-e-4334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graria.pe/noticias/exportaciones-peruanas-de-cafe-sumaron-mas-de-us-1-700-millo-41648" TargetMode="External"/><Relationship Id="rId17" Type="http://schemas.openxmlformats.org/officeDocument/2006/relationships/hyperlink" Target="https://doi.org/10.21678/jb.2026.2498" TargetMode="External"/><Relationship Id="rId25" Type="http://schemas.openxmlformats.org/officeDocument/2006/relationships/hyperlink" Target="https://www.gob.pe/institucion/mtpe/noticias/1387685-mtpe-instala-mesa-de-trabajo-para-promover-la-formalizacion-en-la-agroexportacio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aapprogram.org/es/tamshiyacu-cacao/" TargetMode="External"/><Relationship Id="rId20" Type="http://schemas.openxmlformats.org/officeDocument/2006/relationships/hyperlink" Target="https://agraria.pe/noticias/agroexportaciones-concentraron-el-10-8-del-total-de-las-expo-43241" TargetMode="External"/><Relationship Id="rId29" Type="http://schemas.openxmlformats.org/officeDocument/2006/relationships/hyperlink" Target="https://www.bloomberglinea.com/latinoamerica/peru/el-nino-amenaza-los-arandanos-de-peru-y-podria-disparar-los-precios-en-todo-el-mund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raria.pe/noticias/eduardo-zegarra-dictamen-de-nueva-ley-agraria-perjudicaria-a-37853" TargetMode="External"/><Relationship Id="rId24" Type="http://schemas.openxmlformats.org/officeDocument/2006/relationships/hyperlink" Target="https://www.gob.pe/institucion/midagri/noticias/1354335-midagri-peru-consolida-su-liderazgo-mundial-en-arandanos-y-supera-los-us-2-400-millones-en-ventas-durante-el-2025"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enfen.imarpe.gob.pe/" TargetMode="External"/><Relationship Id="rId23" Type="http://schemas.openxmlformats.org/officeDocument/2006/relationships/hyperlink" Target="https://www.gob.pe/institucion/mincetur/noticias/1351179-mincetur-exportaciones-regionales-cierran-el-2025-con-us-77-mil-millones-y-crecen-el-doble-de-lo-registrado-por-lima-y-el-callao" TargetMode="External"/><Relationship Id="rId28" Type="http://schemas.openxmlformats.org/officeDocument/2006/relationships/hyperlink" Target="https://lexlatin.com/reportajes/ley-32434-agraria-beneficios-peru" TargetMode="External"/><Relationship Id="rId10" Type="http://schemas.openxmlformats.org/officeDocument/2006/relationships/hyperlink" Target="https://agraria.pe/noticias/ica-y-la-libertad-concentraron-el-75-del-volumen-de-esparrag-34705" TargetMode="External"/><Relationship Id="rId19" Type="http://schemas.openxmlformats.org/officeDocument/2006/relationships/hyperlink" Target="https://agraria.pe/noticias/exportaciones-peruanas-de-esparragos-frescos-aumentan-en-val-43004" TargetMode="External"/><Relationship Id="rId31" Type="http://schemas.openxmlformats.org/officeDocument/2006/relationships/hyperlink" Target="https://blog-realidad-nacional-ucsur.netlify.app/" TargetMode="External"/><Relationship Id="rId4" Type="http://schemas.openxmlformats.org/officeDocument/2006/relationships/settings" Target="settings.xml"/><Relationship Id="rId9" Type="http://schemas.openxmlformats.org/officeDocument/2006/relationships/hyperlink" Target="https://agraria.pe/noticias/el-mayor-precio-del-esparrago-permitio-cerrar-el-2023-en-pos-34656" TargetMode="External"/><Relationship Id="rId14" Type="http://schemas.openxmlformats.org/officeDocument/2006/relationships/hyperlink" Target="https://www.bcrp.gob.pe/docs/Publicaciones/Revista-Moneda/moneda-198/moneda-198-12.pdf" TargetMode="External"/><Relationship Id="rId22" Type="http://schemas.openxmlformats.org/officeDocument/2006/relationships/hyperlink" Target="https://www.gob.pe/institucion/mincetur/noticias/1107369-agroexportaciones-peruanas-superan-su-maximo-valor-historico-y-alcanzan-los-us-12-784-millones" TargetMode="External"/><Relationship Id="rId27" Type="http://schemas.openxmlformats.org/officeDocument/2006/relationships/hyperlink" Target="https://grade.org.pe/publicaciones/global-exports-draining-local-water-resources-land-concentration-food-exports-and-water-grabbing-in-the-ica-valley-peru/" TargetMode="External"/><Relationship Id="rId30" Type="http://schemas.openxmlformats.org/officeDocument/2006/relationships/hyperlink" Target="https://saludconlupa.com/medio-ambiente/las-frutas-de-la-sed-el-negocio-que-agota-el-agua-de-ica-para-exportar-al-mund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mgHBiwpH+xwCijaOYgjeYTumw==">CgMxLjAyDmgud2oyYmlmeXdjcXUwMg5oLmd2MW5nanZvOGxqbjIOaC5rc3Z4YjloZnBwcjQyDWguaDAyYndlZnBtN3oyDmguaTMwM2VtejhrdDJ6Mg5oLmxlODJ1NGFvd3R0eTIOaC5jYTJ6aWJvc2twYTgyDmguOXdnbTF0N2cwODUyMg5oLmE4aHhjYTd0bHg3cTIOaC5zN2I4dXF4NzY5MmkyDmgua3J1ZW1yMnFzY3RkMg5oLmR3NXJtcGQydmNqMjgAciExMHRUUUlDSHJycF9nNTQ1cldKLXFQTFlmNWR2T29nR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7674</Words>
  <Characters>42208</Characters>
  <Application>Microsoft Office Word</Application>
  <DocSecurity>0</DocSecurity>
  <Lines>351</Lines>
  <Paragraphs>99</Paragraphs>
  <ScaleCrop>false</ScaleCrop>
  <Company/>
  <LinksUpToDate>false</LinksUpToDate>
  <CharactersWithSpaces>49783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Garcia</dc:creator>
  <cp:lastModifiedBy>SOPORTE</cp:lastModifiedBy>
  <cp:revision>4</cp:revision>
  <dcterms:created xsi:type="dcterms:W3CDTF">2026-10-22T04:39:00Z</dcterms:created>
  <dcterms:modified xsi:type="dcterms:W3CDTF">2026-10-29T22:33:00Z</dcterms:modified>
</cp:coreProperties>
</file>