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DAL MANUALE IN ITALIANO DELL’EDI-3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Destinatari: assessment clinico, donne di età 13-53 (EDI era solo per maggiorenni), gruppi diagnostici del DSM-IV-TR: AN-R, AN-BP, BN, EDNOS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Oltre alle 12 scale, anche 5 cluster sperimentali: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200" w:lineRule="auto"/>
        <w:ind w:left="708.6614173228347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paura affettiva → 8, 44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confusione affettiva → 21, 26, 33, 40, 51, 60, 77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SAR: rischio di abuso di sostanze → 72, 81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SOP: perfezionismo auto-orientato → 36, 52, 63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SPP: perfezionismo prescritto → 13, 29, 43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calcolare scale di validità o di stile di risposta dei soggetti al fine di valutare l'interpretabilità o meno dei punteggi ottenuti: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20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scala di incoerenza (IN): misura in cui un soggetta ha risposto alle domande con contenuti simili in maniera incoerente o contraddittoria</w:t>
      </w:r>
    </w:p>
    <w:p w:rsidR="00000000" w:rsidDel="00000000" w:rsidP="00000000" w:rsidRDefault="00000000" w:rsidRPr="00000000" w14:paraId="0000000C">
      <w:pPr>
        <w:spacing w:before="0" w:lineRule="auto"/>
        <w:ind w:left="1428.6614173228347" w:hanging="360"/>
        <w:rPr/>
      </w:pPr>
      <w:r w:rsidDel="00000000" w:rsidR="00000000" w:rsidRPr="00000000">
        <w:rPr>
          <w:rtl w:val="0"/>
        </w:rPr>
        <w:t xml:space="preserve">2-12, 9-55, 10-50, 17-65, 21-26, 30-54, 31-59, 34-57, 37-41, 45-62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200" w:lineRule="auto"/>
        <w:ind w:left="708.6614173228347" w:hanging="360"/>
      </w:pPr>
      <w:r w:rsidDel="00000000" w:rsidR="00000000" w:rsidRPr="00000000">
        <w:rPr>
          <w:rtl w:val="0"/>
        </w:rPr>
        <w:t xml:space="preserve">scala di infrequenza (IF): misura in cui un soggetto tende a rispondere agli item scegliendo l'opzione che si colloca nella direzione sintomatica negativa più estrema possibile</w:t>
      </w:r>
    </w:p>
    <w:p w:rsidR="00000000" w:rsidDel="00000000" w:rsidP="00000000" w:rsidRDefault="00000000" w:rsidRPr="00000000" w14:paraId="0000000E">
      <w:pPr>
        <w:ind w:left="1428.6614173228347" w:hanging="360"/>
        <w:rPr/>
      </w:pPr>
      <w:r w:rsidDel="00000000" w:rsidR="00000000" w:rsidRPr="00000000">
        <w:rPr>
          <w:rtl w:val="0"/>
        </w:rPr>
        <w:t xml:space="preserve">17, 23, 30, 39, 48, 70, 80, 88, 89, 90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20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impressione negativa (NI): grado in cui un soggetto tende a rispondere agli item scegliendo una delle due opzioni che si collocano nelle direzioni sintomatiche più estreme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L'item 71 non è utilizzato nello scoring dell'EDI-3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 PROCEDURA DI SCORING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calcolare le somme grezze per ogni scala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calcolare i punteggi percentili (tabella B1, Appendice B)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calcolare i punteggi compositi: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EDRC = DT + B + BD (rischio di disturbo alimentare)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IC = LSE + PA (inadeguatezza)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IPC = II + IA (problemi interpersonali)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APC = ID + ED (problemi affettivi)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OC = P + A (ipercontrollo)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before="0" w:lineRule="auto"/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GPMC = LSA + PA + II + IA + ID + ED + P + A + MF (disadattamento psicologico generale)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calcolare i punteggi percentili (tabella B2 e B3, Appendice B)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before="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calcolare le scale di validità: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IN = incoerenza: calcolare la differenza in valore assoluto fra i punteggi delle coppie di item della scala, poi sommare le differenze e </w:t>
        <w:tab/>
        <w:t xml:space="preserve">confrontare con i range (0-15 = tipico, 16-19 = atipico, 20-40 = molto atipico)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IF = infrequenza: contare gli item della scala IF ("I" in alto a destra vicino al punteggio 4 sul foglio di scoring) pari a 4 e confrontare i range (0-2 = tipico, 3-4 = atipico, 5-10 = molto atipico)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NI = impressione negativa: contare gli item (ombreggiati sul foglio di scoring) con punteggio 4 e confrontare i range (0-44 = tipico, 45-54 = atipico, 55-90 = molto atipico)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Esempio di report completato con profilo del paziente: </w:t>
      </w:r>
    </w:p>
    <w:p w:rsidR="00000000" w:rsidDel="00000000" w:rsidP="00000000" w:rsidRDefault="00000000" w:rsidRPr="00000000" w14:paraId="00000021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https://www.parinc.com/WebUploads/samplerpts/EDI3_Sample_Report_iConnect.pdf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20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commentRangeStart w:id="0"/>
      <w:r w:rsidDel="00000000" w:rsidR="00000000" w:rsidRPr="00000000">
        <w:rPr>
          <w:rtl w:val="0"/>
        </w:rPr>
        <w:t xml:space="preserve">nalisi sul nostro dataset: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somme vengono calcolate correttamente → i punteggi sono già convertiti in 0-4 e gli item positivi sono stati invertiti!! :)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GIRELLI" w:id="0" w:date="2022-04-12T05:53:4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Ottimo!!!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