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Multimodal Alzheimer's Disease Diagnostic Model (5-Class): Workflow and Pipelines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Author:</w:t>
      </w:r>
      <w:r>
        <w:rPr>
          <w:rFonts w:ascii="Calibri" w:cs="Calibri" w:eastAsia="Calibri" w:hAnsi="Calibri"/>
          <w:sz w:val="17"/>
          <w:szCs w:val="17"/>
        </w:rPr>
        <w:t xml:space="preserve"> YO |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Date:</w:t>
      </w:r>
      <w:r>
        <w:rPr>
          <w:rFonts w:ascii="Calibri" w:cs="Calibri" w:eastAsia="Calibri" w:hAnsi="Calibri"/>
          <w:sz w:val="17"/>
          <w:szCs w:val="17"/>
        </w:rPr>
        <w:t xml:space="preserve"> October 2026 |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Status:</w:t>
      </w:r>
      <w:r>
        <w:rPr>
          <w:rFonts w:ascii="Calibri" w:cs="Calibri" w:eastAsia="Calibri" w:hAnsi="Calibri"/>
          <w:sz w:val="17"/>
          <w:szCs w:val="17"/>
        </w:rPr>
        <w:t xml:space="preserve"> Research prototype on fully synthetic data. Not a medical device.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1. Objective and problem statement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Distinguishing the Alzheimer's continuum is hard because the signal is spread across modalities: subjective decline appears in what patients and families report, MCI staging in cognitive scores, and dementia in atrophy and functional loss.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Goal:</w:t>
      </w:r>
      <w:r>
        <w:rPr>
          <w:rFonts w:ascii="Calibri" w:cs="Calibri" w:eastAsia="Calibri" w:hAnsi="Calibri"/>
          <w:sz w:val="17"/>
          <w:szCs w:val="17"/>
        </w:rPr>
        <w:t xml:space="preserve"> build and deploy one model that fuses structural MRI (vision), clinical notes (text) and cognitive, volumetric and plasma biomarkers (numeric) to classify patients as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CN, SMC, EMCI, LMCI or AD</w:t>
      </w:r>
      <w:r>
        <w:rPr>
          <w:rFonts w:ascii="Calibri" w:cs="Calibri" w:eastAsia="Calibri" w:hAnsi="Calibri"/>
          <w:sz w:val="17"/>
          <w:szCs w:val="17"/>
        </w:rPr>
        <w:t xml:space="preserve">, and that keeps working when a modality is missing.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2. Clinical and regulatory considerations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Intended use:</w:t>
      </w:r>
      <w:r>
        <w:rPr>
          <w:rFonts w:ascii="Calibri" w:cs="Calibri" w:eastAsia="Calibri" w:hAnsi="Calibri"/>
          <w:sz w:val="17"/>
          <w:szCs w:val="17"/>
        </w:rPr>
        <w:t xml:space="preserve"> clinical decision support for neurologists and memory-clinic specialists, not autonomous diagnosis. Low-confidence or QC-failed cases are routed to the clinician (</w:t>
      </w:r>
      <w:r>
        <w:rPr>
          <w:rFonts w:ascii="Consolas" w:cs="Consolas" w:eastAsia="Consolas" w:hAnsi="Consolas"/>
          <w:color w:val="444444"/>
          <w:sz w:val="16"/>
          <w:szCs w:val="16"/>
        </w:rPr>
        <w:t xml:space="preserve">refer_to_clinician</w:t>
      </w:r>
      <w:r>
        <w:rPr>
          <w:rFonts w:ascii="Calibri" w:cs="Calibri" w:eastAsia="Calibri" w:hAnsi="Calibri"/>
          <w:sz w:val="17"/>
          <w:szCs w:val="17"/>
        </w:rPr>
        <w:t xml:space="preserve"> flag).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Regulatory path (US):</w:t>
      </w:r>
      <w:r>
        <w:rPr>
          <w:rFonts w:ascii="Calibri" w:cs="Calibri" w:eastAsia="Calibri" w:hAnsi="Calibri"/>
          <w:sz w:val="17"/>
          <w:szCs w:val="17"/>
        </w:rPr>
        <w:t xml:space="preserve"> Software as a Medical Device; a novel 5-class diagnostic claim most likely needs De Novo, versus 510(k) for narrower volumetric claims. Follow FDA Good Machine Learning Practice, a Predetermined Change Control Plan for retraining, QMSR (ISO 13485 aligned), IEC 62304, ISO 14971 risk management, and 21 CFR Part 11 audit trails (implemented as PHI-free request logs with model version).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Privacy:</w:t>
      </w:r>
      <w:r>
        <w:rPr>
          <w:rFonts w:ascii="Calibri" w:cs="Calibri" w:eastAsia="Calibri" w:hAnsi="Calibri"/>
          <w:sz w:val="17"/>
          <w:szCs w:val="17"/>
        </w:rPr>
        <w:t xml:space="preserve"> DICOM de-identification (PS3.15 Basic Profile subset, consistent UID remap, date shift), numbers stripped from notes, only de-identified derivatives sent to annotation vendors under a BAA.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Clinical validity:</w:t>
      </w:r>
      <w:r>
        <w:rPr>
          <w:rFonts w:ascii="Calibri" w:cs="Calibri" w:eastAsia="Calibri" w:hAnsi="Calibri"/>
          <w:sz w:val="17"/>
          <w:szCs w:val="17"/>
        </w:rPr>
        <w:t xml:space="preserve"> labels should follow NIA-AA / ADNI criteria with amyloid confirmation; validate across sites, scanners, age, sex and APOE4 status; real-world prevalence differs between memory clinics and primary care (spectrum bias).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3. Tools for end-to-end development and deployment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500"/>
      </w:tblGrid>
      <w:tr>
        <w:trPr>
          <w:tblHeader/>
        </w:trP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8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Tools</w:t>
            </w:r>
          </w:p>
        </w:tc>
      </w:tr>
      <w:t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and imaging I/O</w:t>
            </w:r>
          </w:p>
        </w:tc>
        <w:tc>
          <w:tcPr>
            <w:tcW w:type="dxa" w:w="8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pydicom, nibabel, tifffile, Pillow, OpenCV, SciPy</w:t>
            </w:r>
          </w:p>
        </w:tc>
      </w:tr>
      <w:t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DICOM workflow and PACS</w:t>
            </w:r>
          </w:p>
        </w:tc>
        <w:tc>
          <w:tcPr>
            <w:tcW w:type="dxa" w:w="8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pydicom de-identification, pynetdicom (C-ECHO/C-FIND/C-MOVE/C-STORE), DICOMweb (QIDO/WADO/STOW), Orthanc</w:t>
            </w:r>
          </w:p>
        </w:tc>
      </w:tr>
      <w:t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Curation and annotation</w:t>
            </w:r>
          </w:p>
        </w:tc>
        <w:tc>
          <w:tcPr>
            <w:tcW w:type="dxa" w:w="8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FiftyOne (uniqueness, mistakenness), Roboflow (labelling, versioning), V7 Darwin (expert DICOM/NIfTI annotation)</w:t>
            </w:r>
          </w:p>
        </w:tc>
      </w:tr>
      <w:t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Modelling</w:t>
            </w:r>
          </w:p>
        </w:tc>
        <w:tc>
          <w:tcPr>
            <w:tcW w:type="dxa" w:w="8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PyTorch, Hugging Face </w:t>
            </w:r>
            <w:r>
              <w:rPr>
                <w:rFonts w:ascii="Consolas" w:cs="Consolas" w:eastAsia="Consolas" w:hAnsi="Consolas"/>
                <w:color w:val="444444"/>
                <w:sz w:val="16"/>
                <w:szCs w:val="16"/>
              </w:rPr>
              <w:t xml:space="preserve">transformers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444444"/>
                <w:sz w:val="16"/>
                <w:szCs w:val="16"/>
              </w:rPr>
              <w:t xml:space="preserve">tokenizers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(BERT), Ultralytics YOLO11 (ROI detection), scikit-learn</w:t>
            </w:r>
          </w:p>
        </w:tc>
      </w:tr>
      <w:tr>
        <w:tc>
          <w:tcPr>
            <w:tcW w:type="dxa" w:w="23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Deployment</w:t>
            </w:r>
          </w:p>
        </w:tc>
        <w:tc>
          <w:tcPr>
            <w:tcW w:type="dxa" w:w="85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ONNX, ONNX Runtime (CPU/CUDA/TensorRT/CoreML providers), NVIDIA TensorRT + Triton + DeepStream, Core ML, FastAPI, Docker, Kubernetes (HPA, PDB, NetworkPolicy), Prometheus</w:t>
            </w:r>
          </w:p>
        </w:tc>
      </w:tr>
    </w:tbl>
    <w:p>
      <w:pPr>
        <w:spacing w:after="20"/>
      </w:pP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4. Data and preprocessing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Three synthetic source datasets were generated for 500 patients (CN 130, SMC 80, EMCI 110, LMCI 100, AD 80) with deliberate real-world defects, then harmonized and merged (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500 studies x 500 notes x 500 numeric records -&gt; 500 multimodal patients</w:t>
      </w:r>
      <w:r>
        <w:rPr>
          <w:rFonts w:ascii="Calibri" w:cs="Calibri" w:eastAsia="Calibri" w:hAnsi="Calibri"/>
          <w:sz w:val="17"/>
          <w:szCs w:val="17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Vision (125 each of .dcm, .nii, .tiff, .jpg):</w:t>
      </w:r>
      <w:r>
        <w:rPr>
          <w:rFonts w:ascii="Calibri" w:cs="Calibri" w:eastAsia="Calibri" w:hAnsi="Calibri"/>
          <w:sz w:val="17"/>
          <w:szCs w:val="17"/>
        </w:rPr>
        <w:t xml:space="preserve"> format-specific loaders produce one axial slice; resize to 96x96, percentile rescale, non-local-means denoising when the noise index exceeds threshold, orientation check against a population template, connected-component skull stripping, and brain-masked z-scoring to remove scanner-vendor intensity differences. QC caught and fixed 100% of flipped and high-noise studies with no false positives.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Text (514 notes):</w:t>
      </w:r>
      <w:r>
        <w:rPr>
          <w:rFonts w:ascii="Calibri" w:cs="Calibri" w:eastAsia="Calibri" w:hAnsi="Calibri"/>
          <w:sz w:val="17"/>
          <w:szCs w:val="17"/>
        </w:rPr>
        <w:t xml:space="preserve"> removed 6 duplicates and 8 orphan notes, filled 3 empty notes, expanded clinical abbreviations, replaced numbers, kept the latest note per patient; WordPiece tokenizer trained on the training split only.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Numeric (515 rows, 21 columns):</w:t>
      </w:r>
      <w:r>
        <w:rPr>
          <w:rFonts w:ascii="Calibri" w:cs="Calibri" w:eastAsia="Calibri" w:hAnsi="Calibri"/>
          <w:sz w:val="17"/>
          <w:szCs w:val="17"/>
        </w:rPr>
        <w:t xml:space="preserve"> removed 15 duplicate rows, harmonized IDs and label/sex coding, fixed 103 cm3-to-mm3 unit errors at one site and 6 decimal typos, added missing indicators for plasma markers, then median imputation, log transform and z-scoring fitted on train.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Merge and split:</w:t>
      </w:r>
      <w:r>
        <w:rPr>
          <w:rFonts w:ascii="Calibri" w:cs="Calibri" w:eastAsia="Calibri" w:hAnsi="Calibri"/>
          <w:sz w:val="17"/>
          <w:szCs w:val="17"/>
        </w:rPr>
        <w:t xml:space="preserve"> inner join on harmonized </w:t>
      </w:r>
      <w:r>
        <w:rPr>
          <w:rFonts w:ascii="Consolas" w:cs="Consolas" w:eastAsia="Consolas" w:hAnsi="Consolas"/>
          <w:color w:val="444444"/>
          <w:sz w:val="16"/>
          <w:szCs w:val="16"/>
        </w:rPr>
        <w:t xml:space="preserve">PT-####</w:t>
      </w:r>
      <w:r>
        <w:rPr>
          <w:rFonts w:ascii="Calibri" w:cs="Calibri" w:eastAsia="Calibri" w:hAnsi="Calibri"/>
          <w:sz w:val="17"/>
          <w:szCs w:val="17"/>
        </w:rPr>
        <w:t xml:space="preserve">, stratified patient-level 70/15/15 split (350/75/75). Final tensors: image (500, 1, 96, 96), tokens (500, 96), numeric (500, 22).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5. Model development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Three encoders feed a fusion head: a residual CNN for MRI, a Hugging Face </w:t>
      </w:r>
      <w:r>
        <w:rPr>
          <w:rFonts w:ascii="Consolas" w:cs="Consolas" w:eastAsia="Consolas" w:hAnsi="Consolas"/>
          <w:color w:val="444444"/>
          <w:sz w:val="16"/>
          <w:szCs w:val="16"/>
        </w:rPr>
        <w:t xml:space="preserve">BertModel</w:t>
      </w:r>
      <w:r>
        <w:rPr>
          <w:rFonts w:ascii="Calibri" w:cs="Calibri" w:eastAsia="Calibri" w:hAnsi="Calibri"/>
          <w:sz w:val="17"/>
          <w:szCs w:val="17"/>
        </w:rPr>
        <w:t xml:space="preserve"> (2 layers) for notes, and an MLP for numeric features. A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gated attention layer</w:t>
      </w:r>
      <w:r>
        <w:rPr>
          <w:rFonts w:ascii="Calibri" w:cs="Calibri" w:eastAsia="Calibri" w:hAnsi="Calibri"/>
          <w:sz w:val="17"/>
          <w:szCs w:val="17"/>
        </w:rPr>
        <w:t xml:space="preserve"> weights the three 128-d embeddings per patient (interpretable),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modality dropout</w:t>
      </w:r>
      <w:r>
        <w:rPr>
          <w:rFonts w:ascii="Calibri" w:cs="Calibri" w:eastAsia="Calibri" w:hAnsi="Calibri"/>
          <w:sz w:val="17"/>
          <w:szCs w:val="17"/>
        </w:rPr>
        <w:t xml:space="preserve"> (25%) trains robustness to missing inputs, and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auxiliary per-modality losses</w:t>
      </w:r>
      <w:r>
        <w:rPr>
          <w:rFonts w:ascii="Calibri" w:cs="Calibri" w:eastAsia="Calibri" w:hAnsi="Calibri"/>
          <w:sz w:val="17"/>
          <w:szCs w:val="17"/>
        </w:rPr>
        <w:t xml:space="preserve"> stop the model from leaning on the easiest modality. Training used class-weighted cross-entropy with label smoothing, AdamW with one-cycle LR and early stopping on validation macro-F1. Each model was trained with 3 seeds; the best-validation seed is deployed. A YOLO11n detector localizes the hippocampus and lateral ventricles for ROI QC and future high-resolution crops.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6. Performance evaluation and results (held-out test set, n = 75)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2"/>
        <w:gridCol w:w="2376"/>
        <w:gridCol w:w="2376"/>
        <w:gridCol w:w="2376"/>
      </w:tblGrid>
      <w:tr>
        <w:trPr>
          <w:tblHeader/>
        </w:trPr>
        <w:tc>
          <w:tcPr>
            <w:tcW w:type="dxa" w:w="3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 (mean +/- SD, 3 seeds)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Macro-F1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1F3A5F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Macro AUC</w:t>
            </w:r>
          </w:p>
        </w:tc>
      </w:tr>
      <w:tr>
        <w:tc>
          <w:tcPr>
            <w:tcW w:type="dxa" w:w="3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 only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0.52 +/- 0.04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0.47 +/- 0.03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0.85 +/- 0.01</w:t>
            </w:r>
          </w:p>
        </w:tc>
      </w:tr>
      <w:tr>
        <w:tc>
          <w:tcPr>
            <w:tcW w:type="dxa" w:w="3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 only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0.78 +/- 0.01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0.76 +/- 0.01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0.95 +/- 0.01</w:t>
            </w:r>
          </w:p>
        </w:tc>
      </w:tr>
      <w:tr>
        <w:tc>
          <w:tcPr>
            <w:tcW w:type="dxa" w:w="3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 only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0.79 +/- 0.00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0.78 +/- 0.00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0.96 +/- 0.00</w:t>
            </w:r>
          </w:p>
        </w:tc>
      </w:tr>
      <w:tr>
        <w:tc>
          <w:tcPr>
            <w:tcW w:type="dxa" w:w="3672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8EEF5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Fusion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8EEF5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0.89 +/- 0.04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8EEF5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0.88 +/- 0.05</w:t>
            </w:r>
          </w:p>
        </w:tc>
        <w:tc>
          <w:tcPr>
            <w:tcW w:type="dxa" w:w="2376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shd w:fill="E8EEF5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0.98 +/- 0.00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Deployed fusion model:</w:t>
      </w:r>
      <w:r>
        <w:rPr>
          <w:rFonts w:ascii="Calibri" w:cs="Calibri" w:eastAsia="Calibri" w:hAnsi="Calibri"/>
          <w:sz w:val="17"/>
          <w:szCs w:val="17"/>
        </w:rPr>
        <w:t xml:space="preserve"> accuracy 0.92, macro-F1 0.92 (95% bootstrap CI 0.84 to 0.98), macro AUC 0.99, quadratic kappa 0.97. Per-class F1: CN 0.95, SMC 0.92, EMCI 0.87, LMCI 0.90, AD 0.96. Temperature scaling cut calibration error (ECE) from 0.080 to 0.036.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Missing-modality robustness (macro-F1):</w:t>
      </w:r>
      <w:r>
        <w:rPr>
          <w:rFonts w:ascii="Calibri" w:cs="Calibri" w:eastAsia="Calibri" w:hAnsi="Calibri"/>
          <w:sz w:val="17"/>
          <w:szCs w:val="17"/>
        </w:rPr>
        <w:t xml:space="preserve"> all 0.92; without image 0.90; without text 0.78; without numeric 0.75; numeric alone 0.82.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Subgroups:</w:t>
      </w:r>
      <w:r>
        <w:rPr>
          <w:rFonts w:ascii="Calibri" w:cs="Calibri" w:eastAsia="Calibri" w:hAnsi="Calibri"/>
          <w:sz w:val="17"/>
          <w:szCs w:val="17"/>
        </w:rPr>
        <w:t xml:space="preserve"> stable across sex (0.91 / 0.92) and APOE4 status (0.93 / 0.92). JPEG-sourced scans were weakest (0.83 vs 0.94 to 1.00 for lossless formats), so lossy images should be flagged at intake.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Explainability:</w:t>
      </w:r>
      <w:r>
        <w:rPr>
          <w:rFonts w:ascii="Calibri" w:cs="Calibri" w:eastAsia="Calibri" w:hAnsi="Calibri"/>
          <w:sz w:val="17"/>
          <w:szCs w:val="17"/>
        </w:rPr>
        <w:t xml:space="preserve"> modality attention weights, Grad-CAM on the image encoder, and permutation importance (self-reported ECog, CDR-SB and MoCA rank highest). YOLO ROI detector: test mAP50 0.995, mAP50-95 0.93.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Caveat:</w:t>
      </w:r>
      <w:r>
        <w:rPr>
          <w:rFonts w:ascii="Calibri" w:cs="Calibri" w:eastAsia="Calibri" w:hAnsi="Calibri"/>
          <w:sz w:val="17"/>
          <w:szCs w:val="17"/>
        </w:rPr>
        <w:t xml:space="preserve"> the image branch is the weakest component, and n = 75 gives wide intervals; results on synthetic data do not predict clinical performance.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352800" cy="1304925"/>
                  <wp:effectExtent t="0" r="0" b="0" l="0"/>
                  <wp:docPr id="1" name="Figure 1. Test performance, mean +/- SD over 3 seeds" descr="Figure 1. Test performance, mean +/- SD over 3 seeds" title="Figure 1. Test performance, mean +/- SD over 3 see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Figure 1. Test performance, mean +/- SD over 3 seeds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352800" cy="1438275"/>
                  <wp:effectExtent t="0" r="0" b="0" l="0"/>
                  <wp:docPr id="1" name="Figure 2. Fusion robustness when a modality is missing" descr="Figure 2. Fusion robustness when a modality is missing" title="Figure 2. Fusion robustness when a modality is miss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Figure 2. Fusion robustness when a modality is missing</w:t>
            </w:r>
          </w:p>
        </w:tc>
      </w:tr>
    </w:tbl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7. Model deployment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The fusion model is exported to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ONNX</w:t>
      </w:r>
      <w:r>
        <w:rPr>
          <w:rFonts w:ascii="Calibri" w:cs="Calibri" w:eastAsia="Calibri" w:hAnsi="Calibri"/>
          <w:sz w:val="17"/>
          <w:szCs w:val="17"/>
        </w:rPr>
        <w:t xml:space="preserve"> with calibrated softmax built in. ONNX Runtime matches PyTorch exactly (max difference 3e-7, 100% agreement) and runs at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2.0 ms per patient</w:t>
      </w:r>
      <w:r>
        <w:rPr>
          <w:rFonts w:ascii="Calibri" w:cs="Calibri" w:eastAsia="Calibri" w:hAnsi="Calibri"/>
          <w:sz w:val="17"/>
          <w:szCs w:val="17"/>
        </w:rPr>
        <w:t xml:space="preserve"> on 2 CPU threads (2.8x faster than PyTorch; 580 patients/s at batch 32). Dynamic INT8 shrinks the model 3.3x with identical predictions but is slower on CPU, so INT8 is reserved for TensorRT with calibration on GPU. The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FastAPI</w:t>
      </w:r>
      <w:r>
        <w:rPr>
          <w:rFonts w:ascii="Calibri" w:cs="Calibri" w:eastAsia="Calibri" w:hAnsi="Calibri"/>
          <w:sz w:val="17"/>
          <w:szCs w:val="17"/>
        </w:rPr>
        <w:t xml:space="preserve"> service accepts any image format plus note and numeric JSON, applies the identical preprocessing, and returns probabilities, modality weights, QC and a referral flag. It ships as a non-root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Docker</w:t>
      </w:r>
      <w:r>
        <w:rPr>
          <w:rFonts w:ascii="Calibri" w:cs="Calibri" w:eastAsia="Calibri" w:hAnsi="Calibri"/>
          <w:sz w:val="17"/>
          <w:szCs w:val="17"/>
        </w:rPr>
        <w:t xml:space="preserve"> image and runs on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Kubernetes</w:t>
      </w:r>
      <w:r>
        <w:rPr>
          <w:rFonts w:ascii="Calibri" w:cs="Calibri" w:eastAsia="Calibri" w:hAnsi="Calibri"/>
          <w:sz w:val="17"/>
          <w:szCs w:val="17"/>
        </w:rPr>
        <w:t xml:space="preserve"> (2 to 10 replicas via HPA, probes, PDB, NetworkPolicy, TLS ingress). High-volume GPU serving uses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Triton</w:t>
      </w:r>
      <w:r>
        <w:rPr>
          <w:rFonts w:ascii="Calibri" w:cs="Calibri" w:eastAsia="Calibri" w:hAnsi="Calibri"/>
          <w:sz w:val="17"/>
          <w:szCs w:val="17"/>
        </w:rPr>
        <w:t xml:space="preserve"> with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TensorRT FP16</w:t>
      </w:r>
      <w:r>
        <w:rPr>
          <w:rFonts w:ascii="Calibri" w:cs="Calibri" w:eastAsia="Calibri" w:hAnsi="Calibri"/>
          <w:sz w:val="17"/>
          <w:szCs w:val="17"/>
        </w:rPr>
        <w:t xml:space="preserve"> and dynamic batching;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DeepStream</w:t>
      </w:r>
      <w:r>
        <w:rPr>
          <w:rFonts w:ascii="Calibri" w:cs="Calibri" w:eastAsia="Calibri" w:hAnsi="Calibri"/>
          <w:sz w:val="17"/>
          <w:szCs w:val="17"/>
        </w:rPr>
        <w:t xml:space="preserve"> runs the YOLO ROI detector on streamed slices;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Core ML</w:t>
      </w:r>
      <w:r>
        <w:rPr>
          <w:rFonts w:ascii="Calibri" w:cs="Calibri" w:eastAsia="Calibri" w:hAnsi="Calibri"/>
          <w:sz w:val="17"/>
          <w:szCs w:val="17"/>
        </w:rPr>
        <w:t xml:space="preserve"> export supports on-device inference. PACS integration was verified with C-ECHO and C-STORE (5/5 studies, 0.3 s), and results go back to PACS as a DICOM Secondary Capture.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352800" cy="1304925"/>
                  <wp:effectExtent t="0" r="0" b="0" l="0"/>
                  <wp:docPr id="1" name="Figure 3. Merging the three source datasets" descr="Figure 3. Merging the three source datasets" title="Figure 3. Merging the three source datase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Figure 3. Merging the three source datasets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352800" cy="1143000"/>
                  <wp:effectExtent t="0" r="0" b="0" l="0"/>
                  <wp:docPr id="1" name="Figure 4. CPU inference benchmark" descr="Figure 4. CPU inference benchmark" title="Figure 4. CPU inference bench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Figure 4. CPU inference benchmark</w:t>
            </w:r>
          </w:p>
        </w:tc>
      </w:tr>
    </w:tbl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8. Next steps and post-deployment activities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Real-data validation:</w:t>
      </w:r>
      <w:r>
        <w:rPr>
          <w:rFonts w:ascii="Calibri" w:cs="Calibri" w:eastAsia="Calibri" w:hAnsi="Calibri"/>
          <w:sz w:val="17"/>
          <w:szCs w:val="17"/>
        </w:rPr>
        <w:t xml:space="preserve"> retrain and externally validate on ADNI, AIBL and BioFINDER using 3D T1 volumes, a pretrained 3D backbone and Bio_ClinicalBERT; run a prospective reader study against neuroradiologists.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Monitoring:</w:t>
      </w:r>
      <w:r>
        <w:rPr>
          <w:rFonts w:ascii="Calibri" w:cs="Calibri" w:eastAsia="Calibri" w:hAnsi="Calibri"/>
          <w:sz w:val="17"/>
          <w:szCs w:val="17"/>
        </w:rPr>
        <w:t xml:space="preserve"> track input drift (scanner, protocol, format mix), prediction-class mix, confidence and referral rate through Prometheus; run monthly subgroup performance audits on adjudicated cases.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Controlled updates:</w:t>
      </w:r>
      <w:r>
        <w:rPr>
          <w:rFonts w:ascii="Calibri" w:cs="Calibri" w:eastAsia="Calibri" w:hAnsi="Calibri"/>
          <w:sz w:val="17"/>
          <w:szCs w:val="17"/>
        </w:rPr>
        <w:t xml:space="preserve"> retrain under the PCCP with locked test sets, champion/challenger shadow deployment, and rollback.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Clinical integration:</w:t>
      </w:r>
      <w:r>
        <w:rPr>
          <w:rFonts w:ascii="Calibri" w:cs="Calibri" w:eastAsia="Calibri" w:hAnsi="Calibri"/>
          <w:sz w:val="17"/>
          <w:szCs w:val="17"/>
        </w:rPr>
        <w:t xml:space="preserve"> HL7 FHIR output to the EHR, DICOM SR in place of Secondary Capture, clinician feedback loop into FiftyOne / V7 for relabelling.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Safety and security:</w:t>
      </w:r>
      <w:r>
        <w:rPr>
          <w:rFonts w:ascii="Calibri" w:cs="Calibri" w:eastAsia="Calibri" w:hAnsi="Calibri"/>
          <w:sz w:val="17"/>
          <w:szCs w:val="17"/>
        </w:rPr>
        <w:t xml:space="preserve"> post-market surveillance and complaint handling, annual bias review, SBOM, image signing and penetration testing.</w:t>
      </w:r>
    </w:p>
    <w:sectPr>
      <w:footerReference w:type="default" r:id="rId7"/>
      <w:pgSz w:w="12240" w:h="15840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4"/>
        <w:szCs w:val="14"/>
      </w:rPr>
      <w:t xml:space="preserve">Synthetic data, research use only  |  Page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1adae1a69252c16c23e8215d265a6ea4f7445a4.png"/><Relationship Id="rId9" Type="http://schemas.openxmlformats.org/officeDocument/2006/relationships/image" Target="media/42972b2772b68455ded45e167c803c9a42e047b2.png"/><Relationship Id="rId10" Type="http://schemas.openxmlformats.org/officeDocument/2006/relationships/image" Target="media/c174d1f8be93d00561a63f66605f603e2a636b37.png"/><Relationship Id="rId11" Type="http://schemas.openxmlformats.org/officeDocument/2006/relationships/image" Target="media/ce9c80526718c8ead5dff7ab47346175ab5046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AD Diagnostic Model: Workflow and Pipelines</dc:title>
  <dc:creator>YO</dc:creator>
  <cp:lastModifiedBy>Un-named</cp:lastModifiedBy>
  <cp:revision>1</cp:revision>
  <dcterms:created xsi:type="dcterms:W3CDTF">2026-10-12T22:17:58.174Z</dcterms:created>
  <dcterms:modified xsi:type="dcterms:W3CDTF">2026-10-12T22:17:58.174Z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