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CX Performance Optimization: One-Pager</w:t>
      </w:r>
    </w:p>
    <w:p>
      <w:pPr>
        <w:spacing w:after="60"/>
      </w:pPr>
      <w:r>
        <w:rPr>
          <w:rFonts w:ascii="Calibri" w:cs="Calibri" w:eastAsia="Calibri" w:hAnsi="Calibri"/>
          <w:color w:val="52514E"/>
          <w:sz w:val="16"/>
          <w:szCs w:val="16"/>
        </w:rPr>
        <w:t xml:space="preserve">Star-schema data model, governed KPI framework and in-house Marketing Mix Model | Brands: DxI Immunoassay, DxH Hematology (Beckman Coulter), PrecivityAD2 (C2N Diagnostics) | 156 weeks x 5 regions x 7 channels | Synthetic data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1. OBJECTIVE / PROBLEM STATEMENT</w:t>
      </w:r>
    </w:p>
    <w:p>
      <w:pPr>
        <w:spacing w:after="3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About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$27M/yr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of marketing is planned on last year's split and conflicting vendor reports. Leadership needs one governed answer: what did each channel return, where should the next dollar go, and is customer experience improving?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2. CLINICAL AND REGULATORY CONSIDERATIONS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Aggregated, de-identified commercial data; no patient data or PHI in any table; pseudonymous account IDs (HIPAA).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Every campaign row carries an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MLR approval ID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, tying measured activity to approved, on-label content (FDA-cleared IVD labeling; validated LDT claims).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Congress, webinar and rep activity reconciles to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Sunshine Act / Open Payments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; budget shifts never change fair-market-value rules (AdvaMed Code). Consent flag enforces email eligibility.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3. TOOLS (END TO END)</w:t>
      </w:r>
    </w:p>
    <w:p>
      <w:pPr>
        <w:spacing w:after="3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Snowflake / Redshift data layer | dbt transforms and tests (proposed) | Python: pandas, SciPy, statsmodels | Power BI semantic model (DAX) | GitHub Actions data-contract CI | Airflow weekly refresh | upgrade path: PyMC-Marketing or Google Meridian.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4. DATA MODEL AND PREPROCESSING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Layer separation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data (conformed star schema) &gt; semantic (12-KPI catalog, SQL views, DAX; one definition per KPI) &gt; visualization (Power BI).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Facts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marketing activity (week x brand x region x channel), orders (week x brand x region), CX interactions (one row each).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Dims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date, brand, channel, region, campaign, account, touchpoint.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23 data-contract checks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(grain, foreign keys, non-negative measures).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Spend pivoted to brand x region x week; geometric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adstock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(carry-over) and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Hill saturation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(diminishing returns); trend, Fourier seasonality and holiday controls; 13-week time-ordered hold-out.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5. MODEL DEVELOPMENT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Geo-pooled MMM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780 region-weeks per brand, shared channel parameters, decay searched within business-plausible ranges, media effects constrained &gt;= 0.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MAP estimation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with weakly informative ROI priors and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geo lift-test priors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for low-spend channels (email, webinars): MMM and experiments triangulated.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200-draw block bootstrap for ROI intervals; SLSQP optimizer at flat total budget (channels 0.6x to 1.5x; field force at most -15% per cycle).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6. SUCCESS METRICS AND 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1700"/>
        <w:gridCol w:w="1700"/>
        <w:gridCol w:w="1800"/>
      </w:tblGrid>
      <w:tr>
        <w:trPr>
          <w:tblHeader/>
        </w:trPr>
        <w:tc>
          <w:tcPr>
            <w:tcW w:type="dxa" w:w="4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DxI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DxH</w:t>
            </w:r>
          </w:p>
        </w:tc>
        <w:tc>
          <w:tcPr>
            <w:tcW w:type="dxa" w:w="18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PrecivityAD2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National R-squared</w:t>
            </w:r>
          </w:p>
        </w:tc>
        <w:tc>
          <w:tcPr>
            <w:tcW w:type="dxa" w:w="1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&gt;= 0.80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0.91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13-week hold-out MAPE</w:t>
            </w:r>
          </w:p>
        </w:tc>
        <w:tc>
          <w:tcPr>
            <w:tcW w:type="dxa" w:w="1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&lt;= 10%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1.8%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2.1%</w:t>
            </w:r>
          </w:p>
        </w:tc>
        <w:tc>
          <w:tcPr>
            <w:tcW w:type="dxa" w:w="18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4.2%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ROI vs known truth (correlation)</w:t>
            </w:r>
          </w:p>
        </w:tc>
        <w:tc>
          <w:tcPr>
            <w:tcW w:type="dxa" w:w="1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&gt;= 0.80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0.88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0.94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Incremental revenue from reallocation, same budget</w:t>
            </w:r>
          </w:p>
        </w:tc>
        <w:tc>
          <w:tcPr>
            <w:tcW w:type="dxa" w:w="13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 0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+4.7%</w:t>
            </w:r>
          </w:p>
        </w:tc>
        <w:tc>
          <w:tcPr>
            <w:tcW w:type="dxa" w:w="17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+4.0%</w:t>
            </w:r>
          </w:p>
        </w:tc>
        <w:tc>
          <w:tcPr>
            <w:tcW w:type="dxa" w:w="18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+6.4%</w:t>
            </w:r>
          </w:p>
        </w:tc>
      </w:tr>
    </w:tbl>
    <w:p>
      <w:pPr>
        <w:spacing w:after="0" w:before="40"/>
        <w:jc w:val="center"/>
      </w:pPr>
      <w:r>
        <w:drawing>
          <wp:inline distT="0" distB="0" distL="0" distR="0">
            <wp:extent cx="6400800" cy="2180398"/>
            <wp:effectExtent t="0" r="0" b="0" l="0"/>
            <wp:docPr id="1" name="analytics/07_mmm_roi_vs_truth.png" descr="Channel ROI: MMM estimate with 90% interval vs known synthetic truth (reports/figures/analytics/07)." title="Channel ROI: MMM estimate with 90% interval vs known synthetic truth (reports/figures/analytics/0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2514E"/>
          <w:sz w:val="14"/>
          <w:szCs w:val="14"/>
        </w:rPr>
        <w:t xml:space="preserve">Channel ROI: MMM estimate with 90% interval vs known synthetic truth (reports/figures/analytics/07).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KPI scorecard FY25 vs FY24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NPS 41 (+18 pts) | CSAT top-2-box 75% (+10.7 pts) | first-contact resolution 72% (+8.2 pts) | resolution time 18.7 h (-17%) | revenue +10.1% | cost per order +7.2% (flagged for action).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7. RESULTS / BUSINESS IMPACT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Portfolio incremental marketing ROI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1.88x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; reallocation worth about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$2.6M/yr incremental revenue at flat budget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, shifting toward paid search, HCP/lab email and peer webinars and away from congress spend and saturated display or social.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One governed KPI layer replaces conflicting vendor reports; the scorecard links the mid-2024 CX program to measurable service gains.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Next: geo holdout tests on the two largest proposed shifts before full reallocation.</w:t>
      </w:r>
    </w:p>
    <w:sectPr>
      <w:footerReference w:type="default" r:id="rId7"/>
      <w:pgSz w:w="12240" w:h="15840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2514E"/>
        <w:sz w:val="14"/>
        <w:szCs w:val="14"/>
      </w:rPr>
      <w:t xml:space="preserve">Code: src/cx_suite/analytics | SQL: sql/ | DAX: semantic_model/ | Notebook: notebooks/03 | Figures: reports/figures/analytics | Author: YO (github.com/rickyemi)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05d94453348d9cbcf021c2f4a9e2e19fd927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2026-10-13T20:03:50.737Z</dcterms:created>
  <dcterms:modified xsi:type="dcterms:W3CDTF">2026-10-13T20:03:50.737Z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