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In-House Marketing Mix Strategy for Diagnostics CX</w:t>
      </w:r>
    </w:p>
    <w:p>
      <w:pPr>
        <w:spacing w:after="60"/>
      </w:pPr>
      <w:r>
        <w:rPr>
          <w:rFonts w:ascii="Calibri" w:cs="Calibri" w:eastAsia="Calibri" w:hAnsi="Calibri"/>
          <w:color w:val="52514E"/>
          <w:sz w:val="16"/>
          <w:szCs w:val="16"/>
        </w:rPr>
        <w:t xml:space="preserve">Director, CX Advanced Analytics &amp; AI point of view | Customers: Beckman Coulter clinical labs and C2N Diagnostics neurology and primary-care practices | Illustrative, synthetic figures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STRATEGIC INTENT</w:t>
      </w:r>
    </w:p>
    <w:p>
      <w:pPr>
        <w:spacing w:after="30"/>
      </w:pPr>
      <w:r>
        <w:rPr>
          <w:rFonts w:ascii="Calibri" w:cs="Calibri" w:eastAsia="Calibri" w:hAnsi="Calibri"/>
          <w:color w:val="0B0B0B"/>
          <w:sz w:val="19"/>
          <w:szCs w:val="19"/>
        </w:rPr>
        <w:t xml:space="preserve">Own the measurement engine instead of renting it. An in-house marketing mix solution gives brand teams a </w:t>
      </w: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weekly, explainable, governed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 view of what each channel returns, built in our own cloud stack and wired to the same KPI layer leadership already trusts. Vendors still supply data and specialist tests; </w:t>
      </w: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decisions, assumptions and model code stay with us.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TWO CUSTOMER JOURNEYS, ONE FRAMEWORK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50"/>
        <w:gridCol w:w="4450"/>
      </w:tblGrid>
      <w:tr>
        <w:trPr>
          <w:tblHeader/>
        </w:trPr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/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Clinical lab (Beckman Coulter)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Neurology / PCP practice (C2N Diagnostics)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Buyer and cycle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Lab director, procurement, value committee; 12 to 36 month cycles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Neurologist, memory clinic, PCP; new category, fast trial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What moves them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Uptime, turnaround, service experience, reagent economics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Clinical education, ordering ease, results clarity, coverage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Channel roles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Field + congress (ADLM) open doors; email, webinars, search sustain pull-through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Peer webinars and search build demand; reps convert; email drives repeat ordering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North-star outcome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Retained and expanded reagent volume per account</w:t>
            </w:r>
          </w:p>
        </w:tc>
        <w:tc>
          <w:tcPr>
            <w:tcW w:type="dxa" w:w="445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New ordering practices and repeat ordering rate</w:t>
            </w:r>
          </w:p>
        </w:tc>
      </w:tr>
    </w:tbl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MEASUREMENT ARCHITECTURE: TRIANGULATE, NEVER SINGLE-SOURCE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MMM (quarterly budget decisions)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geo-pooled, adstock and saturation, refreshed weekly; answers how much per channel.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Experiments (truth anchor)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geo holdouts and A/B tests calibrate the MMM; every major reallocation earns a test first.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Journey analytics (in-flight optimization)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campaign and account-level signals tune creative, cadence and targeting between MMM cycles.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KPI FRAMEWORK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Tier</w:t>
            </w:r>
          </w:p>
        </w:tc>
        <w:tc>
          <w:tcPr>
            <w:tcW w:type="dxa" w:w="6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KPIs (governed definitions, one source of truth)</w:t>
            </w:r>
          </w:p>
        </w:tc>
        <w:tc>
          <w:tcPr>
            <w:tcW w:type="dxa" w:w="2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FY target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North star</w:t>
            </w:r>
          </w:p>
        </w:tc>
        <w:tc>
          <w:tcPr>
            <w:tcW w:type="dxa" w:w="6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Incremental marketing ROI (MMM); Net Promoter Score</w:t>
            </w:r>
          </w:p>
        </w:tc>
        <w:tc>
          <w:tcPr>
            <w:tcW w:type="dxa" w:w="2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&gt;= 2.0x; &gt;= 40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Drivers</w:t>
            </w:r>
          </w:p>
        </w:tc>
        <w:tc>
          <w:tcPr>
            <w:tcW w:type="dxa" w:w="6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Cost per order; new accounts; repeat-order rate; digital engagement rate; non-personal promotion share</w:t>
            </w:r>
          </w:p>
        </w:tc>
        <w:tc>
          <w:tcPr>
            <w:tcW w:type="dxa" w:w="2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-5% CPO; +10% accounts; 35 to 45% NPP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Diagnostics</w:t>
            </w:r>
          </w:p>
        </w:tc>
        <w:tc>
          <w:tcPr>
            <w:tcW w:type="dxa" w:w="6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CSAT top-2-box; first-contact resolution; resolution hours; customer effort; active accounts</w:t>
            </w:r>
          </w:p>
        </w:tc>
        <w:tc>
          <w:tcPr>
            <w:tcW w:type="dxa" w:w="2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&gt;= 75%; &gt;= 70%; &lt;= 18 h; &lt;= 3.0</w:t>
            </w:r>
          </w:p>
        </w:tc>
      </w:tr>
    </w:tbl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HOW WE JUDGE THE CAPABILITY ITSELF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Adoption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at least 80% of brand budget decisions cite MMM scenarios by year end.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Accuracy and calibration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hold-out MAPE under 10%; MMM ROI inside lift-test confidence intervals for tested channels.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Speed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weekly refresh, any budget scenario returned in under one day. </w:t>
      </w: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Value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realized incremental revenue vs plan, audited quarterly with Finance.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ROADMAP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0 to 90 days, Foundation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star schema and data contracts, KPI catalog sign-off with Brand, Finance, Compliance; baseline MMM; Power BI scorecard live.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3 to 6 months, Prove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two geo holdout tests (email, congress); first 10% budget reallocation; NBA uplift pilot with pre-registered A/B design.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6 to 12 months, Scale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Bayesian MMM with experiment priors, always-on optimizer in planning cycle, MMM outputs feeding NBA channel mix.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GOVERNANCE, BUILD VS BUY, RISKS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Build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 the model, KPI layer and optimizer; </w:t>
      </w: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buy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 media data connectors and specialist testing. MLR approval IDs on every campaign, no PHI, Sunshine Act reconciliation and AdvaMed-aligned interactions are design requirements. </w:t>
      </w: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Key risks</w:t>
      </w:r>
      <w:r>
        <w:rPr>
          <w:rFonts w:ascii="Calibri" w:cs="Calibri" w:eastAsia="Calibri" w:hAnsi="Calibri"/>
          <w:color w:val="0B0B0B"/>
          <w:sz w:val="19"/>
          <w:szCs w:val="19"/>
        </w:rPr>
        <w:t xml:space="preserve">: weak signal in small channels (mitigated by lift-test priors), stakeholder trust (mitigated by transparent assumptions and holdout tests), data latency (mitigated by refresh SLAs and lineage).</w:t>
      </w:r>
    </w:p>
    <w:sectPr>
      <w:footerReference w:type="default" r:id="rId7"/>
      <w:pgSz w:w="12240" w:h="15840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52514E"/>
        <w:sz w:val="14"/>
        <w:szCs w:val="14"/>
      </w:rPr>
      <w:t xml:space="preserve">Supporting code and results: CX Advanced Analytics &amp; AI Technical Suite repository (github.com/rickyemi) | Prepared by YO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2026-10-13T20:03:50.742Z</dcterms:created>
  <dcterms:modified xsi:type="dcterms:W3CDTF">2026-10-13T20:03:50.742Z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