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C5CAB"/>
          <w:sz w:val="30"/>
          <w:szCs w:val="30"/>
        </w:rPr>
        <w:t xml:space="preserve">CX Predictive Algorithms: One-Pager</w:t>
      </w:r>
    </w:p>
    <w:p>
      <w:pPr>
        <w:spacing w:after="60"/>
      </w:pPr>
      <w:r>
        <w:rPr>
          <w:rFonts w:ascii="Calibri" w:cs="Calibri" w:eastAsia="Calibri" w:hAnsi="Calibri"/>
          <w:color w:val="52514E"/>
          <w:sz w:val="16"/>
          <w:szCs w:val="16"/>
        </w:rPr>
        <w:t xml:space="preserve">Attrition early-warning + Next-Best-Action uplift, proven through a pre-registered A/B pilot | Customers: Beckman Coulter clinical labs and C2N Diagnostics ordering practices | Synthetic data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1. OBJECTIVE / PROBLEM STATEMENT</w:t>
      </w:r>
    </w:p>
    <w:p>
      <w:pPr>
        <w:spacing w:after="3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Outreach is spent on accounts that would order anyway, and at-risk accounts surface only after volume drops.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Attrition early-warning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 ranks 12-month disengagement risk so Customer Success works the riskiest 10% with actionable reasons.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Next-Best-Action (NBA) uplift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 picks whom to contact so outreach changes behavior, and suppresses accounts where it backfires.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2. CLINICAL AND REGULATORY CONSIDERATIONS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Account-level, de-identified B2B data;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no PHI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 in features, logs or training sets (HIPAA). Not a clinical decision tool and not SaMD.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Models choose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who and when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; content comes only from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MLR-approved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, on-label material (FDA-cleared IVD labeling; validated claims for C2N's CLIA-lab test).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Consent-gated email (CAN-SPAM, CCPA/CPRA);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Sunshine Act / Open Payments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 logging; no outreach tied to remuneration (Anti-Kickback Statute, AdvaMed Code).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Responsible AI gates: subgroup AUC parity (within 0.05), reason codes, human-in-the-loop CSM review, model cards, versioned approvals.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3. TOOLS (END TO END)</w:t>
      </w:r>
    </w:p>
    <w:p>
      <w:pPr>
        <w:spacing w:after="3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Snowflake / Redshift feature tables | Python: pandas, scikit-learn, statsmodels, SciPy | MLflow tracking and registry | Airflow | Docker + GitHub Actions CI/CD | Salesforce / Veeva CRM and Marketo activation | Power BI monitoring | PSI drift monitor.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4. PIPELINE AND PREPROCESSING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Generate &gt; engineer &gt; train + calibrate &gt; offline gates &gt; offline policy evaluation &gt; A/B pilot &gt; batch scores to CRM &gt; drift monitor &gt; retrain.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 Unified service-pain index (instrument downtime for BEC, result turnaround for C2N, z-scored within business); NPS non-response flag with median imputation; log volume; renewal-within-120-days flag; one-hot segments; unit-tested leakage guard.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5. MODEL DEVELOPMENT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Attrition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: logistic regression vs gradient boosting, 5-fold stratified CV, Platt calibration, 30% hold-out; ties go to the simpler model (logistic regression won).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Uplift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: T-learner (treated and control gradient-boosting models) trained on a historical 50/50 randomized campaign.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Pilot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: Arm A = today's rule (top 30% most engaged) vs Arm B = top 30% predicted uplift at equal capacity; one-sided z-test, alpha 0.05, power 0.80, MDE 1.5 pts (8,481 accounts per arm).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6. SUCCESS METRICS AND RESULTS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00"/>
        <w:gridCol w:w="1900"/>
        <w:gridCol w:w="3600"/>
      </w:tblGrid>
      <w:tr>
        <w:trPr>
          <w:tblHeader/>
        </w:trPr>
        <w:tc>
          <w:tcPr>
            <w:tcW w:type="dxa" w:w="14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Product</w:t>
            </w:r>
          </w:p>
        </w:tc>
        <w:tc>
          <w:tcPr>
            <w:tcW w:type="dxa" w:w="3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shd w:fill="E8F0FB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Attrition</w:t>
            </w:r>
          </w:p>
        </w:tc>
        <w:tc>
          <w:tcPr>
            <w:tcW w:type="dxa" w:w="3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ROC-AUC (5-fold CV)</w:t>
            </w:r>
          </w:p>
        </w:tc>
        <w:tc>
          <w:tcPr>
            <w:tcW w:type="dxa" w:w="1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&gt;= 0.80</w:t>
            </w:r>
          </w:p>
        </w:tc>
        <w:tc>
          <w:tcPr>
            <w:tcW w:type="dxa" w:w="36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0.891</w:t>
            </w: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 (0.889 +/- 0.008)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Attrition</w:t>
            </w:r>
          </w:p>
        </w:tc>
        <w:tc>
          <w:tcPr>
            <w:tcW w:type="dxa" w:w="3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Top-decile lift / churners captured</w:t>
            </w:r>
          </w:p>
        </w:tc>
        <w:tc>
          <w:tcPr>
            <w:tcW w:type="dxa" w:w="1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&gt;= 3x</w:t>
            </w:r>
          </w:p>
        </w:tc>
        <w:tc>
          <w:tcPr>
            <w:tcW w:type="dxa" w:w="36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4.6x / 46%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Attrition</w:t>
            </w:r>
          </w:p>
        </w:tc>
        <w:tc>
          <w:tcPr>
            <w:tcW w:type="dxa" w:w="3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Brier score; subgroup AUC range</w:t>
            </w:r>
          </w:p>
        </w:tc>
        <w:tc>
          <w:tcPr>
            <w:tcW w:type="dxa" w:w="1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&lt; 0.10; within 0.05</w:t>
            </w:r>
          </w:p>
        </w:tc>
        <w:tc>
          <w:tcPr>
            <w:tcW w:type="dxa" w:w="36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0.083; 0.877 to 0.913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Uplift</w:t>
            </w:r>
          </w:p>
        </w:tc>
        <w:tc>
          <w:tcPr>
            <w:tcW w:type="dxa" w:w="3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Qini coefficient; true uplift top 30% vs random</w:t>
            </w:r>
          </w:p>
        </w:tc>
        <w:tc>
          <w:tcPr>
            <w:tcW w:type="dxa" w:w="1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&gt; 0; &gt; 1.5x</w:t>
            </w:r>
          </w:p>
        </w:tc>
        <w:tc>
          <w:tcPr>
            <w:tcW w:type="dxa" w:w="36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0.55; 2.4x</w:t>
            </w: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 (9.5 vs 3.9 pts)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Pilot</w:t>
            </w:r>
          </w:p>
        </w:tc>
        <w:tc>
          <w:tcPr>
            <w:tcW w:type="dxa" w:w="3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60-day conversion lift (ITT)</w:t>
            </w:r>
          </w:p>
        </w:tc>
        <w:tc>
          <w:tcPr>
            <w:tcW w:type="dxa" w:w="1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+1.5 pts, p &lt; 0.05</w:t>
            </w:r>
          </w:p>
        </w:tc>
        <w:tc>
          <w:tcPr>
            <w:tcW w:type="dxa" w:w="36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+2.75 pts</w:t>
            </w: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 (95% CI 1.77 to 3.74), p = 2e-8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Pilot</w:t>
            </w:r>
          </w:p>
        </w:tc>
        <w:tc>
          <w:tcPr>
            <w:tcW w:type="dxa" w:w="3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Unsubscribe guardrail</w:t>
            </w:r>
          </w:p>
        </w:tc>
        <w:tc>
          <w:tcPr>
            <w:tcW w:type="dxa" w:w="1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&lt;= +0.3 pts</w:t>
            </w:r>
          </w:p>
        </w:tc>
        <w:tc>
          <w:tcPr>
            <w:tcW w:type="dxa" w:w="36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0B0B"/>
                <w:sz w:val="16"/>
                <w:szCs w:val="16"/>
              </w:rPr>
              <w:t xml:space="preserve">+0.15 pts</w:t>
            </w:r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 (pass)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Monitoring</w:t>
            </w:r>
          </w:p>
        </w:tc>
        <w:tc>
          <w:tcPr>
            <w:tcW w:type="dxa" w:w="3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Score PSI; feature PSI</w:t>
            </w:r>
          </w:p>
        </w:tc>
        <w:tc>
          <w:tcPr>
            <w:tcW w:type="dxa" w:w="19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&lt; 0.10; &lt; 0.25</w:t>
            </w:r>
          </w:p>
        </w:tc>
        <w:tc>
          <w:tcPr>
            <w:tcW w:type="dxa" w:w="3600"/>
            <w:tcBorders>
              <w:top w:val="single" w:color="D9D9D6" w:sz="2"/>
              <w:left w:val="single" w:color="D9D9D6" w:sz="2"/>
              <w:bottom w:val="single" w:color="D9D9D6" w:sz="2"/>
              <w:right w:val="single" w:color="D9D9D6" w:sz="2"/>
            </w:tcBorders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0B0B"/>
                <w:sz w:val="16"/>
                <w:szCs w:val="16"/>
              </w:rPr>
              <w:t xml:space="preserve">0.05; email open rate 0.42 triggers review</w:t>
            </w:r>
          </w:p>
        </w:tc>
      </w:tr>
    </w:tbl>
    <w:p>
      <w:pPr>
        <w:spacing w:after="0" w:before="40"/>
        <w:jc w:val="center"/>
      </w:pPr>
      <w:r>
        <w:drawing>
          <wp:inline distT="0" distB="0" distL="0" distR="0">
            <wp:extent cx="5486400" cy="2064955"/>
            <wp:effectExtent t="0" r="0" b="0" l="0"/>
            <wp:docPr id="1" name="ml/03_churn_gains_lift.png" descr="Attrition model: contacting the top 10% by risk captures 46% of churners; top decile churns at 4.6x the average (reports/figures/ml/03)." title="Attrition model: contacting the top 10% by risk captures 46% of churners; top decile churns at 4.6x the average (reports/figures/ml/0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6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52514E"/>
          <w:sz w:val="14"/>
          <w:szCs w:val="14"/>
        </w:rPr>
        <w:t xml:space="preserve">Attrition model: contacting the top 10% by risk captures 46% of churners; top decile churns at 4.6x the average (reports/figures/ml/03).</w:t>
      </w:r>
    </w:p>
    <w:p>
      <w:pPr>
        <w:pBdr>
          <w:bottom w:val="single" w:color="B7D3F6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C5CAB"/>
          <w:sz w:val="18"/>
          <w:szCs w:val="18"/>
        </w:rPr>
        <w:t xml:space="preserve">7. RESULTS / BUSINESS IMPACT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At an assumed 20% save rate, the worklist retains about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360 accounts per cycle versus about 80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 from same-size untargeted outreach (24,000-account book).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Pilot: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+20.5% relative conversion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 at equal outreach volume, about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$0.96M incremental margin per 10,000 accounts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 ($3,500 per conversion assumed). Decision: </w:t>
      </w:r>
      <w:r>
        <w:rPr>
          <w:rFonts w:ascii="Calibri" w:cs="Calibri" w:eastAsia="Calibri" w:hAnsi="Calibri"/>
          <w:b/>
          <w:bCs/>
          <w:color w:val="0B0B0B"/>
          <w:sz w:val="17"/>
          <w:szCs w:val="17"/>
        </w:rPr>
        <w:t xml:space="preserve">ship, scale to Wave 2</w:t>
      </w:r>
      <w:r>
        <w:rPr>
          <w:rFonts w:ascii="Calibri" w:cs="Calibri" w:eastAsia="Calibri" w:hAnsi="Calibri"/>
          <w:color w:val="0B0B0B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0B0B0B"/>
          <w:sz w:val="17"/>
          <w:szCs w:val="17"/>
        </w:rPr>
        <w:t xml:space="preserve">A response model looked nearly as good offline; uplift won because it also suppresses negative-uplift accounts and protects opt-out rates.</w:t>
      </w:r>
    </w:p>
    <w:sectPr>
      <w:footerReference w:type="default" r:id="rId7"/>
      <w:pgSz w:w="12240" w:h="15840" w:orient="portrait"/>
      <w:pgMar w:top="60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52514E"/>
        <w:sz w:val="14"/>
        <w:szCs w:val="14"/>
      </w:rPr>
      <w:t xml:space="preserve">Code: src/cx_suite/ml | Notebook: notebooks/02_cx_ml_models_and_pilot.ipynb | Figures: reports/figures/ml | Author: YO (github.com/rickyemi)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db1cfd1f3733c9023b8c1feaf2d3dd0db19bd5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2026-10-13T20:03:50.711Z</dcterms:created>
  <dcterms:modified xsi:type="dcterms:W3CDTF">2026-10-13T20:03:50.712Z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