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Multi-tier Machine Learning for Digital-Microscopy ID/AST: Gram Reaction, Growth and MIC Calls</w:t>
      </w:r>
    </w:p>
    <w:p>
      <w:pPr>
        <w:spacing w:after="20" w:before="0" w:line="228"/>
      </w:pPr>
      <w:r>
        <w:rPr>
          <w:rFonts w:ascii="Calibri" w:cs="Calibri" w:eastAsia="Calibri" w:hAnsi="Calibri"/>
          <w:color w:val="52514E"/>
          <w:sz w:val="14"/>
          <w:szCs w:val="14"/>
        </w:rPr>
        <w:t xml:space="preserve">YO (github.com/rickyemi)  ·  One-page summary  ·  Research prototype on synthetic data</w:t>
      </w:r>
    </w:p>
    <w:p>
      <w:pPr>
        <w:pBdr>
          <w:bottom w:val="single" w:color="B7D3F6" w:sz="4" w:space="1"/>
        </w:pBdr>
        <w:spacing w:after="20" w:before="60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Goal</w:t>
      </w:r>
    </w:p>
    <w:p>
      <w:pPr>
        <w:spacing w:after="25" w:before="0" w:line="228"/>
      </w:pPr>
      <w:r>
        <w:rPr>
          <w:rFonts w:ascii="Calibri" w:cs="Calibri" w:eastAsia="Calibri" w:hAnsi="Calibri"/>
          <w:sz w:val="15"/>
          <w:szCs w:val="15"/>
        </w:rPr>
        <w:t xml:space="preserve">Build a reproducible, production-ready three-tier cascade that turns digital-microscopy images of broth-microdilution wells into lab results: </w:t>
      </w:r>
      <w:r>
        <w:rPr>
          <w:rFonts w:ascii="Calibri" w:cs="Calibri" w:eastAsia="Calibri" w:hAnsi="Calibri"/>
          <w:b/>
          <w:bCs/>
          <w:sz w:val="15"/>
          <w:szCs w:val="15"/>
        </w:rPr>
        <w:t xml:space="preserve">Tier 1</w:t>
      </w:r>
      <w:r>
        <w:rPr>
          <w:rFonts w:ascii="Calibri" w:cs="Calibri" w:eastAsia="Calibri" w:hAnsi="Calibri"/>
          <w:sz w:val="15"/>
          <w:szCs w:val="15"/>
        </w:rPr>
        <w:t xml:space="preserve"> Gram reaction, </w:t>
      </w:r>
      <w:r>
        <w:rPr>
          <w:rFonts w:ascii="Calibri" w:cs="Calibri" w:eastAsia="Calibri" w:hAnsi="Calibri"/>
          <w:b/>
          <w:bCs/>
          <w:sz w:val="15"/>
          <w:szCs w:val="15"/>
        </w:rPr>
        <w:t xml:space="preserve">Tier 2</w:t>
      </w:r>
      <w:r>
        <w:rPr>
          <w:rFonts w:ascii="Calibri" w:cs="Calibri" w:eastAsia="Calibri" w:hAnsi="Calibri"/>
          <w:sz w:val="15"/>
          <w:szCs w:val="15"/>
        </w:rPr>
        <w:t xml:space="preserve"> Growth / No Growth per well, </w:t>
      </w:r>
      <w:r>
        <w:rPr>
          <w:rFonts w:ascii="Calibri" w:cs="Calibri" w:eastAsia="Calibri" w:hAnsi="Calibri"/>
          <w:b/>
          <w:bCs/>
          <w:sz w:val="15"/>
          <w:szCs w:val="15"/>
        </w:rPr>
        <w:t xml:space="preserve">Tier 3</w:t>
      </w:r>
      <w:r>
        <w:rPr>
          <w:rFonts w:ascii="Calibri" w:cs="Calibri" w:eastAsia="Calibri" w:hAnsi="Calibri"/>
          <w:sz w:val="15"/>
          <w:szCs w:val="15"/>
        </w:rPr>
        <w:t xml:space="preserve"> MIC (with DSI and S/I/R) for S. aureus, S. epidermidis, E. faecalis and E. faecium vs vancomycin, ceftriaxone, ampicillin, oxacillin, daptomycin and meropenem. XGBoost, RBF-SVM and FT-Transformer are compared.</w:t>
      </w:r>
    </w:p>
    <w:p>
      <w:pPr>
        <w:pBdr>
          <w:bottom w:val="single" w:color="B7D3F6" w:sz="4" w:space="1"/>
        </w:pBdr>
        <w:spacing w:after="20" w:before="60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Data</w:t>
      </w:r>
    </w:p>
    <w:p>
      <w:pPr>
        <w:spacing w:after="25" w:before="0" w:line="228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Synthetic wells: </w:t>
      </w:r>
      <w:r>
        <w:rPr>
          <w:rFonts w:ascii="Calibri" w:cs="Calibri" w:eastAsia="Calibri" w:hAnsi="Calibri"/>
          <w:sz w:val="15"/>
          <w:szCs w:val="15"/>
        </w:rPr>
        <w:t xml:space="preserve">7,320 wells × 30 columns (274 isolates; one well = isolate × drug × concentration), 8% missing at random. Features: Gram-stain imaging, ID tests (KOH, morphology, catalase), time-lapse growth imaging, OD600, panel design and QC.</w:t>
      </w:r>
    </w:p>
    <w:p>
      <w:pPr>
        <w:spacing w:after="25" w:before="0" w:line="228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Targets and split: </w:t>
      </w:r>
      <w:r>
        <w:rPr>
          <w:rFonts w:ascii="Calibri" w:cs="Calibri" w:eastAsia="Calibri" w:hAnsi="Calibri"/>
          <w:sz w:val="15"/>
          <w:szCs w:val="15"/>
        </w:rPr>
        <w:t xml:space="preserve">T1 Gram Positive 55% / Negative 45%; T2 Growth 54.6% / No Growth 45.4%; T3 MIC (17 classes) + DSI for 466 Gram-positive series. 80/20 split by isolate: Train 219 isolates (367 series) / Test 55 isolates (99 series).</w:t>
      </w:r>
    </w:p>
    <w:p>
      <w:pPr>
        <w:pBdr>
          <w:bottom w:val="single" w:color="B7D3F6" w:sz="4" w:space="1"/>
        </w:pBdr>
        <w:spacing w:after="20" w:before="60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Methodology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9100"/>
      </w:tblGrid>
      <w:tr>
        <w:tc>
          <w:tcPr>
            <w:tcW w:type="dxa" w:w="1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Stage</w:t>
            </w:r>
          </w:p>
        </w:tc>
        <w:tc>
          <w:tcPr>
            <w:tcW w:type="dxa" w:w="91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What was done</w:t>
            </w:r>
          </w:p>
        </w:tc>
      </w:tr>
      <w:tr>
        <w:tc>
          <w:tcPr>
            <w:tcW w:type="dxa" w:w="1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Data analysis</w:t>
            </w:r>
          </w:p>
        </w:tc>
        <w:tc>
          <w:tcPr>
            <w:tcW w:type="dxa" w:w="91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Gram features: Mann-Whitney U + BH-FDR, effect sizes, single-feature AUC; ID tests: chi-square / Cramér's V; MIC distributions vs breakpoints, antibiogram, dose-response around the MIC, genotype-phenotype concordance.</w:t>
            </w:r>
          </w:p>
        </w:tc>
      </w:tr>
      <w:tr>
        <w:tc>
          <w:tcPr>
            <w:tcW w:type="dxa" w:w="1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Preprocessing (Train only)</w:t>
            </w:r>
          </w:p>
        </w:tc>
        <w:tc>
          <w:tcPr>
            <w:tcW w:type="dxa" w:w="91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log10 of counts → outliers capped at Tukey IQR fences → median / most-frequent imputation (MCAR check passed; 4 imputers tie on grouped-CV AUC) → z-score → one-hot.</w:t>
            </w:r>
          </w:p>
        </w:tc>
      </w:tr>
      <w:tr>
        <w:tc>
          <w:tcPr>
            <w:tcW w:type="dxa" w:w="1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Feature selection (per tier)</w:t>
            </w:r>
          </w:p>
        </w:tc>
        <w:tc>
          <w:tcPr>
            <w:tcW w:type="dxa" w:w="91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FDR q &lt; 0.05 and mutual information ≥ 0.01, then drop near-duplicates (abs rho &gt; 0.95). Tier 1: 9 of 10 (Organism and Resistance_Marker excluded as leaky); Tier 2: 9 of 15.</w:t>
            </w:r>
          </w:p>
        </w:tc>
      </w:tr>
      <w:tr>
        <w:tc>
          <w:tcPr>
            <w:tcW w:type="dxa" w:w="1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Model development</w:t>
            </w:r>
          </w:p>
        </w:tc>
        <w:tc>
          <w:tcPr>
            <w:tcW w:type="dxa" w:w="91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Tiers 1–2: XGBoost (RandomizedSearchCV, 30 candidates) and RBF-SVM (20 candidates, Platt probabilities), 5-fold GroupKFold by isolate, train-validation gap guard ≤ 0.03; FT-Transformer (2 layers × 4 heads, early stopping). Youden threshold on out-of-fold predictions. Tier 3: maximum-likelihood MIC cut-point over each dilution series; Tier 1 pools images per isolate and gates the MIC. Saved as joblib pipelines and 3 cascades.</w:t>
            </w:r>
          </w:p>
        </w:tc>
      </w:tr>
      <w:tr>
        <w:tc>
          <w:tcPr>
            <w:tcW w:type="dxa" w:w="1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Performance evaluation</w:t>
            </w:r>
          </w:p>
        </w:tc>
        <w:tc>
          <w:tcPr>
            <w:tcW w:type="dxa" w:w="91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Train vs Test (isolate-grouped); ROC, confusion, calibration, MIC agreement, organism × drug agreement, gain and permutation importance; 12 stress tests with rules fixed before running.</w:t>
            </w:r>
          </w:p>
        </w:tc>
      </w:tr>
      <w:tr>
        <w:tc>
          <w:tcPr>
            <w:tcW w:type="dxa" w:w="1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Acceptance criteria (Test)</w:t>
            </w:r>
          </w:p>
        </w:tc>
        <w:tc>
          <w:tcPr>
            <w:tcW w:type="dxa" w:w="91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Accuracy, sensitivity, specificity, PPV, NPV, AUC, F1 ≥ 0.92 (Tiers 1–2); EA, AA, CA ≥ 0.92, VME &lt; 2%, ME ≤ 3% (Tier 3). FDA AST guidance for context: EA, CA ≥ 90%, VME ≤ 1.5%.</w:t>
            </w:r>
          </w:p>
        </w:tc>
      </w:tr>
      <w:tr>
        <w:tc>
          <w:tcPr>
            <w:tcW w:type="dxa" w:w="1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Endpoints</w:t>
            </w:r>
          </w:p>
        </w:tc>
        <w:tc>
          <w:tcPr>
            <w:tcW w:type="dxa" w:w="91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Primary: Tier 1 Gram accuracy; Tier 2 growth accuracy; Tier 3 EA and VME end-to-end. Secondary: sensitivity, specificity, PPV, NPV, AUC, F1, isolate-level Gram accuracy, AA, CA, ME, mE, subgroup agreement, calibration, stress tests.</w:t>
            </w:r>
          </w:p>
        </w:tc>
      </w:tr>
    </w:tbl>
    <w:p>
      <w:pPr>
        <w:pBdr>
          <w:bottom w:val="single" w:color="B7D3F6" w:sz="4" w:space="1"/>
        </w:pBdr>
        <w:spacing w:after="20" w:before="60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Results (Train / Test)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1600"/>
        <w:gridCol w:w="1375"/>
        <w:gridCol w:w="1375"/>
        <w:gridCol w:w="1375"/>
        <w:gridCol w:w="1375"/>
        <w:gridCol w:w="1375"/>
        <w:gridCol w:w="1375"/>
      </w:tblGrid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Metric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XGBoost Train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XGBoost Test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SVM-RBF Train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SVM-RBF Test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Transf. Train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Transf. Test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 Gram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Accuracy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0.973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0.972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0.968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0.968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0.968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 Gram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Sensitivity / Specificity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0.967 / 0.995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0.966 / 0.981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0.971 / 0.973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0.971 / 0.963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0.952 / 0.987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0.959 / 0.980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 Gram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PPV / NPV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0.995 / 0.962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0.985 / 0.959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0.977 / 0.965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0.971 / 0.963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0.989 / 0.945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0.983 / 0.950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 Gram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AUC / F1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0.999 / 0.981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0.996 / 0.975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0.997 / 0.974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0.994 / 0.971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0.997 / 0.970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0.994 / 0.971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2 Growth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Accuracy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0.994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0.989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0.983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0.979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2 Growth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Sensitivity / Specificity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0.996 / 0.992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0.989 / 0.980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0.990 / 0.987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0.987 / 0.979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0.992 / 0.987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0.983 / 0.975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2 Growth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PPV / NPV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0.993 / 0.995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0.983 / 0.987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0.990 / 0.987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0.982 / 0.985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0.989 / 0.991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0.978 / 0.980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2 Growth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AUC / F1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1.000 / 0.995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0.999 / 0.986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0.999 / 0.990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0.998 / 0.984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0.999 / 0.991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0.999 / 0.981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3 MIC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EA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0.997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1.000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1.000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0.992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1.000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3 MIC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AA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0.975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0.949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0.948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0.948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52F2F"/>
                <w:sz w:val="13"/>
                <w:szCs w:val="13"/>
              </w:rPr>
              <w:t xml:space="preserve">0.899 ✗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3 MIC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0.989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0.986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1.000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0.986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0.980</w:t>
            </w:r>
          </w:p>
        </w:tc>
      </w:tr>
      <w:tr>
        <w:tc>
          <w:tcPr>
            <w:tcW w:type="dxa" w:w="11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3 MIC</w:t>
            </w:r>
          </w:p>
        </w:tc>
        <w:tc>
          <w:tcPr>
            <w:tcW w:type="dxa" w:w="1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VME / ME / mE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 / 0.5% / 0.8%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 / 0 / 2%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 / 1% / 0.8%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 / 0 / 0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 / 1% / 0.8%</w:t>
            </w:r>
          </w:p>
        </w:tc>
        <w:tc>
          <w:tcPr>
            <w:tcW w:type="dxa" w:w="1375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5"/>
              <w:left w:type="dxa" w:w="55"/>
              <w:bottom w:type="dxa" w:w="15"/>
              <w:right w:type="dxa" w:w="55"/>
            </w:tcMar>
          </w:tcPr>
          <w:p>
            <w:pPr>
              <w:spacing w:after="0" w:line="21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 / 0 / 2%</w:t>
            </w:r>
          </w:p>
        </w:tc>
      </w:tr>
    </w:tbl>
    <w:p>
      <w:pPr>
        <w:pStyle w:val="ListParagraph"/>
        <w:numPr>
          <w:ilvl w:val="0"/>
          <w:numId w:val="2"/>
        </w:numPr>
        <w:spacing w:after="25" w:before="40" w:line="228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Acceptance: </w:t>
      </w:r>
      <w:r>
        <w:rPr>
          <w:rFonts w:ascii="Calibri" w:cs="Calibri" w:eastAsia="Calibri" w:hAnsi="Calibri"/>
          <w:sz w:val="15"/>
          <w:szCs w:val="15"/>
        </w:rPr>
        <w:t xml:space="preserve">56 of 57 Test criteria met; all primary endpoints (Tier 1 and Tier 2 accuracy, Tier 3 EA and VME) pass for every model. Miss: Transformer AA 0.899 (EA, CA and VME pass). Isolate-level Gram accuracy is 100% for all models, so no Gram-positive series lost its MIC.</w:t>
      </w:r>
    </w:p>
    <w:p>
      <w:pPr>
        <w:pStyle w:val="ListParagraph"/>
        <w:numPr>
          <w:ilvl w:val="0"/>
          <w:numId w:val="2"/>
        </w:numPr>
        <w:spacing w:after="25" w:before="0" w:line="228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Recommended cascade: </w:t>
      </w:r>
      <w:r>
        <w:rPr>
          <w:rFonts w:ascii="Calibri" w:cs="Calibri" w:eastAsia="Calibri" w:hAnsi="Calibri"/>
          <w:sz w:val="15"/>
          <w:szCs w:val="15"/>
        </w:rPr>
        <w:t xml:space="preserve">SVM-RBF: the only cascade with 100% EA and 100% CA on Test and the highest AA (0.970); XGBoost is best on Tiers 1–2. Train and Test agree within about 0.015 on Tiers 1–2 (no overfitting). Top features: KOH, cell elongation, cell area, catalase (Tier 1); OD600, fold change, time to detection (Tier 2). EA is 1.00 in every organism and drug subgroup; AA varies with small n (lowest: Transformer meropenem 0.77).</w:t>
      </w:r>
    </w:p>
    <w:p>
      <w:pPr>
        <w:pStyle w:val="ListParagraph"/>
        <w:numPr>
          <w:ilvl w:val="0"/>
          <w:numId w:val="2"/>
        </w:numPr>
        <w:spacing w:after="25" w:before="0" w:line="228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Stress tests: </w:t>
      </w:r>
      <w:r>
        <w:rPr>
          <w:rFonts w:ascii="Calibri" w:cs="Calibri" w:eastAsia="Calibri" w:hAnsi="Calibri"/>
          <w:sz w:val="15"/>
          <w:szCs w:val="15"/>
        </w:rPr>
        <w:t xml:space="preserve">XGBoost 12/13, SVM-RBF 11/13, Transformer 12/13 rules passed. Passed by all: bootstrap lower bounds, Gram-failure injection, noise, inoculum shift, subgroups, label noise, permutation test, Train-Test gap, CV stability, edge cases. Not passed: XGBoost: +5% growth artefacts: EA / VME = 0.879 / 5.0%; SVM-RBF: +20% missing: T2 acc / AA drop = 0.021 / 0.111; SVM-RBF: +5% growth artefacts: EA / VME = 0.889 / 5.0%; Transformer: +20% missing: T2 acc / AA drop = 0.021 / 0.061.</w:t>
      </w:r>
    </w:p>
    <w:p>
      <w:pPr>
        <w:pBdr>
          <w:bottom w:val="single" w:color="B7D3F6" w:sz="4" w:space="1"/>
        </w:pBdr>
        <w:spacing w:after="20" w:before="60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Caveats</w:t>
      </w:r>
    </w:p>
    <w:p>
      <w:pPr>
        <w:spacing w:after="25" w:before="0" w:line="228"/>
      </w:pPr>
      <w:r>
        <w:rPr>
          <w:rFonts w:ascii="Calibri" w:cs="Calibri" w:eastAsia="Calibri" w:hAnsi="Calibri"/>
          <w:i/>
          <w:iCs/>
          <w:color w:val="52514E"/>
          <w:sz w:val="15"/>
          <w:szCs w:val="15"/>
        </w:rPr>
        <w:t xml:space="preserve">Synthetic data and several surrogate breakpoints: these results show the pipeline works; clinical validity still has to be tested against reference BMD on real isolates. With ~40 resistant Test series, 0 VMEs still leaves a 95% upper bound near 9% (VME &lt; 2% needs ~180+ resistant isolates). MIC calls are sensitive to image artefacts next to the MIC well, so use image-quality flags and re-read conflicting series. Code, joblib models, notebooks and 31 figures: GitHub repository.</w:t>
      </w:r>
    </w:p>
    <w:sectPr>
      <w:pgSz w:w="12240" w:h="15840" w:orient="portrait"/>
      <w:pgMar w:top="52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2026-09-30T20:39:49.315Z</dcterms:created>
  <dcterms:modified xsi:type="dcterms:W3CDTF">2026-09-30T20:39:49.316Z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