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B0B0B"/>
          <w:sz w:val="28"/>
          <w:szCs w:val="28"/>
        </w:rPr>
        <w:t xml:space="preserve">Reclassifying Clinical Variants of Uncertain Significance (VUS) with Machine Learning</w:t>
      </w:r>
    </w:p>
    <w:p>
      <w:pPr>
        <w:spacing w:after="30" w:before="0" w:line="245"/>
      </w:pPr>
      <w:r>
        <w:rPr>
          <w:rFonts w:ascii="Calibri" w:cs="Calibri" w:eastAsia="Calibri" w:hAnsi="Calibri"/>
          <w:color w:val="52514E"/>
          <w:sz w:val="16"/>
          <w:szCs w:val="16"/>
        </w:rPr>
        <w:t xml:space="preserve">YO (github.com/rickyemi)  ·  One-page summary  ·  Research prototype on synthetic data</w:t>
      </w:r>
    </w:p>
    <w:p>
      <w:pPr>
        <w:pBdr>
          <w:bottom w:val="single" w:color="B7D3F6" w:sz="4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Goal</w:t>
      </w:r>
    </w:p>
    <w:p>
      <w:pPr>
        <w:spacing w:after="40" w:before="0" w:line="245"/>
      </w:pPr>
      <w:r>
        <w:rPr>
          <w:rFonts w:ascii="Calibri" w:cs="Calibri" w:eastAsia="Calibri" w:hAnsi="Calibri"/>
          <w:sz w:val="17"/>
          <w:szCs w:val="17"/>
        </w:rPr>
        <w:t xml:space="preserve">About 10% of reported cancer variants are VUS, which can't guide treatment or cascade testing. This project builds a reproducible, production-ready pipeline that learns from confidently labelled variants and reclassifies each VUS as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Pathogenic</w:t>
      </w:r>
      <w:r>
        <w:rPr>
          <w:rFonts w:ascii="Calibri" w:cs="Calibri" w:eastAsia="Calibri" w:hAnsi="Calibri"/>
          <w:sz w:val="17"/>
          <w:szCs w:val="17"/>
        </w:rPr>
        <w:t xml:space="preserve"> or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Benign</w:t>
      </w:r>
      <w:r>
        <w:rPr>
          <w:rFonts w:ascii="Calibri" w:cs="Calibri" w:eastAsia="Calibri" w:hAnsi="Calibri"/>
          <w:sz w:val="17"/>
          <w:szCs w:val="17"/>
        </w:rPr>
        <w:t xml:space="preserve">, with a probability, a confidence tier and model agreement. The target was 88–92% accuracy on both Train and Test without overfitting.</w:t>
      </w:r>
    </w:p>
    <w:p>
      <w:pPr>
        <w:pBdr>
          <w:bottom w:val="single" w:color="B7D3F6" w:sz="4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Data</w:t>
      </w:r>
    </w:p>
    <w:p>
      <w:pPr>
        <w:spacing w:after="40" w:before="0" w:line="245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Synthetic cohort: </w:t>
      </w:r>
      <w:r>
        <w:rPr>
          <w:rFonts w:ascii="Calibri" w:cs="Calibri" w:eastAsia="Calibri" w:hAnsi="Calibri"/>
          <w:sz w:val="17"/>
          <w:szCs w:val="17"/>
        </w:rPr>
        <w:t xml:space="preserve">3,410 variants × 30 columns, 13% of cells missing at random. 8 demographic, 12 genomic (consequence, gene, CADD, REVEL, SIFT, PolyPhen-2, SpliceAI, GERP, PhyloP, gnomAD AF) and 8 tumour/clinical biomarker features (VAF, TMB, Ki-67, PD-L1, CEA, CA125, HRD, read depth).</w:t>
      </w:r>
    </w:p>
    <w:p>
      <w:pPr>
        <w:spacing w:after="40" w:before="0" w:line="245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Target: </w:t>
      </w:r>
      <w:r>
        <w:rPr>
          <w:rFonts w:ascii="Calibri" w:cs="Calibri" w:eastAsia="Calibri" w:hAnsi="Calibri"/>
          <w:sz w:val="17"/>
          <w:szCs w:val="17"/>
        </w:rPr>
        <w:t xml:space="preserve">Benign 2,387 (70%) · Pathogenic 682 (20%) · VUS 341 (10%). Labelled rows split 80/20 stratified (Train 2,455 / Test 614); the VUS are held out and reclassified at the end.</w:t>
      </w:r>
    </w:p>
    <w:p>
      <w:pPr>
        <w:pBdr>
          <w:bottom w:val="single" w:color="B7D3F6" w:sz="4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Methodology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8600"/>
      </w:tblGrid>
      <w:tr>
        <w:tc>
          <w:tcPr>
            <w:tcW w:type="dxa" w:w="22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8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was done</w:t>
            </w:r>
          </w:p>
        </w:tc>
      </w:tr>
      <w:tr>
        <w:tc>
          <w:tcPr>
            <w:tcW w:type="dxa" w:w="22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Biomarker &amp; genomic analysis</w:t>
            </w:r>
          </w:p>
        </w:tc>
        <w:tc>
          <w:tcPr>
            <w:tcW w:type="dxa" w:w="8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Mann-Whitney U tests with Benjamini-Hochberg FDR, effect sizes and single-feature AUC; chi-square with Cramér's V; Fisher's exact enrichment of variant consequence; gene × consequence rates; in-silico concordance; gnomAD AF against the ACMG BA1/BS1/PM2 thresholds.</w:t>
            </w:r>
          </w:p>
        </w:tc>
      </w:tr>
      <w:tr>
        <w:tc>
          <w:tcPr>
            <w:tcW w:type="dxa" w:w="22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Preprocessing (Train only)</w:t>
            </w:r>
          </w:p>
        </w:tc>
        <w:tc>
          <w:tcPr>
            <w:tcW w:type="dxa" w:w="8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log10 of skewed features → outliers capped at Tukey IQR fences → median / most-frequent imputation (best of 4 imputers by CV AUC; MCAR check passed) → z-score scaling → one-hot encoding.</w:t>
            </w:r>
          </w:p>
        </w:tc>
      </w:tr>
      <w:tr>
        <w:tc>
          <w:tcPr>
            <w:tcW w:type="dxa" w:w="22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Feature selection</w:t>
            </w:r>
          </w:p>
        </w:tc>
        <w:tc>
          <w:tcPr>
            <w:tcW w:type="dxa" w:w="8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FDR q &lt; 0.05 and mutual information ≥ 0.005, then a redundancy filter (abs Spearman rho &gt; 0.85): 16 of 28 features kept; all designed-noise columns removed.</w:t>
            </w:r>
          </w:p>
        </w:tc>
      </w:tr>
      <w:tr>
        <w:tc>
          <w:tcPr>
            <w:tcW w:type="dxa" w:w="22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Model development</w:t>
            </w:r>
          </w:p>
        </w:tc>
        <w:tc>
          <w:tcPr>
            <w:tcW w:type="dxa" w:w="8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XGBoost (RandomizedSearchCV 40 × 5-fold) · RBF-SVM (RandomizedSearchCV 30 × 5-fold, Platt probabilities) · FT-Transformer (PyTorch, 2 layers × 4 heads, early stopping). Overfitting guard: train-to-validation AUC gap ≤ 0.03. Threshold: Youden's J on out-of-fold training predictions. Saved as joblib pipelines.</w:t>
            </w:r>
          </w:p>
        </w:tc>
      </w:tr>
      <w:tr>
        <w:tc>
          <w:tcPr>
            <w:tcW w:type="dxa" w:w="22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Performance evaluation</w:t>
            </w:r>
          </w:p>
        </w:tc>
        <w:tc>
          <w:tcPr>
            <w:tcW w:type="dxa" w:w="86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Accuracy, sensitivity, specificity, PPV, NPV, AUC, F1 on Train and Test; ROC/PR, calibration, permutation importance; 11 stress tests.</w:t>
            </w:r>
          </w:p>
        </w:tc>
      </w:tr>
    </w:tbl>
    <w:p>
      <w:pPr>
        <w:pBdr>
          <w:bottom w:val="single" w:color="B7D3F6" w:sz="4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Results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XGBoost Train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XGBoost Test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SVM-RBF Train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SVM-RBF Test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Transformer Train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Transformer Test</w:t>
            </w:r>
          </w:p>
        </w:tc>
      </w:tr>
      <w:tr>
        <w:tc>
          <w:tcPr>
            <w:tcW w:type="dxa" w:w="15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Accuracy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0.913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0.907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0.903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0.912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0.886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0.896</w:t>
            </w:r>
          </w:p>
        </w:tc>
      </w:tr>
      <w:tr>
        <w:tc>
          <w:tcPr>
            <w:tcW w:type="dxa" w:w="15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Sensitivity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0.940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0.912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0.912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0.912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0.930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0.934</w:t>
            </w:r>
          </w:p>
        </w:tc>
      </w:tr>
      <w:tr>
        <w:tc>
          <w:tcPr>
            <w:tcW w:type="dxa" w:w="15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Specificity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0.906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0.906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0.901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0.912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0.874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0.885</w:t>
            </w:r>
          </w:p>
        </w:tc>
      </w:tr>
      <w:tr>
        <w:tc>
          <w:tcPr>
            <w:tcW w:type="dxa" w:w="15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PPV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0.740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0.734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0.725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0.747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0.678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0.698</w:t>
            </w:r>
          </w:p>
        </w:tc>
      </w:tr>
      <w:tr>
        <w:tc>
          <w:tcPr>
            <w:tcW w:type="dxa" w:w="15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NPV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0.981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0.973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0.973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0.973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0.978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0.979</w:t>
            </w:r>
          </w:p>
        </w:tc>
      </w:tr>
      <w:tr>
        <w:tc>
          <w:tcPr>
            <w:tcW w:type="dxa" w:w="15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AUC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0.953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0.947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0.934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0.950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0.929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0.952</w:t>
            </w:r>
          </w:p>
        </w:tc>
      </w:tr>
      <w:tr>
        <w:tc>
          <w:tcPr>
            <w:tcW w:type="dxa" w:w="15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F1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0.828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0.813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0.808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0.821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0.785</w:t>
            </w:r>
          </w:p>
        </w:tc>
        <w:tc>
          <w:tcPr>
            <w:tcW w:type="dxa" w:w="15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0.799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50" w:line="245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Performance: </w:t>
      </w:r>
      <w:r>
        <w:rPr>
          <w:rFonts w:ascii="Calibri" w:cs="Calibri" w:eastAsia="Calibri" w:hAnsi="Calibri"/>
          <w:sz w:val="17"/>
          <w:szCs w:val="17"/>
        </w:rPr>
        <w:t xml:space="preserve">Train and Test agree within 0.03 for every metric (no overfitting); accuracy 0.89–0.91 and AUC 0.93–0.95. SVM-RBF is the most balanced model; the Transformer has the highest sensitivity. PPV and F1 are lower because only 22% of labelled variants are Pathogenic (PPV reaches ≈0.91 at 50% prevalence).</w:t>
      </w:r>
    </w:p>
    <w:p>
      <w:pPr>
        <w:pStyle w:val="ListParagraph"/>
        <w:numPr>
          <w:ilvl w:val="0"/>
          <w:numId w:val="2"/>
        </w:numPr>
        <w:spacing w:after="40" w:before="0" w:line="245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Key predictors (all 3 models): </w:t>
      </w:r>
      <w:r>
        <w:rPr>
          <w:rFonts w:ascii="Calibri" w:cs="Calibri" w:eastAsia="Calibri" w:hAnsi="Calibri"/>
          <w:sz w:val="17"/>
          <w:szCs w:val="17"/>
        </w:rPr>
        <w:t xml:space="preserve">variant consequence, REVEL, PolyPhen-2, functional-domain location, CADD, HRD score, conservation and gnomAD allele frequency.</w:t>
      </w:r>
    </w:p>
    <w:p>
      <w:pPr>
        <w:pStyle w:val="ListParagraph"/>
        <w:numPr>
          <w:ilvl w:val="0"/>
          <w:numId w:val="2"/>
        </w:numPr>
        <w:spacing w:after="60" w:before="0" w:line="245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Stress tests (11/11 passed by all 3 models): </w:t>
      </w:r>
      <w:r>
        <w:rPr>
          <w:rFonts w:ascii="Calibri" w:cs="Calibri" w:eastAsia="Calibri" w:hAnsi="Calibri"/>
          <w:sz w:val="17"/>
          <w:szCs w:val="17"/>
        </w:rPr>
        <w:t xml:space="preserve">AUC 95% CI lower bound ≥ 0.924; ≤ 0.02 AUC lost with +30% missing data or 0.25 SD noise; no subgroup (sex, ethnicity, age, cancer type) significantly below the overall AUC; ≤ 0.006 lost with 10% label noise; permutation test ≈0.95 vs ≈0.50 null; fold AUC SD ≤ 0.02; safe on malformed inputs.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300"/>
        <w:gridCol w:w="1300"/>
        <w:gridCol w:w="1300"/>
        <w:gridCol w:w="1700"/>
      </w:tblGrid>
      <w:tr>
        <w:tc>
          <w:tcPr>
            <w:tcW w:type="dxa" w:w="24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Reclassified as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C5CA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Benign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152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191 (56%)</w:t>
            </w:r>
          </w:p>
        </w:tc>
      </w:tr>
      <w:tr>
        <w:tc>
          <w:tcPr>
            <w:tcW w:type="dxa" w:w="24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Pathogenic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1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150 (44%)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50" w:line="245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VUS reclassification: </w:t>
      </w:r>
      <w:r>
        <w:rPr>
          <w:rFonts w:ascii="Calibri" w:cs="Calibri" w:eastAsia="Calibri" w:hAnsi="Calibri"/>
          <w:sz w:val="17"/>
          <w:szCs w:val="17"/>
        </w:rPr>
        <w:t xml:space="preserve">majority vote of the 3 models; all three agree on 300 of 341 VUS (88%). The 41 split votes and the Low-confidence calls form the priority list for expert curation.</w:t>
      </w:r>
    </w:p>
    <w:p>
      <w:pPr>
        <w:pBdr>
          <w:bottom w:val="single" w:color="B7D3F6" w:sz="4" w:space="1"/>
        </w:pBdr>
        <w:spacing w:after="30" w:before="90"/>
      </w:pPr>
      <w:r>
        <w:rPr>
          <w:rFonts w:ascii="Calibri" w:cs="Calibri" w:eastAsia="Calibri" w:hAnsi="Calibri"/>
          <w:b/>
          <w:bCs/>
          <w:color w:val="1C5CAB"/>
          <w:sz w:val="20"/>
          <w:szCs w:val="20"/>
        </w:rPr>
        <w:t xml:space="preserve">Caveat</w:t>
      </w:r>
    </w:p>
    <w:p>
      <w:pPr>
        <w:spacing w:after="40" w:before="0" w:line="245"/>
      </w:pPr>
      <w:r>
        <w:rPr>
          <w:rFonts w:ascii="Calibri" w:cs="Calibri" w:eastAsia="Calibri" w:hAnsi="Calibri"/>
          <w:i/>
          <w:iCs/>
          <w:color w:val="52514E"/>
          <w:sz w:val="17"/>
          <w:szCs w:val="17"/>
        </w:rPr>
        <w:t xml:space="preserve">The data are synthetic, so these results show that the pipeline works, not that it is clinically valid. Retrain on curated real data (e.g. ClinVar ≥ 2-star) before use. Outputs are decision support for variant scientists, not ACMG/AMP classification. Code, models (joblib), notebooks and 33 figures: see the GitHub repository.</w:t>
      </w:r>
    </w:p>
    <w:sectPr>
      <w:pgSz w:w="12240" w:h="15840" w:orient="portrait"/>
      <w:pgMar w:top="60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2026-09-26T23:30:44.985Z</dcterms:created>
  <dcterms:modified xsi:type="dcterms:W3CDTF">2026-09-26T23:30:45.000Z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