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Reviewer Comments</w:t>
      </w:r>
    </w:p>
    <w:p>
      <w:pPr>
        <w:jc w:val="center"/>
      </w:pPr>
      <w:r>
        <w:rPr>
          <w:b/>
          <w:sz w:val="24"/>
        </w:rPr>
        <w:t>A Closed-Form Bias for the Lee-Carter Model in Small Populations, with an Ex-Ante Feasibility Test</w:t>
      </w:r>
    </w:p>
    <w:p>
      <w:pPr>
        <w:jc w:val="center"/>
      </w:pPr>
      <w:r>
        <w:rPr>
          <w:b/>
        </w:rPr>
        <w:t>Recommended decision: Major Revision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Pr>
          <w:p>
            <w:r>
              <w:rPr>
                <w:b/>
              </w:rPr>
              <w:t>Main contribution</w:t>
            </w:r>
          </w:p>
        </w:tc>
        <w:tc>
          <w:tcPr>
            <w:tcW w:type="dxa" w:w="4968"/>
            <w:vAlign w:val="center"/>
          </w:tcPr>
          <w:p>
            <w:r>
              <w:t>Exact characterization of the bias in the standard log-SVD estimator of the age-level parameter, using b(mu,c0) = E[log max(D,c0)] - log(mu).</w:t>
            </w:r>
          </w:p>
        </w:tc>
      </w:tr>
      <w:tr>
        <w:tc>
          <w:tcPr>
            <w:tcW w:type="dxa" w:w="4968"/>
            <w:vAlign w:val="center"/>
          </w:tcPr>
          <w:p>
            <w:r>
              <w:rPr>
                <w:b/>
              </w:rPr>
              <w:t>Main concern</w:t>
            </w:r>
          </w:p>
        </w:tc>
        <w:tc>
          <w:tcPr>
            <w:tcW w:type="dxa" w:w="4968"/>
            <w:vAlign w:val="center"/>
          </w:tcPr>
          <w:p>
            <w:r>
              <w:t>The manuscript sometimes generalizes an alpha-specific result to the overall small-population behavior of Lee-Carter, although beta and kappa follow different mechanisms.</w:t>
            </w:r>
          </w:p>
        </w:tc>
      </w:tr>
      <w:tr>
        <w:tc>
          <w:tcPr>
            <w:tcW w:type="dxa" w:w="4968"/>
            <w:vAlign w:val="center"/>
          </w:tcPr>
          <w:p>
            <w:r>
              <w:rPr>
                <w:b/>
              </w:rPr>
              <w:t>Most important revision</w:t>
            </w:r>
          </w:p>
        </w:tc>
        <w:tc>
          <w:tcPr>
            <w:tcW w:type="dxa" w:w="4968"/>
            <w:vAlign w:val="center"/>
          </w:tcPr>
          <w:p>
            <w:r>
              <w:t>Narrow the claims, separate parameter bias from forecast performance, and provide a formal or numerical sensitivity analysis for replacing mu with estimated mu.</w:t>
            </w:r>
          </w:p>
        </w:tc>
      </w:tr>
      <w:tr>
        <w:tc>
          <w:tcPr>
            <w:tcW w:type="dxa" w:w="4968"/>
            <w:vAlign w:val="center"/>
          </w:tcPr>
          <w:p>
            <w:r>
              <w:rPr>
                <w:b/>
              </w:rPr>
              <w:t>Publication potential</w:t>
            </w:r>
          </w:p>
        </w:tc>
        <w:tc>
          <w:tcPr>
            <w:tcW w:type="dxa" w:w="4968"/>
            <w:vAlign w:val="center"/>
          </w:tcPr>
          <w:p>
            <w:r>
              <w:t>Promising if the contribution is reframed as a precise diagnosis and correction for the alpha component of the standard log-SVD implementation.</w:t>
            </w:r>
          </w:p>
        </w:tc>
      </w:tr>
    </w:tbl>
    <w:p>
      <w:pPr>
        <w:pStyle w:val="Heading1"/>
      </w:pPr>
      <w:r>
        <w:t>1. Overall assessment</w:t>
      </w:r>
    </w:p>
    <w:p>
      <w:r>
        <w:t>This manuscript studies a concrete and practically important defect in the standard log-SVD implementation of the Lee-Carter model for small populations. Its strongest contribution is the exact characterization of the bias in the age-level estimator through the function b(mu,c0) = E[log max(D,c0)] - log(mu), together with the result that the bias of alpha-hat_x is the time average of the cell-level bias. The derivation is intuitive, analytically tractable, and supported by simulation evidence.</w:t>
      </w:r>
    </w:p>
    <w:p>
      <w:r>
        <w:t>The manuscript is also commendably transparent about several negative findings. In particular, it reports that the proposed centering correction does not resolve the drift component, that weighting can worsen the fitted time path, and that the apparent life-expectancy advantage weakens under real-data Poisson thinning. These results increase the credibility of the empirical analysis.</w:t>
      </w:r>
    </w:p>
    <w:p>
      <w:r>
        <w:t>Nevertheless, the current narrative occasionally treats the closed-form result for alpha_x as if it identified the general source of small-population bias in Lee-Carter. The manuscript’s own evidence indicates that beta_x and kappa_t are governed mainly by different mechanisms. I therefore recommend major revision, with emphasis on narrowing the claims, clarifying the target of inference, and quantifying the consequences of using estimated rather than true expected deaths in the correction.</w:t>
      </w:r>
    </w:p>
    <w:p>
      <w:pPr>
        <w:pStyle w:val="Heading1"/>
      </w:pPr>
      <w:r>
        <w:t>2. Major comments</w:t>
      </w:r>
    </w:p>
    <w:p>
      <w:pPr>
        <w:pStyle w:val="Heading2"/>
      </w:pPr>
      <w:r>
        <w:t>2.1 Scope of the principal claim should be narrowed</w:t>
      </w:r>
    </w:p>
    <w:p>
      <w:pPr>
        <w:pStyle w:val="Evidence"/>
      </w:pPr>
      <w:r>
        <w:rPr>
          <w:b/>
        </w:rPr>
        <w:t xml:space="preserve">Issue and evidence. </w:t>
      </w:r>
      <w:r>
        <w:t>The paper establishes a strong and exact result for alpha-hat_x because alpha-hat_x is defined as a row mean before singular-value decomposition. It does not establish an analogous closed form for beta-hat_x or kappa-hat_t. Indeed, Table 14 reports that the deterministic component accounts for approximately 100% and 97% of the maximum alpha bias at population sizes 10,000 and 50,000, but only 9.2% and 5.8% of the reported beta error. The manuscript also states that the time parameter is outside the proposed framework.</w:t>
      </w:r>
    </w:p>
    <w:p>
      <w:pPr>
        <w:pStyle w:val="AuthorAction"/>
      </w:pPr>
      <w:r>
        <w:rPr>
          <w:b/>
        </w:rPr>
        <w:t xml:space="preserve">Required revision. </w:t>
      </w:r>
      <w:r>
        <w:t>Revise the abstract, introduction, conclusion, and section headings so that the central claim consistently refers to “the age-level parameter alpha_x in the standard log-SVD Lee-Carter estimator.” Avoid formulations that imply that the paper has identified the complete source of small-population bias in the full Lee-Carter model. Add a short proposition-to-claim map showing which results apply to alpha_x, which apply indirectly to beta_x, and which do not apply to kappa_t.</w:t>
      </w:r>
    </w:p>
    <w:p>
      <w:pPr>
        <w:pStyle w:val="ReviewerRecommendation"/>
      </w:pPr>
      <w:r>
        <w:rPr>
          <w:b/>
        </w:rPr>
        <w:t xml:space="preserve">Suggested wording or implementation. </w:t>
      </w:r>
      <w:r>
        <w:t>Suggested replacement: “This paper identifies and exactly quantifies an important source of bias in the age-level parameter of the standard log-SVD Lee-Carter estimator. The remaining error in the sensitivity and time components arises mainly from heteroskedastic singular-vector perturbation and is not covered by the same closed form.”</w:t>
      </w:r>
    </w:p>
    <w:p>
      <w:pPr>
        <w:pStyle w:val="Heading2"/>
      </w:pPr>
      <w:r>
        <w:t>2.2 Parameter estimation and actuarial target performance must be separated</w:t>
      </w:r>
    </w:p>
    <w:p>
      <w:pPr>
        <w:pStyle w:val="Evidence"/>
      </w:pPr>
      <w:r>
        <w:rPr>
          <w:b/>
        </w:rPr>
        <w:t xml:space="preserve">Issue and evidence. </w:t>
      </w:r>
      <w:r>
        <w:t>The paper evaluates alpha_x, beta_x, the drift term, and life expectancy, but the interpretation sometimes moves between these targets without clearly distinguishing them. Under the fitted-truth simulation, the proposed procedure produces an almost unbiased life-expectancy estimate at population 50,000. Under real-data Poisson thinning, however, the life-expectancy advantage diminishes and Firth performs better on several target-level metrics. This suggests that an accurate correction for alpha_x need not translate into an optimal estimator of e0 or annuity-related quantities.</w:t>
      </w:r>
    </w:p>
    <w:p>
      <w:pPr>
        <w:pStyle w:val="AuthorAction"/>
      </w:pPr>
      <w:r>
        <w:rPr>
          <w:b/>
        </w:rPr>
        <w:t xml:space="preserve">Required revision. </w:t>
      </w:r>
      <w:r>
        <w:t>State the primary estimand explicitly. If the primary contribution concerns alpha_x, then life expectancy should be presented as a downstream sensitivity analysis rather than as co-equal proof of the method. Add a target-specific recommendation table with rows for alpha_x, beta_x, kappa_t/drift, fitted e0, forecast e0, and annuity present value, and columns for “theoretical guarantee,” “simulation evidence,” “misspecification evidence,” and “recommended estimator.”</w:t>
      </w:r>
    </w:p>
    <w:p>
      <w:pPr>
        <w:pStyle w:val="ReviewerRecommendation"/>
      </w:pPr>
      <w:r>
        <w:rPr>
          <w:b/>
        </w:rPr>
        <w:t xml:space="preserve">Suggested wording or implementation. </w:t>
      </w:r>
      <w:r>
        <w:t>The conclusion should explicitly state that parameter-level improvement is established more strongly than forecast-level improvement.</w:t>
      </w:r>
    </w:p>
    <w:p>
      <w:pPr>
        <w:pStyle w:val="Heading2"/>
      </w:pPr>
      <w:r>
        <w:t>2.3 The plug-in error from b(mu-hat,c0) requires formal treatment</w:t>
      </w:r>
    </w:p>
    <w:p>
      <w:pPr>
        <w:pStyle w:val="Evidence"/>
      </w:pPr>
      <w:r>
        <w:rPr>
          <w:b/>
        </w:rPr>
        <w:t xml:space="preserve">Issue and evidence. </w:t>
      </w:r>
      <w:r>
        <w:t>The exact bias identity is expressed in terms of the true expected death count mu, whereas the implemented correction uses mu-hat obtained from the same rank-one Lee-Carter fit. Consequently, the practical estimator is not the exact centered estimating equation evaluated at known mu. The paper’s own results show that this distinction matters, especially when the rank-one model is misspecified or expected deaths are extremely small.</w:t>
      </w:r>
    </w:p>
    <w:p>
      <w:pPr>
        <w:pStyle w:val="AuthorAction"/>
      </w:pPr>
      <w:r>
        <w:rPr>
          <w:b/>
        </w:rPr>
        <w:t xml:space="preserve">Required revision. </w:t>
      </w:r>
      <w:r>
        <w:t>Add a first-order expansion: b(mu-hat,c0) - b(mu,c0) approximately equals b_prime(mu,c0)(mu-hat-mu), together with either a theoretical bound or a numerical envelope over the empirically relevant range of mu. Report the induced correction error by age group and population size. At minimum, provide a sensitivity grid in which mu-hat/mu equals 0.5, 0.75, 1.0, 1.25, and 1.5 and show how alpha bias, life expectancy, and feasibility grade change.</w:t>
      </w:r>
    </w:p>
    <w:p>
      <w:pPr>
        <w:pStyle w:val="ReviewerRecommendation"/>
      </w:pPr>
      <w:r>
        <w:rPr>
          <w:b/>
        </w:rPr>
        <w:t xml:space="preserve">Suggested wording or implementation. </w:t>
      </w:r>
      <w:r>
        <w:t>Also distinguish clearly between one-step correction and iterated correction. The manuscript already notes that their variance costs differ sharply; this distinction should be visible in the method summary and empirical tables.</w:t>
      </w:r>
    </w:p>
    <w:p>
      <w:pPr>
        <w:pStyle w:val="Heading2"/>
      </w:pPr>
      <w:r>
        <w:t>2.4 The manuscript should clarify the relevance of the target estimator</w:t>
      </w:r>
    </w:p>
    <w:p>
      <w:pPr>
        <w:pStyle w:val="Evidence"/>
      </w:pPr>
      <w:r>
        <w:rPr>
          <w:b/>
        </w:rPr>
        <w:t xml:space="preserve">Issue and evidence. </w:t>
      </w:r>
      <w:r>
        <w:t>The identified inconsistency applies to the standard procedure that replaces zero counts and then performs least squares or SVD on logged rates. Modern mortality work often estimates counts directly through Poisson, quasi-Poisson, negative-binomial, penalized, or Bayesian formulations. The paper reviews these alternatives but does not sufficiently explain why the standard log-SVD implementation remains the practically relevant target.</w:t>
      </w:r>
    </w:p>
    <w:p>
      <w:pPr>
        <w:pStyle w:val="AuthorAction"/>
      </w:pPr>
      <w:r>
        <w:rPr>
          <w:b/>
        </w:rPr>
        <w:t xml:space="preserve">Required revision. </w:t>
      </w:r>
      <w:r>
        <w:t>Add a concise practice-oriented subsection documenting the settings in which zero-replaced log-SVD is still used or retained as a benchmark. If systematic evidence is unavailable, reframe the contribution as a diagnostic analysis of a historically important and still commonly taught benchmark, rather than implying that the inconsistency characterizes mortality forecasting generally.</w:t>
      </w:r>
    </w:p>
    <w:p>
      <w:pPr>
        <w:pStyle w:val="ReviewerRecommendation"/>
      </w:pPr>
      <w:r>
        <w:rPr>
          <w:b/>
        </w:rPr>
        <w:t xml:space="preserve">Suggested wording or implementation. </w:t>
      </w:r>
      <w:r>
        <w:t>The title may remain, but the abstract should include “standard log-SVD implementation” at the first mention of Lee-Carter.</w:t>
      </w:r>
    </w:p>
    <w:p>
      <w:pPr>
        <w:pStyle w:val="Heading2"/>
      </w:pPr>
      <w:r>
        <w:t>2.5 The feasibility grades are partly conventional and need validation</w:t>
      </w:r>
    </w:p>
    <w:p>
      <w:pPr>
        <w:pStyle w:val="Evidence"/>
      </w:pPr>
      <w:r>
        <w:rPr>
          <w:b/>
        </w:rPr>
        <w:t xml:space="preserve">Issue and evidence. </w:t>
      </w:r>
      <w:r>
        <w:t>The proposed A-D grading scheme uses the proportion of cells below the sign-change threshold mu-star, with cutoffs of 2%, 15%, and 35%. The sign-change threshold itself depends on the analyst-selected zero replacement c0, while the grade cutoffs appear to be proposed operational thresholds rather than values derived from an explicit loss function or calibration criterion.</w:t>
      </w:r>
    </w:p>
    <w:p>
      <w:pPr>
        <w:pStyle w:val="AuthorAction"/>
      </w:pPr>
      <w:r>
        <w:rPr>
          <w:b/>
        </w:rPr>
        <w:t xml:space="preserve">Required revision. </w:t>
      </w:r>
      <w:r>
        <w:t>Explain how the 2%, 15%, and 35% boundaries were chosen. Provide robustness results under at least c0 = 0.1, 0.3, 0.5, and 1.0. Report how many population-size scenarios change grade. Consider calibrating grades to an interpretable performance target, such as maximum absolute alpha bias, e0 RMSE, or probability of an e0 error within 0.5 years. If the current cutoffs are judgmental, label them explicitly as provisional decision rules.</w:t>
      </w:r>
    </w:p>
    <w:p>
      <w:pPr>
        <w:pStyle w:val="ReviewerRecommendation"/>
      </w:pPr>
      <w:r>
        <w:rPr>
          <w:b/>
        </w:rPr>
        <w:t xml:space="preserve">Suggested wording or implementation. </w:t>
      </w:r>
      <w:r>
        <w:t>In the text, describe mu-star as a “replacement-rule-dependent sign-change threshold,” not as a universal credibility threshold.</w:t>
      </w:r>
    </w:p>
    <w:p>
      <w:pPr>
        <w:pStyle w:val="Heading2"/>
      </w:pPr>
      <w:r>
        <w:t>2.6 Kappa_t is a central unresolved limitation, not merely future work</w:t>
      </w:r>
    </w:p>
    <w:p>
      <w:pPr>
        <w:pStyle w:val="Evidence"/>
      </w:pPr>
      <w:r>
        <w:rPr>
          <w:b/>
        </w:rPr>
        <w:t xml:space="preserve">Issue and evidence. </w:t>
      </w:r>
      <w:r>
        <w:t>Mortality forecasting and annuity valuation depend crucially on the time path and drift of kappa_t. The manuscript reports that the standard model compresses the fitted life-expectancy range and that the centered weighted procedure can increase roughness and expand the range beyond the truth. This is directly relevant to forecasting and prudential applications.</w:t>
      </w:r>
    </w:p>
    <w:p>
      <w:pPr>
        <w:pStyle w:val="AuthorAction"/>
      </w:pPr>
      <w:r>
        <w:rPr>
          <w:b/>
        </w:rPr>
        <w:t xml:space="preserve">Required revision. </w:t>
      </w:r>
      <w:r>
        <w:t>Move this limitation into the abstract and the main conclusion. Add a dedicated diagnostic for kappa_t including drift bias, roughness, range ratio, and out-of-sample forecast error. If no forecast experiment is added, revise all actuarial recommendations so that the proposed method is not presented as ready for pricing, reserving, or longevity-risk projection.</w:t>
      </w:r>
    </w:p>
    <w:p>
      <w:pPr>
        <w:pStyle w:val="ReviewerRecommendation"/>
      </w:pPr>
      <w:r>
        <w:rPr>
          <w:b/>
        </w:rPr>
        <w:t xml:space="preserve">Suggested wording or implementation. </w:t>
      </w:r>
      <w:r>
        <w:t>A suitable statement would be: “The proposed correction is currently a parameter-diagnostic and in-sample estimation procedure; its use for mortality forecasting requires a separate treatment of kappa_t.”</w:t>
      </w:r>
    </w:p>
    <w:p>
      <w:pPr>
        <w:pStyle w:val="Heading2"/>
      </w:pPr>
      <w:r>
        <w:t>2.7 The benchmark set should better reflect realistic alternatives</w:t>
      </w:r>
    </w:p>
    <w:p>
      <w:pPr>
        <w:pStyle w:val="Evidence"/>
      </w:pPr>
      <w:r>
        <w:rPr>
          <w:b/>
        </w:rPr>
        <w:t xml:space="preserve">Issue and evidence. </w:t>
      </w:r>
      <w:r>
        <w:t>The paper compares standard Lee-Carter, Poisson MLE, Firth, centering, weighting, and selected reference-population smoothers. This is useful, but it leaves open whether the proposed method is competitive with penalized Poisson Lee-Carter, negative-binomial formulations, or a simple hierarchical/shrinkage benchmark under the same data-generating scenarios.</w:t>
      </w:r>
    </w:p>
    <w:p>
      <w:pPr>
        <w:pStyle w:val="AuthorAction"/>
      </w:pPr>
      <w:r>
        <w:rPr>
          <w:b/>
        </w:rPr>
        <w:t xml:space="preserve">Required revision. </w:t>
      </w:r>
      <w:r>
        <w:t>Add at least one modern count-scale smoother as a benchmark, preferably penalized Poisson Lee-Carter. If computational constraints prevent a full comparison, add a reduced benchmark at population sizes 10,000, 50,000, and 200,000 using the same random seeds and report alpha error, beta error, drift error, e0 bias, and e0 RMSE.</w:t>
      </w:r>
    </w:p>
    <w:p>
      <w:pPr>
        <w:pStyle w:val="ReviewerRecommendation"/>
      </w:pPr>
      <w:r>
        <w:rPr>
          <w:b/>
        </w:rPr>
        <w:t xml:space="preserve">Suggested wording or implementation. </w:t>
      </w:r>
      <w:r>
        <w:t>The comparison should use identical zero handling, age grouping, exposure structure, and truth definition across estimators.</w:t>
      </w:r>
    </w:p>
    <w:p>
      <w:pPr>
        <w:pStyle w:val="Heading2"/>
      </w:pPr>
      <w:r>
        <w:t>2.8 The interpretation of Firth requires greater precision</w:t>
      </w:r>
    </w:p>
    <w:p>
      <w:pPr>
        <w:pStyle w:val="Evidence"/>
      </w:pPr>
      <w:r>
        <w:rPr>
          <w:b/>
        </w:rPr>
        <w:t xml:space="preserve">Issue and evidence. </w:t>
      </w:r>
      <w:r>
        <w:t>The manuscript appropriately distinguishes preventive bias reduction from post-estimation centering, but several passages risk describing Firth primarily as shrinkage. Firth’s method modifies the score to remove the first-order bias of maximum-likelihood estimators and is equivalent to a Jeffreys-type penalty in relevant models. Any shrinkage-like behavior is a consequence of the adjusted score and should not be presented as the sole mechanism.</w:t>
      </w:r>
    </w:p>
    <w:p>
      <w:pPr>
        <w:pStyle w:val="AuthorAction"/>
      </w:pPr>
      <w:r>
        <w:rPr>
          <w:b/>
        </w:rPr>
        <w:t xml:space="preserve">Required revision. </w:t>
      </w:r>
      <w:r>
        <w:t>Revise the discussion so that Firth is characterized first as first-order preventive bias reduction. Then state that, in the empirical comparisons, its lower variance and more central estimates produce shrinkage-like performance. Avoid statements implying that Firth “does not know what bias it is correcting.”</w:t>
      </w:r>
    </w:p>
    <w:p>
      <w:pPr>
        <w:pStyle w:val="ReviewerRecommendation"/>
      </w:pPr>
      <w:r>
        <w:rPr>
          <w:b/>
        </w:rPr>
        <w:t xml:space="preserve">Suggested wording or implementation. </w:t>
      </w:r>
      <w:r>
        <w:t>Add a short paragraph explaining why the proposed closed-form correction and Firth are not mutually exclusive conceptually: one targets the transformation-induced estimating-equation displacement, while the other adjusts count-scale likelihood scores.</w:t>
      </w:r>
    </w:p>
    <w:p>
      <w:pPr>
        <w:pStyle w:val="Heading2"/>
      </w:pPr>
      <w:r>
        <w:t>2.9 The efficiency claim should be framed narrowly</w:t>
      </w:r>
    </w:p>
    <w:p>
      <w:pPr>
        <w:pStyle w:val="Evidence"/>
      </w:pPr>
      <w:r>
        <w:rPr>
          <w:b/>
        </w:rPr>
        <w:t xml:space="preserve">Issue and evidence. </w:t>
      </w:r>
      <w:r>
        <w:t>The result RE(mu) = corr(g(D),D)^2 is elegant. However, the statement that “taking logs and replacing zeros costs at most 12.2% efficiency” can be misread as a global efficiency guarantee for the full Lee-Carter estimator. The derivation is cell-level and depends on the stated Poisson setting and corrected estimating equation.</w:t>
      </w:r>
    </w:p>
    <w:p>
      <w:pPr>
        <w:pStyle w:val="AuthorAction"/>
      </w:pPr>
      <w:r>
        <w:rPr>
          <w:b/>
        </w:rPr>
        <w:t xml:space="preserve">Required revision. </w:t>
      </w:r>
      <w:r>
        <w:t>Revise the language to specify that the bound concerns the cell-level corrected estimating equation relative to the Poisson score under the assumed count model. Do not present it as a bound on the efficiency of the estimated alpha, beta, kappa, life expectancy, or forecasts without an aggregation argument.</w:t>
      </w:r>
    </w:p>
    <w:p>
      <w:pPr>
        <w:pStyle w:val="ReviewerRecommendation"/>
      </w:pPr>
      <w:r>
        <w:rPr>
          <w:b/>
        </w:rPr>
        <w:t xml:space="preserve">Suggested wording or implementation. </w:t>
      </w:r>
      <w:r>
        <w:t>Add a sentence identifying the assumptions under which the correlation representation holds and whether the reported minimum was established analytically or numerically.</w:t>
      </w:r>
    </w:p>
    <w:p>
      <w:pPr>
        <w:pStyle w:val="Heading2"/>
      </w:pPr>
      <w:r>
        <w:t>2.10 Simulation design should distinguish proof-of-formula from external validity</w:t>
      </w:r>
    </w:p>
    <w:p>
      <w:pPr>
        <w:pStyle w:val="Evidence"/>
      </w:pPr>
      <w:r>
        <w:rPr>
          <w:b/>
        </w:rPr>
        <w:t xml:space="preserve">Issue and evidence. </w:t>
      </w:r>
      <w:r>
        <w:t>The fitted-truth experiment is appropriate for verifying the closed-form identity because the data-generating process satisfies the rank-one structure. It is not sufficient for demonstrating practical superiority. The real-data thinning experiment is more informative about misspecification, but it still treats the fitted national Lee-Carter model as the evaluation target.</w:t>
      </w:r>
    </w:p>
    <w:p>
      <w:pPr>
        <w:pStyle w:val="AuthorAction"/>
      </w:pPr>
      <w:r>
        <w:rPr>
          <w:b/>
        </w:rPr>
        <w:t xml:space="preserve">Required revision. </w:t>
      </w:r>
      <w:r>
        <w:t>Organize the empirical section into two explicitly labeled purposes: “internal verification of the identity” and “robustness/external relevance.” Add at least one scenario with a controlled departure from rank one, for example a second age-time component of increasing magnitude. Plot estimator performance against the magnitude of misspecification.</w:t>
      </w:r>
    </w:p>
    <w:p>
      <w:pPr>
        <w:pStyle w:val="ReviewerRecommendation"/>
      </w:pPr>
      <w:r>
        <w:rPr>
          <w:b/>
        </w:rPr>
        <w:t xml:space="preserve">Suggested wording or implementation. </w:t>
      </w:r>
      <w:r>
        <w:t>This would permit a clear answer to the question: at what degree of rank-one departure does the plug-in correction cease to improve the target quantity?</w:t>
      </w:r>
    </w:p>
    <w:p>
      <w:pPr>
        <w:pStyle w:val="Heading1"/>
      </w:pPr>
      <w:r>
        <w:t>3. Minor comments</w:t>
      </w:r>
    </w:p>
    <w:p>
      <w:pPr>
        <w:pStyle w:val="ListNumber"/>
      </w:pPr>
      <w:r>
        <w:rPr>
          <w:b/>
        </w:rPr>
        <w:t xml:space="preserve">Terminology: </w:t>
      </w:r>
      <w:r>
        <w:t>Use “expected-death count” consistently for mu. Distinguish zero replacement max(D,c0) from additive correction D+c0, because these are different transformations.</w:t>
      </w:r>
    </w:p>
    <w:p>
      <w:pPr>
        <w:pStyle w:val="ListNumber"/>
      </w:pPr>
      <w:r>
        <w:rPr>
          <w:b/>
        </w:rPr>
        <w:t xml:space="preserve">Meaning of closed form: </w:t>
      </w:r>
      <w:r>
        <w:t>Clarify whether “closed form” includes an absolutely convergent infinite series evaluated by truncation. Consider using “explicit computable expression” where appropriate.</w:t>
      </w:r>
    </w:p>
    <w:p>
      <w:pPr>
        <w:pStyle w:val="ListNumber"/>
      </w:pPr>
      <w:r>
        <w:rPr>
          <w:b/>
        </w:rPr>
        <w:t xml:space="preserve">Expectation versus median: </w:t>
      </w:r>
      <w:r>
        <w:t>Corollary 1 concerns expectation, whereas several empirical tables use medians across simulations. Explain why median-based validation is appropriate and add mean-based results in an appendix.</w:t>
      </w:r>
    </w:p>
    <w:p>
      <w:pPr>
        <w:pStyle w:val="ListNumber"/>
      </w:pPr>
      <w:r>
        <w:rPr>
          <w:b/>
        </w:rPr>
        <w:t xml:space="preserve">Monte Carlo precision: </w:t>
      </w:r>
      <w:r>
        <w:t>Report Monte Carlo standard errors for key bias and RMSE comparisons. One hundred repetitions may be insufficient to distinguish close results, especially at population 200,000.</w:t>
      </w:r>
    </w:p>
    <w:p>
      <w:pPr>
        <w:pStyle w:val="ListNumber"/>
      </w:pPr>
      <w:r>
        <w:rPr>
          <w:b/>
        </w:rPr>
        <w:t xml:space="preserve">Multiple age structures: </w:t>
      </w:r>
      <w:r>
        <w:t>Retain the age-structure analysis, but present the exposure redistribution mechanism before the numerical results. This is one of the paper’s clearest practical contributions.</w:t>
      </w:r>
    </w:p>
    <w:p>
      <w:pPr>
        <w:pStyle w:val="ListNumber"/>
      </w:pPr>
      <w:r>
        <w:rPr>
          <w:b/>
        </w:rPr>
        <w:t xml:space="preserve">Open age interval: </w:t>
      </w:r>
      <w:r>
        <w:t>Provide a sensitivity analysis for the treatment of the 100+ interval because the assumed remaining lifetime and the bias at this age can affect annuity-tail interpretation.</w:t>
      </w:r>
    </w:p>
    <w:p>
      <w:pPr>
        <w:pStyle w:val="ListNumber"/>
      </w:pPr>
      <w:r>
        <w:rPr>
          <w:b/>
        </w:rPr>
        <w:t xml:space="preserve">Overdispersion: </w:t>
      </w:r>
      <w:r>
        <w:t>The negative-binomial discussion is useful, but the correction is ultimately implemented mainly under Poisson assumptions. Include at least one full-estimator experiment under overdispersion, not only cell-level bias calculations.</w:t>
      </w:r>
    </w:p>
    <w:p>
      <w:pPr>
        <w:pStyle w:val="ListNumber"/>
      </w:pPr>
      <w:r>
        <w:rPr>
          <w:b/>
        </w:rPr>
        <w:t xml:space="preserve">Second-stage Lee-Carter adjustment: </w:t>
      </w:r>
      <w:r>
        <w:t>Clarify whether the conclusions for life expectancy persist when the usual second-stage adjustment of kappa_t is applied. The current simulation deliberately omits this stage.</w:t>
      </w:r>
    </w:p>
    <w:p>
      <w:pPr>
        <w:pStyle w:val="ListNumber"/>
      </w:pPr>
      <w:r>
        <w:rPr>
          <w:b/>
        </w:rPr>
        <w:t xml:space="preserve">Reproducibility: </w:t>
      </w:r>
      <w:r>
        <w:t>Provide a compact algorithm box listing inputs, initialization, update equations, stopping criterion, maximum iterations, and failure handling. Include all random seeds and software versions in a reproducibility appendix.</w:t>
      </w:r>
    </w:p>
    <w:p>
      <w:pPr>
        <w:pStyle w:val="ListNumber"/>
      </w:pPr>
      <w:r>
        <w:rPr>
          <w:b/>
        </w:rPr>
        <w:t xml:space="preserve">Presentation: </w:t>
      </w:r>
      <w:r>
        <w:t>Several sections repeat the same distinction between bias and variance. Consolidating these passages would shorten the paper and sharpen the contribution.</w:t>
      </w:r>
    </w:p>
    <w:p>
      <w:pPr>
        <w:pStyle w:val="Heading1"/>
      </w:pPr>
      <w:r>
        <w:t>4. Concrete revision plan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tcPr>
          <w:p>
            <w:r>
              <w:rPr>
                <w:b/>
              </w:rPr>
              <w:t>Manuscript section</w:t>
            </w:r>
          </w:p>
        </w:tc>
        <w:tc>
          <w:tcPr>
            <w:tcW w:type="dxa" w:w="3312"/>
          </w:tcPr>
          <w:p>
            <w:r>
              <w:rPr>
                <w:b/>
              </w:rPr>
              <w:t>Specific revision</w:t>
            </w:r>
          </w:p>
        </w:tc>
        <w:tc>
          <w:tcPr>
            <w:tcW w:type="dxa" w:w="3312"/>
          </w:tcPr>
          <w:p>
            <w:r>
              <w:rPr>
                <w:b/>
              </w:rPr>
              <w:t>Priority</w:t>
            </w:r>
          </w:p>
        </w:tc>
      </w:tr>
      <w:tr>
        <w:tc>
          <w:tcPr>
            <w:tcW w:type="dxa" w:w="3312"/>
          </w:tcPr>
          <w:p>
            <w:r>
              <w:t>Abstract</w:t>
            </w:r>
          </w:p>
        </w:tc>
        <w:tc>
          <w:tcPr>
            <w:tcW w:type="dxa" w:w="3312"/>
          </w:tcPr>
          <w:p>
            <w:r>
              <w:t>Replace broad claims about “Lee-Carter bias” with alpha-specific wording; disclose that kappa_t is not corrected and that the life-expectancy advantage weakens under model misspecification.</w:t>
            </w:r>
          </w:p>
        </w:tc>
        <w:tc>
          <w:tcPr>
            <w:tcW w:type="dxa" w:w="3312"/>
          </w:tcPr>
          <w:p>
            <w:r>
              <w:t>High</w:t>
            </w:r>
          </w:p>
        </w:tc>
      </w:tr>
      <w:tr>
        <w:tc>
          <w:tcPr>
            <w:tcW w:type="dxa" w:w="3312"/>
          </w:tcPr>
          <w:p>
            <w:r>
              <w:t>Introduction</w:t>
            </w:r>
          </w:p>
        </w:tc>
        <w:tc>
          <w:tcPr>
            <w:tcW w:type="dxa" w:w="3312"/>
          </w:tcPr>
          <w:p>
            <w:r>
              <w:t>State three separate research questions: exact bias of alpha_x, feasibility diagnosis before fitting, and empirical consequences for beta_x/kappa_t and e0.</w:t>
            </w:r>
          </w:p>
        </w:tc>
        <w:tc>
          <w:tcPr>
            <w:tcW w:type="dxa" w:w="3312"/>
          </w:tcPr>
          <w:p>
            <w:r>
              <w:t>Medium</w:t>
            </w:r>
          </w:p>
        </w:tc>
      </w:tr>
      <w:tr>
        <w:tc>
          <w:tcPr>
            <w:tcW w:type="dxa" w:w="3312"/>
          </w:tcPr>
          <w:p>
            <w:r>
              <w:t>Theory</w:t>
            </w:r>
          </w:p>
        </w:tc>
        <w:tc>
          <w:tcPr>
            <w:tcW w:type="dxa" w:w="3312"/>
          </w:tcPr>
          <w:p>
            <w:r>
              <w:t>Add a plug-in error subsection for b(mu-hat,c0); define clearly what is exact, asymptotic, or numerical.</w:t>
            </w:r>
          </w:p>
        </w:tc>
        <w:tc>
          <w:tcPr>
            <w:tcW w:type="dxa" w:w="3312"/>
          </w:tcPr>
          <w:p>
            <w:r>
              <w:t>High</w:t>
            </w:r>
          </w:p>
        </w:tc>
      </w:tr>
      <w:tr>
        <w:tc>
          <w:tcPr>
            <w:tcW w:type="dxa" w:w="3312"/>
          </w:tcPr>
          <w:p>
            <w:r>
              <w:t>Feasibility test</w:t>
            </w:r>
          </w:p>
        </w:tc>
        <w:tc>
          <w:tcPr>
            <w:tcW w:type="dxa" w:w="3312"/>
          </w:tcPr>
          <w:p>
            <w:r>
              <w:t>Justify or recalibrate the A-D thresholds; add sensitivity to c0 and link grades to observable error criteria.</w:t>
            </w:r>
          </w:p>
        </w:tc>
        <w:tc>
          <w:tcPr>
            <w:tcW w:type="dxa" w:w="3312"/>
          </w:tcPr>
          <w:p>
            <w:r>
              <w:t>High</w:t>
            </w:r>
          </w:p>
        </w:tc>
      </w:tr>
      <w:tr>
        <w:tc>
          <w:tcPr>
            <w:tcW w:type="dxa" w:w="3312"/>
          </w:tcPr>
          <w:p>
            <w:r>
              <w:t>Simulation design</w:t>
            </w:r>
          </w:p>
        </w:tc>
        <w:tc>
          <w:tcPr>
            <w:tcW w:type="dxa" w:w="3312"/>
          </w:tcPr>
          <w:p>
            <w:r>
              <w:t>Separate identity verification from method comparison; increase repetitions for close comparisons and report Monte Carlo uncertainty.</w:t>
            </w:r>
          </w:p>
        </w:tc>
        <w:tc>
          <w:tcPr>
            <w:tcW w:type="dxa" w:w="3312"/>
          </w:tcPr>
          <w:p>
            <w:r>
              <w:t>High</w:t>
            </w:r>
          </w:p>
        </w:tc>
      </w:tr>
      <w:tr>
        <w:tc>
          <w:tcPr>
            <w:tcW w:type="dxa" w:w="3312"/>
          </w:tcPr>
          <w:p>
            <w:r>
              <w:t>Robustness</w:t>
            </w:r>
          </w:p>
        </w:tc>
        <w:tc>
          <w:tcPr>
            <w:tcW w:type="dxa" w:w="3312"/>
          </w:tcPr>
          <w:p>
            <w:r>
              <w:t>Add controlled rank-two misspecification and full-estimator overdispersion experiments.</w:t>
            </w:r>
          </w:p>
        </w:tc>
        <w:tc>
          <w:tcPr>
            <w:tcW w:type="dxa" w:w="3312"/>
          </w:tcPr>
          <w:p>
            <w:r>
              <w:t>Medium</w:t>
            </w:r>
          </w:p>
        </w:tc>
      </w:tr>
      <w:tr>
        <w:tc>
          <w:tcPr>
            <w:tcW w:type="dxa" w:w="3312"/>
          </w:tcPr>
          <w:p>
            <w:r>
              <w:t>Benchmarks</w:t>
            </w:r>
          </w:p>
        </w:tc>
        <w:tc>
          <w:tcPr>
            <w:tcW w:type="dxa" w:w="3312"/>
          </w:tcPr>
          <w:p>
            <w:r>
              <w:t>Add penalized Poisson Lee-Carter or another modern count-scale smoother.</w:t>
            </w:r>
          </w:p>
        </w:tc>
        <w:tc>
          <w:tcPr>
            <w:tcW w:type="dxa" w:w="3312"/>
          </w:tcPr>
          <w:p>
            <w:r>
              <w:t>High</w:t>
            </w:r>
          </w:p>
        </w:tc>
      </w:tr>
      <w:tr>
        <w:tc>
          <w:tcPr>
            <w:tcW w:type="dxa" w:w="3312"/>
          </w:tcPr>
          <w:p>
            <w:r>
              <w:t>Forecasting</w:t>
            </w:r>
          </w:p>
        </w:tc>
        <w:tc>
          <w:tcPr>
            <w:tcW w:type="dxa" w:w="3312"/>
          </w:tcPr>
          <w:p>
            <w:r>
              <w:t>Add kappa_t diagnostics and, ideally, a holdout forecast; otherwise restrict practical claims to in-sample parameter estimation.</w:t>
            </w:r>
          </w:p>
        </w:tc>
        <w:tc>
          <w:tcPr>
            <w:tcW w:type="dxa" w:w="3312"/>
          </w:tcPr>
          <w:p>
            <w:r>
              <w:t>High</w:t>
            </w:r>
          </w:p>
        </w:tc>
      </w:tr>
      <w:tr>
        <w:tc>
          <w:tcPr>
            <w:tcW w:type="dxa" w:w="3312"/>
          </w:tcPr>
          <w:p>
            <w:r>
              <w:t>Conclusion</w:t>
            </w:r>
          </w:p>
        </w:tc>
        <w:tc>
          <w:tcPr>
            <w:tcW w:type="dxa" w:w="3312"/>
          </w:tcPr>
          <w:p>
            <w:r>
              <w:t>Present the closed-form alpha result as the main contribution, the feasibility classification as provisional, and the correction as conditional on adequate mu-hat estimation and approximate rank-one structure.</w:t>
            </w:r>
          </w:p>
        </w:tc>
        <w:tc>
          <w:tcPr>
            <w:tcW w:type="dxa" w:w="3312"/>
          </w:tcPr>
          <w:p>
            <w:r>
              <w:t>High</w:t>
            </w:r>
          </w:p>
        </w:tc>
      </w:tr>
    </w:tbl>
    <w:p>
      <w:pPr>
        <w:pStyle w:val="Heading1"/>
      </w:pPr>
      <w:r>
        <w:t>5. Recommended decision</w:t>
      </w:r>
    </w:p>
    <w:p>
      <w:pPr>
        <w:pStyle w:val="ReviewerRecommendation"/>
      </w:pPr>
      <w:r>
        <w:rPr>
          <w:b/>
        </w:rPr>
        <w:t>Major Revision</w:t>
      </w:r>
    </w:p>
    <w:p>
      <w:r>
        <w:t>The manuscript contains a potentially publishable analytical contribution: the exact bias characterization for the age-level parameter in the zero-replaced log-SVD Lee-Carter estimator. Publication would be more compelling after the paper narrows its claims, formally addresses plug-in error, validates the feasibility grades, strengthens the comparison set, and treats the unresolved kappa_t problem as a central limitation rather than a secondary extension.</w:t>
      </w:r>
    </w:p>
    <w:p>
      <w:pPr>
        <w:pStyle w:val="Heading1"/>
      </w:pPr>
      <w:r>
        <w:t>6. Short author-facing summary</w:t>
      </w:r>
    </w:p>
    <w:p>
      <w:r>
        <w:t>The strongest part of the paper is not the claim that the entire small-population Lee-Carter problem has been solved. It is the precise demonstration that the standard zero-replaced log-SVD estimator embeds a calculable displacement in alpha_x. The revised manuscript should build around that result, state exactly where the guarantee ends, and let the negative findings for beta_x, kappa_t, and life expectancy define a focused and credible research agenda.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Reviewer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Confidential Reviewer Comments | Lee-Carter Small-Population Bias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Jheng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JhengHe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JhengHe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Jheng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Microsoft Jheng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Recommendation">
    <w:name w:val="Reviewer Recommendation"/>
    <w:basedOn w:val="Normal"/>
    <w:rPr>
      <w:rFonts w:ascii="Aptos" w:hAnsi="Aptos" w:eastAsia="Microsoft JhengHei"/>
      <w:color w:val="C0504D"/>
      <w:sz w:val="20"/>
    </w:rPr>
  </w:style>
  <w:style w:type="paragraph" w:customStyle="1" w:styleId="AuthorAction">
    <w:name w:val="Author Action"/>
    <w:basedOn w:val="Normal"/>
    <w:rPr>
      <w:rFonts w:ascii="Aptos" w:hAnsi="Aptos" w:eastAsia="Microsoft JhengHei"/>
      <w:color w:val="00703C"/>
      <w:sz w:val="20"/>
    </w:rPr>
  </w:style>
  <w:style w:type="paragraph" w:customStyle="1" w:styleId="Evidence">
    <w:name w:val="Evidence"/>
    <w:basedOn w:val="Normal"/>
    <w:rPr>
      <w:rFonts w:ascii="Aptos" w:hAnsi="Aptos" w:eastAsia="Microsoft JhengHei"/>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Detailed Reviewer Comments - Lee-Carter Small-Population Bias</dc:title>
  <dc:subject>Major revision review report</dc:subject>
  <dc:creator>Ricky Lin （林子立）</dc:creator>
  <keywords/>
  <dc:description>generated by python-docx</dc:description>
  <lastModifiedBy>Ricky Lin （林子立）</lastModifiedBy>
  <revision>1</revision>
  <dcterms:created xsi:type="dcterms:W3CDTF">2026-10-07T07:29:32.4994848Z</dcterms:created>
  <dcterms:modified xsi:type="dcterms:W3CDTF">2026-10-07T07:29:32.4994848Z</dcterms:modified>
  <category/>
</coreProperties>
</file>