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EQUITY RESEARCH  |  INITIATION OF COVERAGE  |  23 July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C000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DRAFT BUILT ON SAMPLE DATA — ILLUSTRATIVE ONLY, NOT FOR PUBLICATION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spacing w:after="0"/>
      </w:pPr>
      <w:r>
        <w:rPr>
          <w:b/>
          <w:color w:val="1F3864"/>
          <w:sz w:val="40"/>
        </w:rPr>
        <w:t>PT Bank Rakyat Indonesia (Persero) Tbk</w:t>
      </w:r>
    </w:p>
    <w:p>
      <w:pPr>
        <w:spacing w:after="80"/>
      </w:pPr>
      <w:r>
        <w:rPr>
          <w:b w:val="0"/>
          <w:color w:val="595959"/>
          <w:sz w:val="22"/>
        </w:rPr>
        <w:t>BBRI.JK  |  Indonesia — Banks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[SET RATING — assumptions yaml]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P/E (FY25)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12.2x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Price target (RI fair value)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3,980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P/E (FY+1E, own est.)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11.4x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Last close (2026-07-20)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4,380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2.0x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Upside / (downside)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-9.1%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Dividend yield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7.9%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Market cap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IDR 664 tn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ROE / ROA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16.0% / 2.57%</w:t>
            </w:r>
          </w:p>
        </w:tc>
      </w:tr>
      <w:tr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52-week range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3,570 – 4,990</w:t>
            </w:r>
          </w:p>
        </w:tc>
        <w:tc>
          <w:tcPr>
            <w:tcW w:type="dxa" w:w="2493"/>
            <w:shd w:val="clear" w:fill="F2F5F9"/>
          </w:tcPr>
          <w:p>
            <w:r>
              <w:rPr>
                <w:sz w:val="18"/>
              </w:rPr>
              <w:t>Cost of equity (CAPM)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11.40%</w:t>
            </w:r>
          </w:p>
        </w:tc>
      </w:tr>
    </w:tbl>
    <w:p>
      <w:pPr>
        <w:spacing w:after="40"/>
      </w:pPr>
      <w:r>
        <w:rPr>
          <w:b/>
          <w:color w:val="C00000"/>
          <w:sz w:val="18"/>
        </w:rPr>
        <w:t>Consensus target (SAMPLE — illustrative): IDR 5,100  (+16.4% vs last close)  |  34 analysts, rating buy  |  source: SAMPLE_SEED</w:t>
      </w:r>
    </w:p>
    <w:p>
      <w:pPr>
        <w:spacing w:after="80"/>
      </w:pPr>
      <w:r>
        <w:rPr>
          <w:b w:val="0"/>
          <w:sz w:val="20"/>
        </w:rPr>
      </w:r>
    </w:p>
    <w:p>
      <w:pPr>
        <w:spacing w:after="80"/>
      </w:pPr>
      <w:r>
        <w:rPr>
          <w:b w:val="0"/>
          <w:color w:val="595959"/>
          <w:sz w:val="18"/>
        </w:rPr>
        <w:t>Analyst: Ricky Reinaldo  |  Indonesian Equity Research</w:t>
      </w:r>
    </w:p>
    <w:p>
      <w:pPr>
        <w:pStyle w:val="Heading1"/>
      </w:pPr>
      <w:r>
        <w:t>Investment thesis</w:t>
      </w:r>
    </w:p>
    <w:p>
      <w:pPr>
        <w:spacing w:after="80"/>
      </w:pPr>
      <w:r>
        <w:rPr>
          <w:b w:val="0"/>
          <w:color w:val="C00000"/>
          <w:sz w:val="20"/>
        </w:rPr>
        <w:t>[TO WRITE — the system deliberately does not write this. Suggested structure below.]</w:t>
      </w:r>
    </w:p>
    <w:p>
      <w:pPr>
        <w:spacing w:after="80"/>
      </w:pPr>
      <w:r>
        <w:rPr>
          <w:b w:val="0"/>
          <w:color w:val="595959"/>
          <w:sz w:val="20"/>
        </w:rPr>
        <w:t>1. Thesis point 1 — the core reason to own (or avoid) the stock. State it in one sentence, then support it with two or three paragraphs of evidence.</w:t>
      </w:r>
    </w:p>
    <w:p>
      <w:pPr>
        <w:spacing w:after="80"/>
      </w:pPr>
      <w:r>
        <w:rPr>
          <w:b w:val="0"/>
          <w:color w:val="595959"/>
          <w:sz w:val="20"/>
        </w:rPr>
        <w:t>2. Thesis point 2 — what the market is missing or mispricing.</w:t>
      </w:r>
    </w:p>
    <w:p>
      <w:pPr>
        <w:spacing w:after="80"/>
      </w:pPr>
      <w:r>
        <w:rPr>
          <w:b w:val="0"/>
          <w:color w:val="595959"/>
          <w:sz w:val="20"/>
        </w:rPr>
        <w:t>3. Thesis point 3 — the catalyst path and timing.</w:t>
      </w:r>
    </w:p>
    <w:p>
      <w:pPr>
        <w:pStyle w:val="Heading1"/>
      </w:pPr>
      <w:r>
        <w:t>Company overview</w:t>
      </w:r>
    </w:p>
    <w:p>
      <w:pPr>
        <w:spacing w:after="80"/>
      </w:pPr>
      <w:r>
        <w:rPr>
          <w:b w:val="0"/>
          <w:color w:val="C00000"/>
          <w:sz w:val="20"/>
        </w:rPr>
        <w:t>[TO WRITE — franchise, segment mix, funding profile, management, ownership.]</w:t>
      </w:r>
    </w:p>
    <w:p>
      <w:pPr>
        <w:pStyle w:val="Heading1"/>
      </w:pPr>
      <w:r>
        <w:t>Valuation</w:t>
      </w:r>
    </w:p>
    <w:p>
      <w:pPr>
        <w:spacing w:after="80"/>
      </w:pPr>
      <w:r>
        <w:rPr>
          <w:b w:val="0"/>
          <w:sz w:val="20"/>
        </w:rPr>
        <w:t>Primary methodology is a residual income model — appropriate for banks, where value accrues on book equity. Cost of equity of 11.40% is CAPM-derived: risk-free 6.4% (Indonesia 10Y) + beta 1.00 × equity risk premium 5.0%. ROE fades linearly from 16.0% to 17.0% over 5 years on a 80% payout; beyond the horizon, residual income grows at 5.0% with the sustainable-growth payout of 70.6%. All inputs live in assumptions/BBRI.yaml.</w:t>
      </w:r>
    </w:p>
    <w:p>
      <w:pPr>
        <w:spacing w:after="80"/>
      </w:pPr>
      <w:r>
        <w:rPr>
          <w:b/>
          <w:sz w:val="20"/>
        </w:rPr>
        <w:t>Residual income fair value: IDR 3,982 per share (implied P/B 1.80x, justified terminal P/B 1.88x). DDM cross-check: IDR 3,982. Upside/(downside) vs last close: -9.1%.</w:t>
      </w:r>
    </w:p>
    <w:p>
      <w:pPr>
        <w:pStyle w:val="Heading2"/>
      </w:pPr>
      <w:r>
        <w:t>Residual income forecast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ROE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BVPS open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EPS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DPS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Residual income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PV of RI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Year 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PV of explicit residual income 435 + PV of terminal value 1,330 + opening BVPS 2,217 = fair value 3,982.</w:t>
      </w:r>
    </w:p>
    <w:p>
      <w:pPr>
        <w:pStyle w:val="Heading2"/>
      </w:pPr>
      <w:r>
        <w:t>Sensitivity — fair value: COE × terminal ROE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COE \ terminal ROE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15.0%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16.0%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17.0%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18.0%</w:t>
            </w:r>
          </w:p>
        </w:tc>
        <w:tc>
          <w:tcPr>
            <w:tcW w:type="dxa" w:w="1662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19.0%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10.40%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4,010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4,352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4,696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5,043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5,393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10.90%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3,690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3,998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4,309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4,622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4,938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11.40%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3,419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3,699</w:t>
            </w:r>
          </w:p>
        </w:tc>
        <w:tc>
          <w:tcPr>
            <w:tcW w:type="dxa" w:w="1662"/>
            <w:shd w:val="clear" w:fill="FFF2CC"/>
          </w:tcPr>
          <w:p>
            <w:pPr>
              <w:jc w:val="right"/>
            </w:pPr>
            <w:r>
              <w:rPr>
                <w:b/>
                <w:sz w:val="17"/>
              </w:rPr>
              <w:t>3,982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4,267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4,555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11.90%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3,187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3,444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3,703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3,964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4,227</w:t>
            </w:r>
          </w:p>
        </w:tc>
      </w:tr>
      <w:tr>
        <w:tc>
          <w:tcPr>
            <w:tcW w:type="dxa" w:w="1662"/>
          </w:tcPr>
          <w:p>
            <w:r>
              <w:rPr>
                <w:b/>
                <w:sz w:val="17"/>
              </w:rPr>
              <w:t>12.40%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2,986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3,222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3,461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3,701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7"/>
              </w:rPr>
              <w:t>3,944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Shaded cell = base case.</w:t>
      </w:r>
    </w:p>
    <w:p>
      <w:pPr>
        <w:pStyle w:val="Heading1"/>
      </w:pPr>
      <w:r>
        <w:t>Earnings forecast &amp; forward valuation</w:t>
      </w:r>
    </w:p>
    <w:p>
      <w:pPr>
        <w:pStyle w:val="Heading2"/>
      </w:pPr>
      <w:r>
        <w:t>12-month forward earnings (analyst estimate)</w:t>
      </w:r>
    </w:p>
    <w:p>
      <w:pPr>
        <w:spacing w:after="80"/>
      </w:pPr>
      <w:r>
        <w:rPr>
          <w:b w:val="0"/>
          <w:sz w:val="20"/>
        </w:rPr>
        <w:t>Forward EPS of IDR 383 is the analyst's own FY+1 estimate (assumptions/BBRI.yaml) — there is no consensus feed behind it. That implies net income of about IDR 58.0 tn, +6.5% EPS growth vs FY25, and a forward P/E of 11.4x at the last close. For consistency, the residual income model's own year-1 EPS (ROE-start × opening book) is IDR 355; a wide gap between the two is a flag to revisit the estimate.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32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Trailing FY25</w:t>
            </w:r>
          </w:p>
        </w:tc>
        <w:tc>
          <w:tcPr>
            <w:tcW w:type="dxa" w:w="3324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Forward FY+1E (own)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7"/>
              </w:rPr>
              <w:t>EPS (IDR)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360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383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7"/>
              </w:rPr>
              <w:t>Net income (IDR tn)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54.5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58.0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7"/>
              </w:rPr>
              <w:t>P/E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12.2x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11.4x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7"/>
              </w:rPr>
              <w:t>EPS growth YoY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7"/>
              </w:rPr>
              <w:t>6.5%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Forward multiples use the analyst's own estimate, not consensus.</w:t>
      </w:r>
    </w:p>
    <w:p>
      <w:pPr>
        <w:pStyle w:val="Heading2"/>
      </w:pPr>
      <w:r>
        <w:t>Sell-side consensus</w:t>
      </w:r>
    </w:p>
    <w:p>
      <w:pPr>
        <w:spacing w:after="80"/>
      </w:pPr>
      <w:r>
        <w:rPr>
          <w:b/>
          <w:color w:val="C00000"/>
          <w:sz w:val="20"/>
        </w:rPr>
        <w:t>The figures below are SAMPLE placeholders — illustrative only, NOT real analyst consensus. A live yfinance refresh replaces them with real aggregated targets.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Consensus</w:t>
            </w:r>
          </w:p>
        </w:tc>
        <w:tc>
          <w:tcPr>
            <w:tcW w:type="dxa" w:w="4986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Mean target price (IDR)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5,100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Target range (IDR)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4,200 – 5,800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Implied upside to target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16.4%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Number of analysts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34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Consensus rating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buy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Consensus forward EPS (IDR)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395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Consensus forward P/E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11.1x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7"/>
              </w:rPr>
              <w:t>Source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7"/>
              </w:rPr>
              <w:t>SAMPLE_SEED</w:t>
            </w:r>
          </w:p>
        </w:tc>
      </w:tr>
    </w:tbl>
    <w:p>
      <w:pPr>
        <w:spacing w:after="80"/>
      </w:pPr>
      <w:r>
        <w:rPr>
          <w:b w:val="0"/>
          <w:color w:val="595959"/>
          <w:sz w:val="17"/>
        </w:rPr>
        <w:t>The analyst's own forward EPS sits -3.0% vs the consensus forward EPS; the house RI price target of IDR 3,980 compares with the consensus mean target of IDR 5,100.</w:t>
      </w:r>
    </w:p>
    <w:p>
      <w:pPr>
        <w:spacing w:after="80"/>
      </w:pPr>
      <w:r>
        <w:rPr>
          <w:b w:val="0"/>
          <w:color w:val="C00000"/>
          <w:sz w:val="20"/>
        </w:rPr>
        <w:t>[TO WRITE — reconcile your estimate and target with consensus: where you sit above/below the Street and why.]</w:t>
      </w:r>
    </w:p>
    <w:p>
      <w:pPr>
        <w:pStyle w:val="Heading1"/>
      </w:pPr>
      <w:r>
        <w:t>Foreign flow monitor</w:t>
      </w:r>
    </w:p>
    <w:p>
      <w:pPr>
        <w:spacing w:after="80"/>
      </w:pPr>
      <w:r>
        <w:rPr>
          <w:b w:val="0"/>
          <w:sz w:val="20"/>
        </w:rPr>
        <w:t>IDX blue chips trade with foreign money, and BBRI is no exception: over the trailing year the correlation between daily net foreign flow and daily returns is 0.55 (0.41 on weekly data). Net foreign flow is +4.9 IDR tn over 3M and +2.6 IDR tn over 12M (data through 2026-07-20). Correlation is contemporaneous co-movement, not a forecasting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1W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1M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3M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6M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YTD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12M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Net foreign flow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+0.3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+2.3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+4.9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+2.8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+2.4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+2.6</w:t>
            </w:r>
          </w:p>
        </w:tc>
      </w:tr>
    </w:tbl>
    <w:p>
      <w:pPr>
        <w:spacing w:after="80"/>
      </w:pPr>
      <w:r>
        <w:rPr>
          <w:b w:val="0"/>
          <w:color w:val="C00000"/>
          <w:sz w:val="20"/>
        </w:rPr>
        <w:t>[TO WRITE — interpret positioning: who has been accumulating/distributing, and what would turn the flow.]</w:t>
      </w:r>
    </w:p>
    <w:p>
      <w:pPr>
        <w:pStyle w:val="Heading1"/>
      </w:pPr>
      <w:r>
        <w:t>Key exhibits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_b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ig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ign_flow_cumula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reba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e_vs_p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m_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growth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Financials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FY20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FY21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FY22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FY23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FY24</w:t>
            </w:r>
          </w:p>
        </w:tc>
        <w:tc>
          <w:tcPr>
            <w:tcW w:type="dxa" w:w="1425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FY25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Net income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Total equity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Total assets (IDR tn)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EPS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BVPS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DPS (IDR)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7"/>
              </w:rPr>
              <w:t>ROE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9.2%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12.5%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17.2%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19.3%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18.2%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7"/>
              </w:rPr>
              <w:t>16.0%</w:t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p>
      <w:pPr>
        <w:pStyle w:val="Heading2"/>
      </w:pPr>
      <w:r>
        <w:t>Quarterly bank metrics (manual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2024Q2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2024Q3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2024Q4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2025Q1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2025Q2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2025Q3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2025Q4</w:t>
            </w:r>
          </w:p>
        </w:tc>
        <w:tc>
          <w:tcPr>
            <w:tcW w:type="dxa" w:w="1108"/>
            <w:shd w:val="clear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2026Q1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NIM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CASA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NPL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CAR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Loan growth YoY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Cost of credit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108"/>
          </w:tcPr>
          <w:p>
            <w:r>
              <w:rPr>
                <w:b/>
                <w:sz w:val="17"/>
              </w:rPr>
              <w:t>Cost/income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  <w:tc>
          <w:tcPr>
            <w:tcW w:type="dxa" w:w="1108"/>
          </w:tcPr>
          <w:p>
            <w:pPr>
              <w:jc w:val="right"/>
            </w:pPr>
            <w:r>
              <w:rPr>
                <w:sz w:val="17"/>
              </w:rPr>
              <w:t>nan</w:t>
            </w:r>
          </w:p>
        </w:tc>
      </w:tr>
    </w:tbl>
    <w:p>
      <w:pPr>
        <w:pStyle w:val="Heading1"/>
      </w:pPr>
      <w:r>
        <w:t>Risks</w:t>
      </w:r>
    </w:p>
    <w:p>
      <w:pPr>
        <w:spacing w:after="80"/>
      </w:pPr>
      <w:r>
        <w:rPr>
          <w:b w:val="0"/>
          <w:color w:val="C00000"/>
          <w:sz w:val="20"/>
        </w:rPr>
        <w:t>[TO WRITE — tailor to the name; generic sector list below.]</w:t>
      </w:r>
    </w:p>
    <w:p>
      <w:pPr>
        <w:spacing w:after="80"/>
      </w:pPr>
      <w:r>
        <w:rPr>
          <w:b w:val="0"/>
          <w:color w:val="595959"/>
          <w:sz w:val="20"/>
        </w:rPr>
        <w:t>•  Macro: BI policy path, IDR volatility, sovereign yield moves.</w:t>
      </w:r>
    </w:p>
    <w:p>
      <w:pPr>
        <w:spacing w:after="80"/>
      </w:pPr>
      <w:r>
        <w:rPr>
          <w:b w:val="0"/>
          <w:color w:val="595959"/>
          <w:sz w:val="20"/>
        </w:rPr>
        <w:t>•  Asset quality: NPL formation and cost of credit vs assumptions.</w:t>
      </w:r>
    </w:p>
    <w:p>
      <w:pPr>
        <w:spacing w:after="80"/>
      </w:pPr>
      <w:r>
        <w:rPr>
          <w:b w:val="0"/>
          <w:color w:val="595959"/>
          <w:sz w:val="20"/>
        </w:rPr>
        <w:t>•  Competition/funding: deposit pricing pressure on NIM.</w:t>
      </w:r>
    </w:p>
    <w:p>
      <w:pPr>
        <w:spacing w:after="80"/>
      </w:pPr>
      <w:r>
        <w:rPr>
          <w:b w:val="0"/>
          <w:color w:val="595959"/>
          <w:sz w:val="20"/>
        </w:rPr>
        <w:t>•  Regulatory/political: SoE dividend policy, directed lending.</w:t>
      </w:r>
    </w:p>
    <w:p>
      <w:pPr>
        <w:pStyle w:val="Heading1"/>
      </w:pPr>
      <w:r>
        <w:t>Disclosures</w:t>
      </w:r>
    </w:p>
    <w:p>
      <w:pPr>
        <w:spacing w:after="80"/>
      </w:pPr>
      <w:r>
        <w:rPr>
          <w:b w:val="0"/>
          <w:color w:val="595959"/>
          <w:sz w:val="17"/>
        </w:rPr>
        <w:t>This material is independent research prepared for educational purposes. It is not investment advice, an offer, or a solicitation to buy or sell any security. Figures may contain errors; verify against primary filings.</w:t>
      </w:r>
    </w:p>
    <w:p>
      <w:pPr>
        <w:spacing w:after="80"/>
      </w:pPr>
      <w:r>
        <w:rPr>
          <w:b w:val="0"/>
          <w:color w:val="595959"/>
          <w:sz w:val="17"/>
        </w:rPr>
        <w:t>Data: Yahoo Finance via yfinance (prices, financial statements); company quarterly investor presentations (bank-specific ratios, transcribed by the analyst); IDX daily trading summary / broker exports (net foreign flow); Yahoo Finance / analyst-sourced override (sell-side consensus target &amp; rating); Bank Indonesia / market data (macro). The house price target and forward P/E use the analyst's own FY+1 EPS estimate — labeled 'own est.' and kept distinct from sell-side consensus throughout.</w:t>
      </w:r>
    </w:p>
    <w:p>
      <w:pPr>
        <w:spacing w:after="80"/>
      </w:pPr>
      <w:r>
        <w:rPr>
          <w:b/>
          <w:color w:val="C00000"/>
          <w:sz w:val="18"/>
        </w:rPr>
        <w:t>THIS DRAFT WAS BUILT ON SAMPLE PLACEHOLDER DATA — figures are illustrative and must not be published.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Ricky Reinaldo | Indonesian Equity Research  |  23 Jul 2026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