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EQUITY RESEARCH  |  INITIATION OF COVERAGE  |  21 July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C000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DRAFT BUILT ON SAMPLE DATA — ILLUSTRATIVE ONLY, NOT FOR PUBLICATION</w:t>
            </w:r>
          </w:p>
        </w:tc>
      </w:tr>
    </w:tbl>
    <w:p>
      <w:pPr>
        <w:spacing w:after="80"/>
      </w:pPr>
      <w:r>
        <w:rPr>
          <w:b w:val="0"/>
          <w:sz w:val="20"/>
        </w:rPr>
      </w:r>
    </w:p>
    <w:p>
      <w:pPr>
        <w:spacing w:after="0"/>
      </w:pPr>
      <w:r>
        <w:rPr>
          <w:b/>
          <w:color w:val="1F3864"/>
          <w:sz w:val="40"/>
        </w:rPr>
        <w:t>PT Bank Rakyat Indonesia (Persero) Tbk</w:t>
      </w:r>
    </w:p>
    <w:p>
      <w:pPr>
        <w:spacing w:after="80"/>
      </w:pPr>
      <w:r>
        <w:rPr>
          <w:b w:val="0"/>
          <w:color w:val="595959"/>
          <w:sz w:val="22"/>
        </w:rPr>
        <w:t>BBRI.JK  |  Indonesia — Banks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[SET RATING — assumptions yaml]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P/E (FY25)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12.2x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Price target (RI fair value)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IDR 3,980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P/E (FY+1E, own est.)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11.4x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Last close (2026-07-20)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IDR 4,380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P/B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2.0x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Upside / (downside)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-9.1%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Dividend yield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7.9%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Market cap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IDR 664 tn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ROE / ROA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16.0% / 2.57%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52-week range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3,570 – 4,990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Cost of equity (CAPM)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11.40%</w:t>
            </w:r>
          </w:p>
        </w:tc>
      </w:tr>
    </w:tbl>
    <w:p>
      <w:pPr>
        <w:spacing w:after="80"/>
      </w:pPr>
      <w:r>
        <w:rPr>
          <w:b w:val="0"/>
          <w:sz w:val="20"/>
        </w:rPr>
      </w:r>
    </w:p>
    <w:p>
      <w:pPr>
        <w:spacing w:after="80"/>
      </w:pPr>
      <w:r>
        <w:rPr>
          <w:b w:val="0"/>
          <w:color w:val="595959"/>
          <w:sz w:val="18"/>
        </w:rPr>
        <w:t>Analyst: Ricky Reinaldo  |  Indonesian Equity Research</w:t>
      </w:r>
    </w:p>
    <w:p>
      <w:pPr>
        <w:pStyle w:val="Heading1"/>
      </w:pPr>
      <w:r>
        <w:t>Investment thesis</w:t>
      </w:r>
    </w:p>
    <w:p>
      <w:pPr>
        <w:spacing w:after="80"/>
      </w:pPr>
      <w:r>
        <w:rPr>
          <w:b w:val="0"/>
          <w:color w:val="C00000"/>
          <w:sz w:val="20"/>
        </w:rPr>
        <w:t>[TO WRITE — the system deliberately does not write this. Suggested structure below.]</w:t>
      </w:r>
    </w:p>
    <w:p>
      <w:pPr>
        <w:spacing w:after="80"/>
      </w:pPr>
      <w:r>
        <w:rPr>
          <w:b w:val="0"/>
          <w:color w:val="595959"/>
          <w:sz w:val="20"/>
        </w:rPr>
        <w:t>1. Thesis point 1 — the core reason to own (or avoid) the stock. State it in one sentence, then support it with two or three paragraphs of evidence.</w:t>
      </w:r>
    </w:p>
    <w:p>
      <w:pPr>
        <w:spacing w:after="80"/>
      </w:pPr>
      <w:r>
        <w:rPr>
          <w:b w:val="0"/>
          <w:color w:val="595959"/>
          <w:sz w:val="20"/>
        </w:rPr>
        <w:t>2. Thesis point 2 — what the market is missing or mispricing.</w:t>
      </w:r>
    </w:p>
    <w:p>
      <w:pPr>
        <w:spacing w:after="80"/>
      </w:pPr>
      <w:r>
        <w:rPr>
          <w:b w:val="0"/>
          <w:color w:val="595959"/>
          <w:sz w:val="20"/>
        </w:rPr>
        <w:t>3. Thesis point 3 — the catalyst path and timing.</w:t>
      </w:r>
    </w:p>
    <w:p>
      <w:pPr>
        <w:pStyle w:val="Heading1"/>
      </w:pPr>
      <w:r>
        <w:t>Company overview</w:t>
      </w:r>
    </w:p>
    <w:p>
      <w:pPr>
        <w:spacing w:after="80"/>
      </w:pPr>
      <w:r>
        <w:rPr>
          <w:b w:val="0"/>
          <w:color w:val="C00000"/>
          <w:sz w:val="20"/>
        </w:rPr>
        <w:t>[TO WRITE — franchise, segment mix, funding profile, management, ownership.]</w:t>
      </w:r>
    </w:p>
    <w:p>
      <w:pPr>
        <w:pStyle w:val="Heading1"/>
      </w:pPr>
      <w:r>
        <w:t>Valuation</w:t>
      </w:r>
    </w:p>
    <w:p>
      <w:pPr>
        <w:spacing w:after="80"/>
      </w:pPr>
      <w:r>
        <w:rPr>
          <w:b w:val="0"/>
          <w:sz w:val="20"/>
        </w:rPr>
        <w:t>Primary methodology is a residual income model — appropriate for banks, where value accrues on book equity. Cost of equity of 11.40% is CAPM-derived: risk-free 6.4% (Indonesia 10Y) + beta 1.00 × equity risk premium 5.0%. ROE fades linearly from 16.0% to 17.0% over 5 years on a 80% payout; beyond the horizon, residual income grows at 5.0% with the sustainable-growth payout of 70.6%. All inputs live in assumptions/BBRI.yaml.</w:t>
      </w:r>
    </w:p>
    <w:p>
      <w:pPr>
        <w:spacing w:after="80"/>
      </w:pPr>
      <w:r>
        <w:rPr>
          <w:b/>
          <w:sz w:val="20"/>
        </w:rPr>
        <w:t>Residual income fair value: IDR 3,982 per share (implied P/B 1.80x, justified terminal P/B 1.88x). DDM cross-check: IDR 3,982. Upside/(downside) vs last close: -9.1%.</w:t>
      </w:r>
    </w:p>
    <w:p>
      <w:pPr>
        <w:pStyle w:val="Heading2"/>
      </w:pPr>
      <w:r>
        <w:t>Residual income forecast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ROE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BVPS open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EPS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DPS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Residual income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PV of RI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1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2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</w:tbl>
    <w:p>
      <w:pPr>
        <w:spacing w:after="80"/>
      </w:pPr>
      <w:r>
        <w:rPr>
          <w:b w:val="0"/>
          <w:color w:val="595959"/>
          <w:sz w:val="17"/>
        </w:rPr>
        <w:t>PV of explicit residual income 435 + PV of terminal value 1,330 + opening BVPS 2,217 = fair value 3,982.</w:t>
      </w:r>
    </w:p>
    <w:p>
      <w:pPr>
        <w:pStyle w:val="Heading2"/>
      </w:pPr>
      <w:r>
        <w:t>Sensitivity — fair value: COE × terminal ROE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COE \ terminal ROE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15.0%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16.0%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17.0%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18.0%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19.0%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10.40%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4,010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4,352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4,696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5,043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5,393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10.90%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3,690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3,998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4,309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4,622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4,938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11.40%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3,419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3,699</w:t>
            </w:r>
          </w:p>
        </w:tc>
        <w:tc>
          <w:tcPr>
            <w:tcW w:type="dxa" w:w="1662"/>
            <w:shd w:val="clear" w:fill="FFF2CC"/>
          </w:tcPr>
          <w:p>
            <w:pPr>
              <w:jc w:val="right"/>
            </w:pPr>
            <w:r>
              <w:rPr>
                <w:b/>
                <w:sz w:val="17"/>
              </w:rPr>
              <w:t>3,982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4,267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4,555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11.90%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3,187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3,444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3,703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3,964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4,227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12.40%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2,986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3,222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3,461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3,701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3,944</w:t>
            </w:r>
          </w:p>
        </w:tc>
      </w:tr>
    </w:tbl>
    <w:p>
      <w:pPr>
        <w:spacing w:after="80"/>
      </w:pPr>
      <w:r>
        <w:rPr>
          <w:b w:val="0"/>
          <w:color w:val="595959"/>
          <w:sz w:val="17"/>
        </w:rPr>
        <w:t>Shaded cell = base case.</w:t>
      </w:r>
    </w:p>
    <w:p>
      <w:pPr>
        <w:pStyle w:val="Heading1"/>
      </w:pPr>
      <w:r>
        <w:t>Key exhibits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_b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reba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e_vs_p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m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growth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Financials appendix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Annual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FY20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FY21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FY22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FY23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FY24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FY25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Net income (IDR tn)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Total equity (IDR tn)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Total assets (IDR tn)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EPS (IDR)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BVPS (IDR)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DPS (IDR)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ROE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9.2%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12.5%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17.2%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19.3%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18.2%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16.0%</w:t>
            </w:r>
          </w:p>
        </w:tc>
      </w:tr>
    </w:tbl>
    <w:p>
      <w:pPr>
        <w:spacing w:after="80"/>
      </w:pPr>
      <w:r>
        <w:rPr>
          <w:b w:val="0"/>
          <w:sz w:val="20"/>
        </w:rPr>
      </w:r>
    </w:p>
    <w:p>
      <w:pPr>
        <w:pStyle w:val="Heading2"/>
      </w:pPr>
      <w:r>
        <w:t>Quarterly bank metrics (manual layer)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2024Q2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2024Q3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2024Q4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2025Q1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2025Q2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2025Q3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2025Q4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2026Q1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NIM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CASA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NPL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CAR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Loan growth YoY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Cost of credit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Cost/income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</w:tbl>
    <w:p>
      <w:pPr>
        <w:pStyle w:val="Heading1"/>
      </w:pPr>
      <w:r>
        <w:t>Risks</w:t>
      </w:r>
    </w:p>
    <w:p>
      <w:pPr>
        <w:spacing w:after="80"/>
      </w:pPr>
      <w:r>
        <w:rPr>
          <w:b w:val="0"/>
          <w:color w:val="C00000"/>
          <w:sz w:val="20"/>
        </w:rPr>
        <w:t>[TO WRITE — tailor to the name; generic sector list below.]</w:t>
      </w:r>
    </w:p>
    <w:p>
      <w:pPr>
        <w:spacing w:after="80"/>
      </w:pPr>
      <w:r>
        <w:rPr>
          <w:b w:val="0"/>
          <w:color w:val="595959"/>
          <w:sz w:val="20"/>
        </w:rPr>
        <w:t>•  Macro: BI policy path, IDR volatility, sovereign yield moves.</w:t>
      </w:r>
    </w:p>
    <w:p>
      <w:pPr>
        <w:spacing w:after="80"/>
      </w:pPr>
      <w:r>
        <w:rPr>
          <w:b w:val="0"/>
          <w:color w:val="595959"/>
          <w:sz w:val="20"/>
        </w:rPr>
        <w:t>•  Asset quality: NPL formation and cost of credit vs assumptions.</w:t>
      </w:r>
    </w:p>
    <w:p>
      <w:pPr>
        <w:spacing w:after="80"/>
      </w:pPr>
      <w:r>
        <w:rPr>
          <w:b w:val="0"/>
          <w:color w:val="595959"/>
          <w:sz w:val="20"/>
        </w:rPr>
        <w:t>•  Competition/funding: deposit pricing pressure on NIM.</w:t>
      </w:r>
    </w:p>
    <w:p>
      <w:pPr>
        <w:spacing w:after="80"/>
      </w:pPr>
      <w:r>
        <w:rPr>
          <w:b w:val="0"/>
          <w:color w:val="595959"/>
          <w:sz w:val="20"/>
        </w:rPr>
        <w:t>•  Regulatory/political: SoE dividend policy, directed lending.</w:t>
      </w:r>
    </w:p>
    <w:p>
      <w:pPr>
        <w:pStyle w:val="Heading1"/>
      </w:pPr>
      <w:r>
        <w:t>Disclosures</w:t>
      </w:r>
    </w:p>
    <w:p>
      <w:pPr>
        <w:spacing w:after="80"/>
      </w:pPr>
      <w:r>
        <w:rPr>
          <w:b w:val="0"/>
          <w:color w:val="595959"/>
          <w:sz w:val="17"/>
        </w:rPr>
        <w:t>This material is independent research prepared for educational purposes. It is not investment advice, an offer, or a solicitation to buy or sell any security. Figures may contain errors; verify against primary filings.</w:t>
      </w:r>
    </w:p>
    <w:p>
      <w:pPr>
        <w:spacing w:after="80"/>
      </w:pPr>
      <w:r>
        <w:rPr>
          <w:b w:val="0"/>
          <w:color w:val="595959"/>
          <w:sz w:val="17"/>
        </w:rPr>
        <w:t>Data: Yahoo Finance via yfinance (prices, financial statements); company quarterly investor presentations (bank-specific ratios, transcribed by the analyst); Bank Indonesia / market data (macro). Forward EPS estimates are the analyst's own — no consensus feed is used.</w:t>
      </w:r>
    </w:p>
    <w:p>
      <w:pPr>
        <w:spacing w:after="80"/>
      </w:pPr>
      <w:r>
        <w:rPr>
          <w:b/>
          <w:color w:val="C00000"/>
          <w:sz w:val="18"/>
        </w:rPr>
        <w:t>THIS DRAFT WAS BUILT ON SAMPLE PLACEHOLDER DATA — figures are illustrative and must not be published.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Ricky Reinaldo | Indonesian Equity Research  |  21 Jul 2026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