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Alya Pratama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N. Hartono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Fever, productive cough, and shortness of breath for three days.</w:t>
      </w:r>
    </w:p>
    <w:p>
      <w:pPr>
        <w:pStyle w:val="Heading2"/>
      </w:pPr>
      <w:r>
        <w:t>Assessment</w:t>
      </w:r>
    </w:p>
    <w:p>
      <w:pPr>
        <w:spacing w:after="100"/>
      </w:pPr>
      <w:r>
        <w:t>Community-acquired pneumonia. Patient is hemodynamically stable.</w:t>
      </w:r>
    </w:p>
    <w:p>
      <w:pPr>
        <w:pStyle w:val="Heading2"/>
      </w:pPr>
      <w:r>
        <w:t>Plan</w:t>
      </w:r>
    </w:p>
    <w:p>
      <w:pPr>
        <w:spacing w:after="100"/>
      </w:pPr>
      <w:r>
        <w:t>Admit for observation, antibiotics, hydration, and monitoring.</w:t>
      </w:r>
    </w:p>
    <w:p>
      <w:pPr>
        <w:pStyle w:val="Heading2"/>
      </w:pPr>
      <w:r>
        <w:t>Procedure / Investigation</w:t>
      </w:r>
    </w:p>
    <w:p>
      <w:pPr>
        <w:spacing w:after="100"/>
      </w:pPr>
      <w:r>
        <w:t>Chest radiograph ordered.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