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Danu Wibowo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2026-08-12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L. Prameswari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Chest discomfort after exertion.</w:t>
      </w:r>
    </w:p>
    <w:p>
      <w:pPr>
        <w:pStyle w:val="Heading2"/>
      </w:pPr>
      <w:r>
        <w:t>Assessment</w:t>
      </w:r>
    </w:p>
    <w:p>
      <w:pPr>
        <w:spacing w:after="100"/>
      </w:pPr>
      <w:r>
        <w:t>Stable angina suspected; cardiac enzymes negative.</w:t>
      </w:r>
    </w:p>
    <w:p>
      <w:pPr>
        <w:pStyle w:val="Heading2"/>
      </w:pPr>
      <w:r>
        <w:t>Plan</w:t>
      </w:r>
    </w:p>
    <w:p>
      <w:pPr>
        <w:spacing w:after="100"/>
      </w:pPr>
      <w:r>
        <w:t>Observation, ECG monitoring, cardiology follow-up.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