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SOP-02 Patient Identity Matching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p>
      <w:pPr>
        <w:pStyle w:val="Heading2"/>
      </w:pPr>
      <w:r>
        <w:t>Purpose</w:t>
      </w:r>
    </w:p>
    <w:p>
      <w:pPr>
        <w:spacing w:after="100"/>
      </w:pPr>
      <w:r>
        <w:t>Ensure all documents belong to the same patient.</w:t>
      </w:r>
    </w:p>
    <w:p>
      <w:pPr>
        <w:pStyle w:val="Heading2"/>
      </w:pPr>
      <w:r>
        <w:t>Exact identifiers</w:t>
      </w:r>
    </w:p>
    <w:p>
      <w:pPr>
        <w:spacing w:after="100"/>
      </w:pPr>
      <w:r>
        <w:t>Patient ID and date of birth must match across the case documents.</w:t>
      </w:r>
    </w:p>
    <w:p>
      <w:pPr>
        <w:pStyle w:val="Heading2"/>
      </w:pPr>
      <w:r>
        <w:t>Names</w:t>
      </w:r>
    </w:p>
    <w:p>
      <w:pPr>
        <w:spacing w:after="100"/>
      </w:pPr>
      <w:r>
        <w:t>Names may be normalized for case, spacing, punctuation, and common title differences. A name difference alone should not automatically be treated as a mismatch if Patient ID and DOB agree.</w:t>
      </w:r>
    </w:p>
    <w:p>
      <w:pPr>
        <w:pStyle w:val="Heading2"/>
      </w:pPr>
      <w:r>
        <w:t>Escalation</w:t>
      </w:r>
    </w:p>
    <w:p>
      <w:pPr>
        <w:spacing w:after="100"/>
      </w:pPr>
      <w:r>
        <w:t>Any Patient ID or DOB mismatch is a high-severity issue and requires human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