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SOP-03 Diagnosis Consistency &amp; Semantic Equivalence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p>
      <w:pPr>
        <w:pStyle w:val="Heading2"/>
      </w:pPr>
      <w:r>
        <w:t>Purpose</w:t>
      </w:r>
    </w:p>
    <w:p>
      <w:pPr>
        <w:spacing w:after="100"/>
      </w:pPr>
      <w:r>
        <w:t>Guide comparison of diagnoses across physician notes, discharge summaries, and claim forms.</w:t>
      </w:r>
    </w:p>
    <w:p>
      <w:pPr>
        <w:pStyle w:val="Heading2"/>
      </w:pPr>
      <w:r>
        <w:t>Semantic equivalence</w:t>
      </w:r>
    </w:p>
    <w:p>
      <w:pPr>
        <w:spacing w:after="100"/>
      </w:pPr>
      <w:r>
        <w:t>Equivalent terminology and standard abbreviations should not be flagged as conflicts. Example: “Type 2 diabetes mellitus without complications” and “T2DM, uncomplicated” are equivalent for this review.</w:t>
      </w:r>
    </w:p>
    <w:p>
      <w:pPr>
        <w:pStyle w:val="Heading2"/>
      </w:pPr>
      <w:r>
        <w:t>True conflict</w:t>
      </w:r>
    </w:p>
    <w:p>
      <w:pPr>
        <w:spacing w:after="100"/>
      </w:pPr>
      <w:r>
        <w:t>Different clinical conditions should be flagged when the claim diagnosis contradicts the final documented diagnosis. Example: “Pneumonia” and “Acute bronchitis” are not treated as equivalent.</w:t>
      </w:r>
    </w:p>
    <w:p>
      <w:pPr>
        <w:pStyle w:val="Heading2"/>
      </w:pPr>
      <w:r>
        <w:t>Uncertainty</w:t>
      </w:r>
    </w:p>
    <w:p>
      <w:pPr>
        <w:spacing w:after="100"/>
      </w:pPr>
      <w:r>
        <w:t>A suspected, possible, rule-out, or not-confirmed diagnosis must not be treated as a confirmed diagnosis. If a claim asserts a confirmed diagnosis while the clinical record remains uncertain, escalate for human review.</w:t>
      </w:r>
    </w:p>
    <w:p>
      <w:pPr>
        <w:pStyle w:val="Heading2"/>
      </w:pPr>
      <w:r>
        <w:t>AI behavior</w:t>
      </w:r>
    </w:p>
    <w:p>
      <w:pPr>
        <w:spacing w:after="100"/>
      </w:pPr>
      <w:r>
        <w:t>The assistant should cite the documents used to make the comparison and should not silently rewrite diagnoses.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